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415290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left="360"/>
        <w:spacing w:after="0"/>
        <w:rPr>
          <w:sz w:val="20"/>
          <w:szCs w:val="20"/>
          <w:color w:val="auto"/>
        </w:rPr>
      </w:pPr>
      <w:r>
        <w:rPr>
          <w:rFonts w:ascii="Arial" w:cs="Arial" w:eastAsia="Arial" w:hAnsi="Arial"/>
          <w:sz w:val="13"/>
          <w:szCs w:val="13"/>
          <w:b w:val="1"/>
          <w:bCs w:val="1"/>
          <w:color w:val="auto"/>
        </w:rPr>
        <w:t>(mark one)</w:t>
      </w:r>
    </w:p>
    <w:p>
      <w:pPr>
        <w:spacing w:after="0" w:line="23" w:lineRule="exact"/>
        <w:rPr>
          <w:sz w:val="24"/>
          <w:szCs w:val="24"/>
          <w:color w:val="auto"/>
        </w:rPr>
      </w:pPr>
    </w:p>
    <w:p>
      <w:pPr>
        <w:jc w:val="center"/>
        <w:ind w:left="36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34" w:lineRule="exact"/>
        <w:rPr>
          <w:sz w:val="24"/>
          <w:szCs w:val="24"/>
          <w:color w:val="auto"/>
        </w:rPr>
      </w:pPr>
    </w:p>
    <w:p>
      <w:pPr>
        <w:jc w:val="center"/>
        <w:ind w:left="3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4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440"/>
        <w:spacing w:after="0"/>
        <w:rPr>
          <w:sz w:val="20"/>
          <w:szCs w:val="20"/>
          <w:color w:val="auto"/>
        </w:rPr>
      </w:pPr>
      <w:r>
        <w:rPr>
          <w:rFonts w:ascii="Arial" w:cs="Arial" w:eastAsia="Arial" w:hAnsi="Arial"/>
          <w:sz w:val="25"/>
          <w:szCs w:val="25"/>
          <w:b w:val="1"/>
          <w:bCs w:val="1"/>
          <w:color w:val="auto"/>
        </w:rPr>
        <w:t>SECURITIES AND EXCHANGE COMMISSION</w:t>
      </w:r>
    </w:p>
    <w:p>
      <w:pPr>
        <w:ind w:left="3000"/>
        <w:spacing w:after="0"/>
        <w:rPr>
          <w:sz w:val="20"/>
          <w:szCs w:val="20"/>
          <w:color w:val="auto"/>
        </w:rPr>
      </w:pPr>
      <w:r>
        <w:rPr>
          <w:rFonts w:ascii="Arial" w:cs="Arial" w:eastAsia="Arial" w:hAnsi="Arial"/>
          <w:sz w:val="14"/>
          <w:szCs w:val="14"/>
          <w:b w:val="1"/>
          <w:bCs w:val="1"/>
          <w:color w:val="auto"/>
        </w:rPr>
        <w:t>Washington, D.C. 20549</w:t>
      </w:r>
    </w:p>
    <w:p>
      <w:pPr>
        <w:spacing w:after="0" w:line="79" w:lineRule="exact"/>
        <w:rPr>
          <w:sz w:val="24"/>
          <w:szCs w:val="24"/>
          <w:color w:val="auto"/>
        </w:rPr>
      </w:pPr>
    </w:p>
    <w:p>
      <w:pPr>
        <w:ind w:left="3060"/>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6"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jc w:val="center"/>
        <w:ind w:right="160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3" w:lineRule="exact"/>
        <w:rPr>
          <w:sz w:val="24"/>
          <w:szCs w:val="24"/>
          <w:color w:val="auto"/>
        </w:rPr>
      </w:pPr>
    </w:p>
    <w:p>
      <w:pPr>
        <w:ind w:left="1880"/>
        <w:spacing w:after="0"/>
        <w:tabs>
          <w:tab w:leader="none" w:pos="4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ind w:left="2600"/>
        <w:spacing w:after="0"/>
        <w:rPr>
          <w:sz w:val="20"/>
          <w:szCs w:val="20"/>
          <w:color w:val="auto"/>
        </w:rPr>
      </w:pPr>
      <w:r>
        <w:rPr>
          <w:rFonts w:ascii="Arial" w:cs="Arial" w:eastAsia="Arial" w:hAnsi="Arial"/>
          <w:sz w:val="14"/>
          <w:szCs w:val="14"/>
          <w:b w:val="1"/>
          <w:bCs w:val="1"/>
          <w:color w:val="auto"/>
        </w:rPr>
        <w:t>Commission File Number: 001-12400</w:t>
      </w:r>
    </w:p>
    <w:p>
      <w:pPr>
        <w:spacing w:after="0" w:line="82" w:lineRule="exact"/>
        <w:rPr>
          <w:sz w:val="24"/>
          <w:szCs w:val="24"/>
          <w:color w:val="auto"/>
        </w:rPr>
      </w:pPr>
    </w:p>
    <w:p>
      <w:pPr>
        <w:sectPr>
          <w:pgSz w:w="11900" w:h="16838" w:orient="portrait"/>
          <w:cols w:equalWidth="0" w:num="2">
            <w:col w:w="1040" w:space="420"/>
            <w:col w:w="8920"/>
          </w:cols>
          <w:pgMar w:left="760" w:top="665" w:right="759" w:bottom="1440" w:gutter="0" w:footer="0" w:header="0"/>
          <w:type w:val="continuous"/>
        </w:sectPr>
      </w:pPr>
    </w:p>
    <w:tbl>
      <w:tblPr>
        <w:tblLayout w:type="fixed"/>
        <w:tblInd w:w="1020" w:type="dxa"/>
        <w:tblCellMar>
          <w:top w:w="0" w:type="dxa"/>
          <w:left w:w="0" w:type="dxa"/>
          <w:bottom w:w="0" w:type="dxa"/>
          <w:right w:w="0" w:type="dxa"/>
        </w:tblCellMar>
      </w:tblPr>
      <w:tr>
        <w:trPr>
          <w:trHeight w:val="301"/>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00" w:type="dxa"/>
            <w:vAlign w:val="bottom"/>
            <w:gridSpan w:val="3"/>
          </w:tcPr>
          <w:p>
            <w:pPr>
              <w:jc w:val="center"/>
              <w:ind w:right="48"/>
              <w:spacing w:after="0"/>
              <w:rPr>
                <w:sz w:val="20"/>
                <w:szCs w:val="20"/>
                <w:color w:val="auto"/>
              </w:rPr>
            </w:pPr>
            <w:r>
              <w:rPr>
                <w:rFonts w:ascii="Arial" w:cs="Arial" w:eastAsia="Arial" w:hAnsi="Arial"/>
                <w:sz w:val="25"/>
                <w:szCs w:val="25"/>
                <w:b w:val="1"/>
                <w:bCs w:val="1"/>
                <w:color w:val="auto"/>
              </w:rPr>
              <w:t>INCYTE CORPORATION</w:t>
            </w:r>
          </w:p>
        </w:tc>
        <w:tc>
          <w:tcPr>
            <w:tcW w:w="2360" w:type="dxa"/>
            <w:vAlign w:val="bottom"/>
          </w:tcPr>
          <w:p>
            <w:pPr>
              <w:spacing w:after="0"/>
              <w:rPr>
                <w:sz w:val="24"/>
                <w:szCs w:val="24"/>
                <w:color w:val="auto"/>
              </w:rPr>
            </w:pPr>
          </w:p>
        </w:tc>
      </w:tr>
      <w:tr>
        <w:trPr>
          <w:trHeight w:val="182"/>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00" w:type="dxa"/>
            <w:vAlign w:val="bottom"/>
            <w:gridSpan w:val="3"/>
          </w:tcPr>
          <w:p>
            <w:pPr>
              <w:jc w:val="center"/>
              <w:ind w:right="48"/>
              <w:spacing w:after="0"/>
              <w:rPr>
                <w:sz w:val="20"/>
                <w:szCs w:val="20"/>
                <w:color w:val="auto"/>
              </w:rPr>
            </w:pPr>
            <w:r>
              <w:rPr>
                <w:rFonts w:ascii="Arial" w:cs="Arial" w:eastAsia="Arial" w:hAnsi="Arial"/>
                <w:sz w:val="14"/>
                <w:szCs w:val="14"/>
                <w:color w:val="auto"/>
                <w:w w:val="93"/>
              </w:rPr>
              <w:t>(Exact name of registrant as specified in its charter)</w:t>
            </w:r>
          </w:p>
        </w:tc>
        <w:tc>
          <w:tcPr>
            <w:tcW w:w="2360" w:type="dxa"/>
            <w:vAlign w:val="bottom"/>
          </w:tcPr>
          <w:p>
            <w:pPr>
              <w:spacing w:after="0"/>
              <w:rPr>
                <w:sz w:val="15"/>
                <w:szCs w:val="15"/>
                <w:color w:val="auto"/>
              </w:rPr>
            </w:pPr>
          </w:p>
        </w:tc>
      </w:tr>
      <w:tr>
        <w:trPr>
          <w:trHeight w:val="209"/>
        </w:trPr>
        <w:tc>
          <w:tcPr>
            <w:tcW w:w="66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94-3136539</w:t>
            </w:r>
          </w:p>
        </w:tc>
      </w:tr>
      <w:tr>
        <w:trPr>
          <w:trHeight w:val="149"/>
        </w:trPr>
        <w:tc>
          <w:tcPr>
            <w:tcW w:w="660" w:type="dxa"/>
            <w:vAlign w:val="bottom"/>
          </w:tcPr>
          <w:p>
            <w:pPr>
              <w:spacing w:after="0"/>
              <w:rPr>
                <w:sz w:val="12"/>
                <w:szCs w:val="12"/>
                <w:color w:val="auto"/>
              </w:rPr>
            </w:pPr>
          </w:p>
        </w:tc>
        <w:tc>
          <w:tcPr>
            <w:tcW w:w="18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(State of other jurisdiction</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60" w:type="dxa"/>
            <w:vAlign w:val="bottom"/>
          </w:tcPr>
          <w:p>
            <w:pPr>
              <w:jc w:val="center"/>
              <w:ind w:right="688"/>
              <w:spacing w:after="0" w:line="149" w:lineRule="exact"/>
              <w:rPr>
                <w:sz w:val="20"/>
                <w:szCs w:val="20"/>
                <w:color w:val="auto"/>
              </w:rPr>
            </w:pPr>
            <w:r>
              <w:rPr>
                <w:rFonts w:ascii="Arial" w:cs="Arial" w:eastAsia="Arial" w:hAnsi="Arial"/>
                <w:sz w:val="14"/>
                <w:szCs w:val="14"/>
                <w:color w:val="auto"/>
                <w:w w:val="96"/>
              </w:rPr>
              <w:t>(IRS Employer</w:t>
            </w:r>
          </w:p>
        </w:tc>
      </w:tr>
      <w:tr>
        <w:trPr>
          <w:trHeight w:val="145"/>
        </w:trPr>
        <w:tc>
          <w:tcPr>
            <w:tcW w:w="660" w:type="dxa"/>
            <w:vAlign w:val="bottom"/>
          </w:tcPr>
          <w:p>
            <w:pPr>
              <w:spacing w:after="0"/>
              <w:rPr>
                <w:sz w:val="12"/>
                <w:szCs w:val="12"/>
                <w:color w:val="auto"/>
              </w:rPr>
            </w:pPr>
          </w:p>
        </w:tc>
        <w:tc>
          <w:tcPr>
            <w:tcW w:w="5320" w:type="dxa"/>
            <w:vAlign w:val="bottom"/>
            <w:gridSpan w:val="5"/>
          </w:tcPr>
          <w:p>
            <w:pPr>
              <w:jc w:val="center"/>
              <w:ind w:right="3228"/>
              <w:spacing w:after="0" w:line="145" w:lineRule="exact"/>
              <w:rPr>
                <w:sz w:val="20"/>
                <w:szCs w:val="20"/>
                <w:color w:val="auto"/>
              </w:rPr>
            </w:pPr>
            <w:r>
              <w:rPr>
                <w:rFonts w:ascii="Arial" w:cs="Arial" w:eastAsia="Arial" w:hAnsi="Arial"/>
                <w:sz w:val="14"/>
                <w:szCs w:val="14"/>
                <w:color w:val="auto"/>
                <w:w w:val="96"/>
              </w:rPr>
              <w:t>of incorporation or organization)</w:t>
            </w:r>
          </w:p>
        </w:tc>
        <w:tc>
          <w:tcPr>
            <w:tcW w:w="2360" w:type="dxa"/>
            <w:vAlign w:val="bottom"/>
          </w:tcPr>
          <w:p>
            <w:pPr>
              <w:jc w:val="center"/>
              <w:ind w:right="708"/>
              <w:spacing w:after="0" w:line="145" w:lineRule="exact"/>
              <w:rPr>
                <w:sz w:val="20"/>
                <w:szCs w:val="20"/>
                <w:color w:val="auto"/>
              </w:rPr>
            </w:pPr>
            <w:r>
              <w:rPr>
                <w:rFonts w:ascii="Arial" w:cs="Arial" w:eastAsia="Arial" w:hAnsi="Arial"/>
                <w:sz w:val="14"/>
                <w:szCs w:val="14"/>
                <w:color w:val="auto"/>
                <w:w w:val="97"/>
              </w:rPr>
              <w:t>Identification No.)</w:t>
            </w:r>
          </w:p>
        </w:tc>
      </w:tr>
      <w:tr>
        <w:trPr>
          <w:trHeight w:val="149"/>
        </w:trPr>
        <w:tc>
          <w:tcPr>
            <w:tcW w:w="66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1801 Augustine Cut-Off</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19803</w:t>
            </w:r>
          </w:p>
        </w:tc>
      </w:tr>
      <w:tr>
        <w:trPr>
          <w:trHeight w:val="149"/>
        </w:trPr>
        <w:tc>
          <w:tcPr>
            <w:tcW w:w="660" w:type="dxa"/>
            <w:vAlign w:val="bottom"/>
          </w:tcPr>
          <w:p>
            <w:pPr>
              <w:spacing w:after="0"/>
              <w:rPr>
                <w:sz w:val="12"/>
                <w:szCs w:val="12"/>
                <w:color w:val="auto"/>
              </w:rPr>
            </w:pPr>
          </w:p>
        </w:tc>
        <w:tc>
          <w:tcPr>
            <w:tcW w:w="182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8"/>
              </w:rPr>
              <w:t>Wilmington, DE</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60" w:type="dxa"/>
            <w:vAlign w:val="bottom"/>
          </w:tcPr>
          <w:p>
            <w:pPr>
              <w:jc w:val="center"/>
              <w:ind w:right="708"/>
              <w:spacing w:after="0" w:line="149" w:lineRule="exact"/>
              <w:rPr>
                <w:sz w:val="20"/>
                <w:szCs w:val="20"/>
                <w:color w:val="auto"/>
              </w:rPr>
            </w:pPr>
            <w:r>
              <w:rPr>
                <w:rFonts w:ascii="Arial" w:cs="Arial" w:eastAsia="Arial" w:hAnsi="Arial"/>
                <w:sz w:val="14"/>
                <w:szCs w:val="14"/>
                <w:color w:val="auto"/>
                <w:w w:val="94"/>
              </w:rPr>
              <w:t>(zip code)</w:t>
            </w:r>
          </w:p>
        </w:tc>
      </w:tr>
      <w:tr>
        <w:trPr>
          <w:trHeight w:val="153"/>
        </w:trPr>
        <w:tc>
          <w:tcPr>
            <w:tcW w:w="5980" w:type="dxa"/>
            <w:vAlign w:val="bottom"/>
            <w:gridSpan w:val="6"/>
          </w:tcPr>
          <w:p>
            <w:pPr>
              <w:jc w:val="center"/>
              <w:ind w:right="2568"/>
              <w:spacing w:after="0" w:line="153" w:lineRule="exact"/>
              <w:rPr>
                <w:sz w:val="20"/>
                <w:szCs w:val="20"/>
                <w:color w:val="auto"/>
              </w:rPr>
            </w:pPr>
            <w:r>
              <w:rPr>
                <w:rFonts w:ascii="Arial" w:cs="Arial" w:eastAsia="Arial" w:hAnsi="Arial"/>
                <w:sz w:val="14"/>
                <w:szCs w:val="14"/>
                <w:color w:val="auto"/>
                <w:w w:val="94"/>
              </w:rPr>
              <w:t>(Address of principal executives offices)</w:t>
            </w:r>
          </w:p>
        </w:tc>
        <w:tc>
          <w:tcPr>
            <w:tcW w:w="2360" w:type="dxa"/>
            <w:vAlign w:val="bottom"/>
          </w:tcPr>
          <w:p>
            <w:pPr>
              <w:jc w:val="center"/>
              <w:ind w:right="708"/>
              <w:spacing w:after="0" w:line="153" w:lineRule="exact"/>
              <w:rPr>
                <w:sz w:val="20"/>
                <w:szCs w:val="20"/>
                <w:color w:val="auto"/>
              </w:rPr>
            </w:pPr>
            <w:r>
              <w:rPr>
                <w:rFonts w:ascii="Arial" w:cs="Arial" w:eastAsia="Arial" w:hAnsi="Arial"/>
                <w:sz w:val="14"/>
                <w:szCs w:val="14"/>
                <w:b w:val="1"/>
                <w:bCs w:val="1"/>
                <w:color w:val="auto"/>
                <w:w w:val="93"/>
              </w:rPr>
              <w:t>(302) 498-6700</w:t>
            </w:r>
          </w:p>
        </w:tc>
      </w:tr>
      <w:tr>
        <w:trPr>
          <w:trHeight w:val="182"/>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580" w:type="dxa"/>
            <w:vAlign w:val="bottom"/>
            <w:gridSpan w:val="2"/>
          </w:tcPr>
          <w:p>
            <w:pPr>
              <w:jc w:val="center"/>
              <w:ind w:left="388"/>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57"/>
        </w:trPr>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500" w:type="dxa"/>
            <w:vAlign w:val="bottom"/>
            <w:gridSpan w:val="3"/>
          </w:tcPr>
          <w:p>
            <w:pPr>
              <w:jc w:val="center"/>
              <w:ind w:right="2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360" w:type="dxa"/>
            <w:vAlign w:val="bottom"/>
          </w:tcPr>
          <w:p>
            <w:pPr>
              <w:spacing w:after="0"/>
              <w:rPr>
                <w:sz w:val="22"/>
                <w:szCs w:val="22"/>
                <w:color w:val="auto"/>
              </w:rPr>
            </w:pPr>
          </w:p>
        </w:tc>
      </w:tr>
      <w:tr>
        <w:trPr>
          <w:trHeight w:val="228"/>
        </w:trPr>
        <w:tc>
          <w:tcPr>
            <w:tcW w:w="6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720" w:type="dxa"/>
            <w:vAlign w:val="bottom"/>
          </w:tcPr>
          <w:p>
            <w:pPr>
              <w:spacing w:after="0"/>
              <w:rPr>
                <w:sz w:val="19"/>
                <w:szCs w:val="19"/>
                <w:color w:val="auto"/>
              </w:rPr>
            </w:pPr>
          </w:p>
        </w:tc>
        <w:tc>
          <w:tcPr>
            <w:tcW w:w="350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2"/>
              </w:rPr>
              <w:t>Trading Symbol(s)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2480" w:type="dxa"/>
            <w:vAlign w:val="bottom"/>
            <w:gridSpan w:val="3"/>
          </w:tcPr>
          <w:p>
            <w:pPr>
              <w:jc w:val="center"/>
              <w:ind w:right="60"/>
              <w:spacing w:after="0"/>
              <w:rPr>
                <w:sz w:val="20"/>
                <w:szCs w:val="20"/>
                <w:color w:val="auto"/>
              </w:rPr>
            </w:pPr>
            <w:r>
              <w:rPr>
                <w:rFonts w:ascii="Arial" w:cs="Arial" w:eastAsia="Arial" w:hAnsi="Arial"/>
                <w:sz w:val="14"/>
                <w:szCs w:val="14"/>
                <w:color w:val="auto"/>
                <w:w w:val="91"/>
              </w:rPr>
              <w:t>Common Stock, $.001 par value per share</w:t>
            </w:r>
          </w:p>
        </w:tc>
        <w:tc>
          <w:tcPr>
            <w:tcW w:w="1140" w:type="dxa"/>
            <w:vAlign w:val="bottom"/>
          </w:tcPr>
          <w:p>
            <w:pPr>
              <w:spacing w:after="0"/>
              <w:rPr>
                <w:sz w:val="15"/>
                <w:szCs w:val="15"/>
                <w:color w:val="auto"/>
              </w:rPr>
            </w:pPr>
          </w:p>
        </w:tc>
        <w:tc>
          <w:tcPr>
            <w:tcW w:w="2360" w:type="dxa"/>
            <w:vAlign w:val="bottom"/>
            <w:gridSpan w:val="2"/>
          </w:tcPr>
          <w:p>
            <w:pPr>
              <w:jc w:val="center"/>
              <w:ind w:right="1148"/>
              <w:spacing w:after="0"/>
              <w:rPr>
                <w:sz w:val="20"/>
                <w:szCs w:val="20"/>
                <w:color w:val="auto"/>
              </w:rPr>
            </w:pPr>
            <w:r>
              <w:rPr>
                <w:rFonts w:ascii="Arial" w:cs="Arial" w:eastAsia="Arial" w:hAnsi="Arial"/>
                <w:sz w:val="14"/>
                <w:szCs w:val="14"/>
                <w:color w:val="auto"/>
              </w:rPr>
              <w:t>INCY</w:t>
            </w: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78" w:lineRule="exact"/>
        <w:rPr>
          <w:sz w:val="24"/>
          <w:szCs w:val="24"/>
          <w:color w:val="auto"/>
        </w:rPr>
      </w:pPr>
    </w:p>
    <w:p>
      <w:pPr>
        <w:ind w:left="5040"/>
        <w:spacing w:after="0"/>
        <w:rPr>
          <w:sz w:val="20"/>
          <w:szCs w:val="20"/>
          <w:color w:val="auto"/>
        </w:rPr>
      </w:pPr>
      <w:r>
        <w:rPr>
          <w:rFonts w:ascii="Arial" w:cs="Arial" w:eastAsia="Arial" w:hAnsi="Arial"/>
          <w:sz w:val="14"/>
          <w:szCs w:val="14"/>
          <w:b w:val="1"/>
          <w:bCs w:val="1"/>
          <w:color w:val="auto"/>
        </w:rPr>
        <w:t>None</w:t>
      </w:r>
    </w:p>
    <w:p>
      <w:pPr>
        <w:spacing w:after="0" w:line="12"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40"/>
        <w:spacing w:after="0" w:line="150" w:lineRule="exact"/>
        <w:tabs>
          <w:tab w:leader="none" w:pos="80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 (d)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21" w:lineRule="exact"/>
        <w:rPr>
          <w:sz w:val="24"/>
          <w:szCs w:val="24"/>
          <w:color w:val="auto"/>
        </w:rPr>
      </w:pPr>
    </w:p>
    <w:p>
      <w:pPr>
        <w:jc w:val="both"/>
        <w:ind w:firstLine="648"/>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8" w:lineRule="exact"/>
        <w:rPr>
          <w:sz w:val="24"/>
          <w:szCs w:val="24"/>
          <w:color w:val="auto"/>
        </w:rPr>
      </w:pPr>
    </w:p>
    <w:p>
      <w:pPr>
        <w:ind w:left="620"/>
        <w:spacing w:after="0" w:line="161" w:lineRule="exact"/>
        <w:tabs>
          <w:tab w:leader="none" w:pos="3240" w:val="left"/>
          <w:tab w:leader="none" w:pos="5500" w:val="left"/>
          <w:tab w:leader="none" w:pos="80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80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28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firstLine="648"/>
        <w:spacing w:after="0" w:line="253" w:lineRule="auto"/>
        <w:rPr>
          <w:sz w:val="20"/>
          <w:szCs w:val="20"/>
          <w:color w:val="auto"/>
        </w:rPr>
      </w:pPr>
      <w:r>
        <w:rPr>
          <w:rFonts w:ascii="Arial" w:cs="Arial" w:eastAsia="Arial" w:hAnsi="Arial"/>
          <w:sz w:val="14"/>
          <w:szCs w:val="14"/>
          <w:color w:val="auto"/>
        </w:rPr>
        <w:t>The aggregate market value of Common Stock held by non-affiliates (based on the closing sale price on The Nasdaq Global Select Market on June 30, 2019) was approximately $15.4 billion.</w:t>
      </w:r>
    </w:p>
    <w:p>
      <w:pPr>
        <w:spacing w:after="0" w:line="52" w:lineRule="exact"/>
        <w:rPr>
          <w:sz w:val="24"/>
          <w:szCs w:val="24"/>
          <w:color w:val="auto"/>
        </w:rPr>
      </w:pPr>
    </w:p>
    <w:p>
      <w:pPr>
        <w:ind w:left="640"/>
        <w:spacing w:after="0"/>
        <w:rPr>
          <w:sz w:val="20"/>
          <w:szCs w:val="20"/>
          <w:color w:val="auto"/>
        </w:rPr>
      </w:pPr>
      <w:r>
        <w:rPr>
          <w:rFonts w:ascii="Arial" w:cs="Arial" w:eastAsia="Arial" w:hAnsi="Arial"/>
          <w:sz w:val="14"/>
          <w:szCs w:val="14"/>
          <w:color w:val="auto"/>
        </w:rPr>
        <w:t>As of February 6, 2020 there were 216,775,534 shares of Common Stock, $.001 par value per share, outstanding.</w:t>
      </w:r>
    </w:p>
    <w:p>
      <w:pPr>
        <w:spacing w:after="0" w:line="65"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firstLine="648"/>
        <w:spacing w:after="0" w:line="256" w:lineRule="auto"/>
        <w:rPr>
          <w:sz w:val="20"/>
          <w:szCs w:val="20"/>
          <w:color w:val="auto"/>
        </w:rPr>
      </w:pPr>
      <w:r>
        <w:rPr>
          <w:rFonts w:ascii="Arial" w:cs="Arial" w:eastAsia="Arial" w:hAnsi="Arial"/>
          <w:sz w:val="13"/>
          <w:szCs w:val="13"/>
          <w:color w:val="auto"/>
        </w:rPr>
        <w:t>Items 10 (as to directors and Delinquent Section 16(a) Reports), 11, 12, 13 and 14 of Part III incorporate by reference information from the registrant’s proxy statement to be filed with the Securities and Exchange Commission in connection with the solicitation of proxies for the registrant’s 2020 Annual Meeting of Stockholders to be held 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May 26, 2020</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901065</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111760</wp:posOffset>
            </wp:positionV>
            <wp:extent cx="65951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94615</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2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98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60" w:type="dxa"/>
            <w:vAlign w:val="bottom"/>
            <w:gridSpan w:val="5"/>
          </w:tcPr>
          <w:p>
            <w:pPr>
              <w:spacing w:after="0"/>
              <w:rPr>
                <w:sz w:val="16"/>
                <w:szCs w:val="16"/>
                <w:color w:val="auto"/>
              </w:rPr>
            </w:pPr>
          </w:p>
        </w:tc>
        <w:tc>
          <w:tcPr>
            <w:tcW w:w="7580" w:type="dxa"/>
            <w:vAlign w:val="bottom"/>
            <w:gridSpan w:val="21"/>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Item 1A.</w:t>
              </w:r>
            </w:hyperlink>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3">
              <w:r>
                <w:rPr>
                  <w:rFonts w:ascii="Arial" w:cs="Arial" w:eastAsia="Arial" w:hAnsi="Arial"/>
                  <w:sz w:val="18"/>
                  <w:szCs w:val="18"/>
                  <w:color w:val="0000EE"/>
                  <w:w w:val="83"/>
                </w:rPr>
                <w:t>Item 1B.</w:t>
              </w:r>
            </w:hyperlink>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80" w:type="dxa"/>
            <w:vAlign w:val="bottom"/>
          </w:tcPr>
          <w:p>
            <w:pPr>
              <w:spacing w:after="0"/>
              <w:rPr>
                <w:sz w:val="17"/>
                <w:szCs w:val="17"/>
                <w:color w:val="auto"/>
              </w:rPr>
            </w:pPr>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460" w:type="dxa"/>
            <w:vAlign w:val="bottom"/>
            <w:gridSpan w:val="5"/>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460" w:type="dxa"/>
            <w:vAlign w:val="bottom"/>
            <w:gridSpan w:val="5"/>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vMerge w:val="restart"/>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w:t>
              </w:r>
            </w:hyperlink>
          </w:p>
        </w:tc>
        <w:tc>
          <w:tcPr>
            <w:tcW w:w="300" w:type="dxa"/>
            <w:vAlign w:val="bottom"/>
            <w:gridSpan w:val="3"/>
            <w:vMerge w:val="restart"/>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Information about our Executive Officers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1"/>
        </w:trPr>
        <w:tc>
          <w:tcPr>
            <w:tcW w:w="680" w:type="dxa"/>
            <w:vAlign w:val="bottom"/>
            <w:tcBorders>
              <w:bottom w:val="single" w:sz="8" w:color="0000EE"/>
            </w:tcBorders>
            <w:gridSpan w:val="3"/>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5.</w:t>
              </w:r>
            </w:hyperlink>
          </w:p>
        </w:tc>
        <w:tc>
          <w:tcPr>
            <w:tcW w:w="460" w:type="dxa"/>
            <w:vAlign w:val="bottom"/>
            <w:gridSpan w:val="5"/>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Market for Registrant’s Common Equity, Related Stockholder Matters and Issuer Purchases of Equity</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Securities</w:t>
              </w:r>
            </w:hyperlink>
          </w:p>
        </w:tc>
        <w:tc>
          <w:tcPr>
            <w:tcW w:w="684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460" w:type="dxa"/>
            <w:vAlign w:val="bottom"/>
            <w:gridSpan w:val="5"/>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7.</w:t>
              </w:r>
            </w:hyperlink>
          </w:p>
        </w:tc>
        <w:tc>
          <w:tcPr>
            <w:tcW w:w="460" w:type="dxa"/>
            <w:vAlign w:val="bottom"/>
            <w:gridSpan w:val="5"/>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73">
              <w:r>
                <w:rPr>
                  <w:rFonts w:ascii="Arial" w:cs="Arial" w:eastAsia="Arial" w:hAnsi="Arial"/>
                  <w:sz w:val="18"/>
                  <w:szCs w:val="18"/>
                  <w:color w:val="0000EE"/>
                  <w:w w:val="83"/>
                </w:rPr>
                <w:t>Item 7A.</w:t>
              </w:r>
            </w:hyperlink>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8.</w:t>
              </w:r>
            </w:hyperlink>
          </w:p>
        </w:tc>
        <w:tc>
          <w:tcPr>
            <w:tcW w:w="80" w:type="dxa"/>
            <w:vAlign w:val="bottom"/>
          </w:tcPr>
          <w:p>
            <w:pPr>
              <w:spacing w:after="0"/>
              <w:rPr>
                <w:sz w:val="17"/>
                <w:szCs w:val="17"/>
                <w:color w:val="auto"/>
              </w:rPr>
            </w:pPr>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Item 9.</w:t>
              </w:r>
            </w:hyperlink>
          </w:p>
        </w:tc>
        <w:tc>
          <w:tcPr>
            <w:tcW w:w="460" w:type="dxa"/>
            <w:vAlign w:val="bottom"/>
            <w:gridSpan w:val="5"/>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 Disclosure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19">
              <w:r>
                <w:rPr>
                  <w:rFonts w:ascii="Arial" w:cs="Arial" w:eastAsia="Arial" w:hAnsi="Arial"/>
                  <w:sz w:val="18"/>
                  <w:szCs w:val="18"/>
                  <w:color w:val="0000EE"/>
                  <w:w w:val="83"/>
                </w:rPr>
                <w:t>Item 9A.</w:t>
              </w:r>
            </w:hyperlink>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Controls and Procedures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22">
              <w:r>
                <w:rPr>
                  <w:rFonts w:ascii="Arial" w:cs="Arial" w:eastAsia="Arial" w:hAnsi="Arial"/>
                  <w:sz w:val="18"/>
                  <w:szCs w:val="18"/>
                  <w:color w:val="0000EE"/>
                  <w:w w:val="83"/>
                </w:rPr>
                <w:t>Item 9B.</w:t>
              </w:r>
            </w:hyperlink>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10.</w:t>
              </w:r>
            </w:hyperlink>
          </w:p>
        </w:tc>
        <w:tc>
          <w:tcPr>
            <w:tcW w:w="75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Directors, Executive Officers and Corporate Governance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Item 11.</w:t>
              </w:r>
            </w:hyperlink>
          </w:p>
        </w:tc>
        <w:tc>
          <w:tcPr>
            <w:tcW w:w="380" w:type="dxa"/>
            <w:vAlign w:val="bottom"/>
            <w:gridSpan w:val="4"/>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Executive Compensation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12.</w:t>
              </w:r>
            </w:hyperlink>
          </w:p>
        </w:tc>
        <w:tc>
          <w:tcPr>
            <w:tcW w:w="7580" w:type="dxa"/>
            <w:vAlign w:val="bottom"/>
            <w:gridSpan w:val="21"/>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Security Ownership of Certain Beneficial Owners and Management and Related Stockholder Matters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13.</w:t>
              </w:r>
            </w:hyperlink>
          </w:p>
        </w:tc>
        <w:tc>
          <w:tcPr>
            <w:tcW w:w="7580" w:type="dxa"/>
            <w:vAlign w:val="bottom"/>
            <w:gridSpan w:val="2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Transactions, and Director Independence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14.</w:t>
              </w:r>
            </w:hyperlink>
          </w:p>
        </w:tc>
        <w:tc>
          <w:tcPr>
            <w:tcW w:w="7580" w:type="dxa"/>
            <w:vAlign w:val="bottom"/>
            <w:gridSpan w:val="2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Accountant Fees and Services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123">
              <w:r>
                <w:rPr>
                  <w:rFonts w:ascii="Arial" w:cs="Arial" w:eastAsia="Arial" w:hAnsi="Arial"/>
                  <w:sz w:val="18"/>
                  <w:szCs w:val="18"/>
                  <w:b w:val="1"/>
                  <w:bCs w:val="1"/>
                  <w:color w:val="0000EE"/>
                  <w:w w:val="98"/>
                </w:rPr>
                <w:t>PART IV</w:t>
              </w:r>
            </w:hyperlink>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15.</w:t>
              </w:r>
            </w:hyperlink>
          </w:p>
        </w:tc>
        <w:tc>
          <w:tcPr>
            <w:tcW w:w="7580" w:type="dxa"/>
            <w:vAlign w:val="bottom"/>
            <w:gridSpan w:val="2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Exhibits, Financial Statement Schedules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16.</w:t>
              </w:r>
            </w:hyperlink>
          </w:p>
        </w:tc>
        <w:tc>
          <w:tcPr>
            <w:tcW w:w="758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Form 10-K Summary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602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59" w:lineRule="exact"/>
        <w:rPr>
          <w:sz w:val="20"/>
          <w:szCs w:val="20"/>
          <w:color w:val="auto"/>
        </w:rPr>
      </w:pPr>
    </w:p>
    <w:p>
      <w:pPr>
        <w:ind w:left="1000" w:hanging="323"/>
        <w:spacing w:after="0" w:line="235"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36"/>
          <w:szCs w:val="36"/>
          <w:color w:val="auto"/>
          <w:vertAlign w:val="superscript"/>
        </w:rPr>
        <w:t>®</w:t>
      </w:r>
      <w:r>
        <w:rPr>
          <w:rFonts w:ascii="Arial" w:cs="Arial" w:eastAsia="Arial" w:hAnsi="Arial"/>
          <w:sz w:val="18"/>
          <w:szCs w:val="18"/>
          <w:i w:val="1"/>
          <w:iCs w:val="1"/>
          <w:color w:val="auto"/>
        </w:rPr>
        <w:t>/JAKAVI</w:t>
      </w:r>
      <w:r>
        <w:rPr>
          <w:rFonts w:ascii="Arial" w:cs="Arial" w:eastAsia="Arial" w:hAnsi="Arial"/>
          <w:sz w:val="36"/>
          <w:szCs w:val="36"/>
          <w:color w:val="auto"/>
          <w:vertAlign w:val="superscript"/>
        </w:rPr>
        <w:t>®</w:t>
      </w:r>
      <w:r>
        <w:rPr>
          <w:rFonts w:ascii="Arial" w:cs="Arial" w:eastAsia="Arial" w:hAnsi="Arial"/>
          <w:sz w:val="18"/>
          <w:szCs w:val="18"/>
          <w:i w:val="1"/>
          <w:iCs w:val="1"/>
          <w:color w:val="auto"/>
        </w:rPr>
        <w:t xml:space="preserve"> (ruxolitinib) and ICLUSIG</w:t>
      </w:r>
      <w:r>
        <w:rPr>
          <w:rFonts w:ascii="Arial" w:cs="Arial" w:eastAsia="Arial" w:hAnsi="Arial"/>
          <w:sz w:val="36"/>
          <w:szCs w:val="36"/>
          <w:color w:val="auto"/>
          <w:vertAlign w:val="superscript"/>
        </w:rPr>
        <w:t>®</w:t>
      </w:r>
      <w:r>
        <w:rPr>
          <w:rFonts w:ascii="Arial" w:cs="Arial" w:eastAsia="Arial" w:hAnsi="Arial"/>
          <w:sz w:val="18"/>
          <w:szCs w:val="18"/>
          <w:i w:val="1"/>
          <w:iCs w:val="1"/>
          <w:color w:val="auto"/>
        </w:rPr>
        <w:t xml:space="preserve"> (ponatinib);</w:t>
      </w:r>
    </w:p>
    <w:p>
      <w:pPr>
        <w:spacing w:after="0" w:line="2"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141"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licensing, investment and commercialization strategies, including our plans to commercialize JAKAFI and</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i w:val="1"/>
          <w:iCs w:val="1"/>
          <w:color w:val="auto"/>
        </w:rPr>
        <w:t>ICLUSIG;</w:t>
      </w:r>
    </w:p>
    <w:p>
      <w:pPr>
        <w:spacing w:after="0" w:line="210" w:lineRule="exact"/>
        <w:rPr>
          <w:rFonts w:ascii="Arial" w:cs="Arial" w:eastAsia="Arial" w:hAnsi="Arial"/>
          <w:sz w:val="16"/>
          <w:szCs w:val="16"/>
          <w:color w:val="auto"/>
        </w:rPr>
      </w:pPr>
    </w:p>
    <w:p>
      <w:pPr>
        <w:ind w:left="1000" w:hanging="32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211" w:lineRule="exact"/>
        <w:rPr>
          <w:rFonts w:ascii="Arial" w:cs="Arial" w:eastAsia="Arial" w:hAnsi="Arial"/>
          <w:sz w:val="18"/>
          <w:szCs w:val="18"/>
          <w:color w:val="auto"/>
        </w:rPr>
      </w:pPr>
    </w:p>
    <w:p>
      <w:pPr>
        <w:ind w:left="1000" w:hanging="323"/>
        <w:spacing w:after="0" w:line="235"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161"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157" w:lineRule="exact"/>
        <w:rPr>
          <w:rFonts w:ascii="Arial" w:cs="Arial" w:eastAsia="Arial" w:hAnsi="Arial"/>
          <w:sz w:val="18"/>
          <w:szCs w:val="18"/>
          <w:color w:val="auto"/>
        </w:rPr>
      </w:pPr>
    </w:p>
    <w:p>
      <w:pPr>
        <w:ind w:left="1000" w:hanging="323"/>
        <w:spacing w:after="0"/>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expectations relating to our new European headquarters, including construction activities, and the anticipated completion date for our large molecule production facility;</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1" w:lineRule="exact"/>
        <w:rPr>
          <w:sz w:val="20"/>
          <w:szCs w:val="20"/>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and ICLUSIG;</w:t>
      </w:r>
    </w:p>
    <w:p>
      <w:pPr>
        <w:spacing w:after="0" w:line="211" w:lineRule="exact"/>
        <w:rPr>
          <w:rFonts w:ascii="Arial" w:cs="Arial" w:eastAsia="Arial" w:hAnsi="Arial"/>
          <w:sz w:val="18"/>
          <w:szCs w:val="18"/>
          <w:color w:val="auto"/>
        </w:rPr>
      </w:pPr>
    </w:p>
    <w:p>
      <w:pPr>
        <w:ind w:left="1000" w:hanging="323"/>
        <w:spacing w:after="0" w:line="23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21"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44" w:lineRule="exact"/>
        <w:rPr>
          <w:rFonts w:ascii="Arial" w:cs="Arial" w:eastAsia="Arial" w:hAnsi="Arial"/>
          <w:sz w:val="18"/>
          <w:szCs w:val="18"/>
          <w:color w:val="auto"/>
        </w:rPr>
      </w:pPr>
    </w:p>
    <w:p>
      <w:pPr>
        <w:ind w:left="1000" w:hanging="323"/>
        <w:spacing w:after="0" w:line="23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21"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44"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44" w:lineRule="exact"/>
        <w:rPr>
          <w:rFonts w:ascii="Arial" w:cs="Arial" w:eastAsia="Arial" w:hAnsi="Arial"/>
          <w:sz w:val="18"/>
          <w:szCs w:val="18"/>
          <w:color w:val="auto"/>
        </w:rPr>
      </w:pPr>
    </w:p>
    <w:p>
      <w:pPr>
        <w:ind w:left="1000" w:hanging="323"/>
        <w:spacing w:after="0" w:line="23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34"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relating to our reliance on third-party manufacturers, collaborators, and clinical research organizations;</w:t>
      </w:r>
    </w:p>
    <w:p>
      <w:pPr>
        <w:spacing w:after="0" w:line="248" w:lineRule="exact"/>
        <w:rPr>
          <w:rFonts w:ascii="Arial" w:cs="Arial" w:eastAsia="Arial" w:hAnsi="Arial"/>
          <w:sz w:val="16"/>
          <w:szCs w:val="16"/>
          <w:color w:val="auto"/>
        </w:rPr>
      </w:pPr>
    </w:p>
    <w:p>
      <w:pPr>
        <w:ind w:left="1000" w:hanging="32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36" w:lineRule="exact"/>
        <w:rPr>
          <w:rFonts w:ascii="Arial" w:cs="Arial" w:eastAsia="Arial" w:hAnsi="Arial"/>
          <w:sz w:val="17"/>
          <w:szCs w:val="17"/>
          <w:color w:val="auto"/>
        </w:rPr>
      </w:pPr>
    </w:p>
    <w:p>
      <w:pPr>
        <w:ind w:left="1000" w:hanging="32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and the drug candidates licensed from us;</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new European headquarters and large molecule production facility;</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Incyte and JAKAFI are our registered trademarks. We also refer to trademarks of other corporations and organizations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We conduct our European clinical development and commercial operations from our offices in Geneva, Switzerland, and Lausanne, Switzerland; and we conduct our Japanese operations from our office in Tokyo.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JAKAFI (ruxolitinib) is our first product to be approved for sale in the United States. It was approved by the U.S. Food and Drug Administration (FDA) in November 2011 for the treatment of adults with intermediate or high-risk myelofibrosis, in December 2014 for the treatment of adults with polycythemia vera who have had an inadequate response to or are intolerant of hydroxyurea and in May 2019 for the treatment of steroid-refractory acute graft-versus-host disease (GVHD)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167" w:lineRule="exact"/>
        <w:rPr>
          <w:sz w:val="20"/>
          <w:szCs w:val="20"/>
          <w:color w:val="auto"/>
        </w:rPr>
      </w:pPr>
    </w:p>
    <w:p>
      <w:pPr>
        <w:jc w:val="both"/>
        <w:ind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ET, acute lymphoblastic leukemia (ALL) and GVHD.</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 meets certain eligibility criteria and is prescribed JAKAFI has access to the product regardless of ability to pay and has access to ongoing support and educational resources during treatment.</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JAKAFI is distributed primarily through a network of specialty pharmacy providers and wholesalers that allow for efficient delivery of the medication by mail directly to patients or direct delivery to the patient’s pharmacy. Our</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distribution process uses a model that is well-established and familiar to physicians who practice within the oncology field.</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7"/>
          <w:szCs w:val="27"/>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 genetically</w:t>
      </w:r>
      <w:r>
        <w:rPr>
          <w:rFonts w:ascii="Arial" w:cs="Arial" w:eastAsia="Arial" w:hAnsi="Arial"/>
          <w:sz w:val="18"/>
          <w:szCs w:val="18"/>
          <w:i w:val="1"/>
          <w:iCs w:val="1"/>
          <w:color w:val="auto"/>
        </w:rPr>
        <w:t xml:space="preserve"> </w:t>
      </w:r>
      <w:r>
        <w:rPr>
          <w:rFonts w:ascii="Arial" w:cs="Arial" w:eastAsia="Arial" w:hAnsi="Arial"/>
          <w:sz w:val="18"/>
          <w:szCs w:val="18"/>
          <w:color w:val="auto"/>
        </w:rPr>
        <w:t>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Based on positive Phase II data, we are preparing a pivotal trial program of ruxolitinib in combination with parsaclisib (PI3Kδ). Additional Phase II trials combining ruxolitinib with investigational agents from our portfolio such as INCB53914 (PIM), INCB57643 (BET) and INCB00928 (ALK2) in patients with MF are either ongoing or in preparation.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positive proof-of-concept data, we initiated the pivotal RESET trial investigating ruxolitinib for the treatment of patients with essential thrombocythemia (ET). In February 2020, it was decided to end recruitment into the RESET trial.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REACH clinical program evaluates ruxolitinib in patients with steroid-refractory GVHD and includes REACH2, a Novartis-sponsored Phase III trial in steroid-refractory acute GVHD, and REACH3, a Phase III trial in steroid-refractory chronic GVHD that is co-sponsored by Incyte and Novartis.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The result of REACH3 is expected to be available in 2020.</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second JAK inhibitor in development is itacitinib, which is a selective JAK1 inhibitor. In January 2020, we announced that in the pivotal Phase III GRAVITAS-301 trial in patients with steroid-naïve acute GVHD, itacitinib plus corticosteroids did not meet the primary endpoint of improving ORR at Day 28 compared to placebo plus corticosteroids. Itacitinib is also being evaluated in GRAVITAS-309, a pivotal Phase III trial of itacitinib in patients with steroid-naïve chronic GVHD. The FDA has granted itacitinib orphan drug status for GVHD.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FGFR1/2/3 Inhibition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including FIGHT-205, which is evaluating pemigatinib plus pembrolizumab versus pemigatinib alone versus standard of care for metastatic or unresectable urothelial carcinoma in cisplatin-ineligible patients whose tumors express FGFR3 mutation or rearrangement, and FIGHT-207 which is a solid tumor-agnostic trial evaluating pemigatinib in patients with driver-alterations of FGF/FGFR.</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2019, we announced positive updated data from the FIGHT-202 trial evaluating pemigatinib in patients with advanced/metastatic or surgically unresectable cholangiocarcinoma who failed at least one previous treatment. FIGHT-302, a Phase III trial of pemigatinib for the first-line treatment of patients with cholangiocarcinoma and FGFR2 fusions or rearrangements was initiated in June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November 2019, we announced that the FDA had accepted for Priority Review our New Drug Application (NDA) for pemigatinib as a treatment for patients with previously treated, locally advanced or metastatic cholangiocarcinoma with FGFR2 fusions or rearrangements. The Prescription Drug User Fee Act (PDUFA) target action date is May 30, 2020. In January 2020, we announced that the Marketing Authorization Application (MAA) for pemigatinib as a treatment of adults with locally advanced or metastatic cholangiocarcinoma with an FGFR2 fusion or rearrangement that is relapsed or refractory after at least one line of systemic therapy had been validated by the European Medicines Agency (EMA).</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Cholangiocarcinoma is a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U.S., Europe and Japan.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Pemigatinib has been granted Breakthrough Therapy designation by the FDA as a treatment for patients with previously treated, advanced/metastatic or unresectable FGFR2 translocated cholangiocarcinoma and as a treatment for patients with myeloid/lymphoid neoplasms with FGFR1 rearrangement (8p11 MPN) who have relapsed or are refractory to initial chemotherapy.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2017, we and MacroGenics, Inc. announced an exclusive global collaboration and license agreement for MacroGenics’ INCMGA0012, an investigational monoclonal antibody that inhibits PD-1. Under this collaboration, we obtained exclusive worldwide rights for the development and commercialization of INCMGA0012 in all indications. The molecule is currently being evaluated both as monotherapy and in combination therapy across various tumor types. Potentially registration-enabling trials in anal cancer, MSI-high endometrial cancer and Merkel cell carcinoma are ongoing, and a Phase III program evaluating INCMGA0012 in first-line non-small cell lung cancer (NSCLC) is in preparation.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PI3K-delta pathway mediates oncogenic signaling in B cell malignancies. Parsaclisib is a PI3K-delta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70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000" w:type="dxa"/>
            <w:vAlign w:val="bottom"/>
            <w:tcBorders>
              <w:bottom w:val="single" w:sz="8" w:color="auto"/>
            </w:tcBorders>
          </w:tcPr>
          <w:p>
            <w:pPr>
              <w:spacing w:after="0"/>
              <w:rPr>
                <w:sz w:val="4"/>
                <w:szCs w:val="4"/>
                <w:color w:val="auto"/>
              </w:rPr>
            </w:pPr>
          </w:p>
        </w:tc>
        <w:tc>
          <w:tcPr>
            <w:tcW w:w="7060" w:type="dxa"/>
            <w:vAlign w:val="bottom"/>
            <w:tcBorders>
              <w:bottom w:val="single" w:sz="8" w:color="auto"/>
            </w:tcBorders>
          </w:tcPr>
          <w:p>
            <w:pPr>
              <w:spacing w:after="0"/>
              <w:rPr>
                <w:sz w:val="4"/>
                <w:szCs w:val="4"/>
                <w:color w:val="auto"/>
              </w:rPr>
            </w:pPr>
          </w:p>
        </w:tc>
      </w:tr>
      <w:tr>
        <w:trPr>
          <w:trHeight w:val="142"/>
        </w:trPr>
        <w:tc>
          <w:tcPr>
            <w:tcW w:w="200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Ruxolitinib</w:t>
            </w:r>
          </w:p>
        </w:tc>
        <w:tc>
          <w:tcPr>
            <w:tcW w:w="7060" w:type="dxa"/>
            <w:vAlign w:val="bottom"/>
            <w:shd w:val="clear" w:color="auto" w:fill="CCEEFF"/>
          </w:tcPr>
          <w:p>
            <w:pPr>
              <w:ind w:left="120"/>
              <w:spacing w:after="0" w:line="142" w:lineRule="exact"/>
              <w:rPr>
                <w:sz w:val="20"/>
                <w:szCs w:val="20"/>
                <w:color w:val="auto"/>
              </w:rPr>
            </w:pPr>
            <w:r>
              <w:rPr>
                <w:rFonts w:ascii="Arial" w:cs="Arial" w:eastAsia="Arial" w:hAnsi="Arial"/>
                <w:sz w:val="12"/>
                <w:szCs w:val="12"/>
                <w:color w:val="auto"/>
              </w:rPr>
              <w:t>Steroid-refractory chronic GVHD: Phase III (REACH3)</w:t>
            </w:r>
            <w:r>
              <w:rPr>
                <w:rFonts w:ascii="Arial" w:cs="Arial" w:eastAsia="Arial" w:hAnsi="Arial"/>
                <w:sz w:val="16"/>
                <w:szCs w:val="16"/>
                <w:color w:val="auto"/>
                <w:vertAlign w:val="superscript"/>
              </w:rPr>
              <w:t>1</w:t>
            </w:r>
          </w:p>
        </w:tc>
      </w:tr>
      <w:tr>
        <w:trPr>
          <w:trHeight w:val="216"/>
        </w:trPr>
        <w:tc>
          <w:tcPr>
            <w:tcW w:w="2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Refractory myelofibrosis: Phase III with parsaclisib (PI3Kδ) in preparation; Phase II with</w:t>
            </w:r>
          </w:p>
        </w:tc>
      </w:tr>
      <w:tr>
        <w:trPr>
          <w:trHeight w:val="202"/>
        </w:trPr>
        <w:tc>
          <w:tcPr>
            <w:tcW w:w="2000" w:type="dxa"/>
            <w:vAlign w:val="bottom"/>
            <w:shd w:val="clear" w:color="auto" w:fill="CCEEFF"/>
          </w:tcPr>
          <w:p>
            <w:pPr>
              <w:spacing w:after="0"/>
              <w:rPr>
                <w:sz w:val="17"/>
                <w:szCs w:val="17"/>
                <w:color w:val="auto"/>
              </w:rPr>
            </w:pPr>
          </w:p>
        </w:tc>
        <w:tc>
          <w:tcPr>
            <w:tcW w:w="70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INCB53914 (PIM) ongoing, INCB57643 (BET) in preparation</w:t>
            </w:r>
          </w:p>
        </w:tc>
      </w:tr>
      <w:tr>
        <w:trPr>
          <w:trHeight w:val="230"/>
        </w:trPr>
        <w:tc>
          <w:tcPr>
            <w:tcW w:w="2000" w:type="dxa"/>
            <w:vAlign w:val="bottom"/>
            <w:shd w:val="clear" w:color="auto" w:fill="CCEEFF"/>
          </w:tcPr>
          <w:p>
            <w:pPr>
              <w:spacing w:after="0"/>
              <w:rPr>
                <w:sz w:val="20"/>
                <w:szCs w:val="20"/>
                <w:color w:val="auto"/>
              </w:rPr>
            </w:pP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Myelofibrosis: Phase II with INCB00928 (ALK2) in preparation</w:t>
            </w:r>
          </w:p>
        </w:tc>
      </w:tr>
      <w:tr>
        <w:trPr>
          <w:trHeight w:val="230"/>
        </w:trPr>
        <w:tc>
          <w:tcPr>
            <w:tcW w:w="2000" w:type="dxa"/>
            <w:vAlign w:val="bottom"/>
            <w:shd w:val="clear" w:color="auto" w:fill="CCEEFF"/>
          </w:tcPr>
          <w:p>
            <w:pPr>
              <w:spacing w:after="0"/>
              <w:rPr>
                <w:sz w:val="19"/>
                <w:szCs w:val="19"/>
                <w:color w:val="auto"/>
              </w:rPr>
            </w:pPr>
          </w:p>
        </w:tc>
        <w:tc>
          <w:tcPr>
            <w:tcW w:w="7060" w:type="dxa"/>
            <w:vAlign w:val="bottom"/>
            <w:shd w:val="clear" w:color="auto" w:fill="CCEEFF"/>
          </w:tcPr>
          <w:p>
            <w:pPr>
              <w:spacing w:after="0"/>
              <w:rPr>
                <w:sz w:val="19"/>
                <w:szCs w:val="19"/>
                <w:color w:val="auto"/>
              </w:rPr>
            </w:pPr>
          </w:p>
        </w:tc>
      </w:tr>
      <w:tr>
        <w:trPr>
          <w:trHeight w:val="149"/>
        </w:trPr>
        <w:tc>
          <w:tcPr>
            <w:tcW w:w="20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Once-a-day ruxolitinib</w:t>
            </w:r>
          </w:p>
        </w:tc>
        <w:tc>
          <w:tcPr>
            <w:tcW w:w="7060" w:type="dxa"/>
            <w:vAlign w:val="bottom"/>
          </w:tcPr>
          <w:p>
            <w:pPr>
              <w:ind w:left="120"/>
              <w:spacing w:after="0" w:line="149" w:lineRule="exact"/>
              <w:rPr>
                <w:sz w:val="20"/>
                <w:szCs w:val="20"/>
                <w:color w:val="auto"/>
              </w:rPr>
            </w:pPr>
            <w:r>
              <w:rPr>
                <w:rFonts w:ascii="Arial" w:cs="Arial" w:eastAsia="Arial" w:hAnsi="Arial"/>
                <w:sz w:val="17"/>
                <w:szCs w:val="17"/>
                <w:color w:val="auto"/>
              </w:rPr>
              <w:t>Myelofibrosis and polycythemia vera: clinical pharmacology studies</w:t>
            </w:r>
          </w:p>
        </w:tc>
      </w:tr>
      <w:tr>
        <w:trPr>
          <w:trHeight w:val="234"/>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(JAK1/JAK2)</w:t>
            </w:r>
          </w:p>
        </w:tc>
        <w:tc>
          <w:tcPr>
            <w:tcW w:w="7060" w:type="dxa"/>
            <w:vAlign w:val="bottom"/>
          </w:tcPr>
          <w:p>
            <w:pPr>
              <w:spacing w:after="0"/>
              <w:rPr>
                <w:sz w:val="20"/>
                <w:szCs w:val="20"/>
                <w:color w:val="auto"/>
              </w:rPr>
            </w:pPr>
          </w:p>
        </w:tc>
      </w:tr>
      <w:tr>
        <w:trPr>
          <w:trHeight w:val="144"/>
        </w:trPr>
        <w:tc>
          <w:tcPr>
            <w:tcW w:w="2000" w:type="dxa"/>
            <w:vAlign w:val="bottom"/>
          </w:tcPr>
          <w:p>
            <w:pPr>
              <w:spacing w:after="0"/>
              <w:rPr>
                <w:sz w:val="12"/>
                <w:szCs w:val="12"/>
                <w:color w:val="auto"/>
              </w:rPr>
            </w:pPr>
          </w:p>
        </w:tc>
        <w:tc>
          <w:tcPr>
            <w:tcW w:w="7060" w:type="dxa"/>
            <w:vAlign w:val="bottom"/>
          </w:tcPr>
          <w:p>
            <w:pPr>
              <w:spacing w:after="0"/>
              <w:rPr>
                <w:sz w:val="12"/>
                <w:szCs w:val="12"/>
                <w:color w:val="auto"/>
              </w:rPr>
            </w:pPr>
          </w:p>
        </w:tc>
      </w:tr>
      <w:tr>
        <w:trPr>
          <w:trHeight w:val="234"/>
        </w:trPr>
        <w:tc>
          <w:tcPr>
            <w:tcW w:w="2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Itacitinib (JAK1)</w:t>
            </w: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Treatment-naïve chronic GVHD: Phase III (GRAVITAS-309)</w:t>
            </w:r>
          </w:p>
        </w:tc>
      </w:tr>
      <w:tr>
        <w:trPr>
          <w:trHeight w:val="279"/>
        </w:trPr>
        <w:tc>
          <w:tcPr>
            <w:tcW w:w="200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r>
      <w:tr>
        <w:trPr>
          <w:trHeight w:val="149"/>
        </w:trPr>
        <w:tc>
          <w:tcPr>
            <w:tcW w:w="20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Pemigatinib</w:t>
            </w:r>
          </w:p>
        </w:tc>
        <w:tc>
          <w:tcPr>
            <w:tcW w:w="7060" w:type="dxa"/>
            <w:vAlign w:val="bottom"/>
          </w:tcPr>
          <w:p>
            <w:pPr>
              <w:ind w:left="120"/>
              <w:spacing w:after="0" w:line="149" w:lineRule="exact"/>
              <w:rPr>
                <w:sz w:val="20"/>
                <w:szCs w:val="20"/>
                <w:color w:val="auto"/>
              </w:rPr>
            </w:pPr>
            <w:r>
              <w:rPr>
                <w:rFonts w:ascii="Arial" w:cs="Arial" w:eastAsia="Arial" w:hAnsi="Arial"/>
                <w:sz w:val="17"/>
                <w:szCs w:val="17"/>
                <w:color w:val="auto"/>
              </w:rPr>
              <w:t>Cholangiocarcinoma: Phase II (FIGHT-202), Phase III (FIGHT-302)</w:t>
            </w:r>
          </w:p>
        </w:tc>
      </w:tr>
      <w:tr>
        <w:trPr>
          <w:trHeight w:val="242"/>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(FGFR1/2/3)</w:t>
            </w:r>
          </w:p>
        </w:tc>
        <w:tc>
          <w:tcPr>
            <w:tcW w:w="7060" w:type="dxa"/>
            <w:vAlign w:val="bottom"/>
          </w:tcPr>
          <w:p>
            <w:pPr>
              <w:ind w:left="120"/>
              <w:spacing w:after="0"/>
              <w:rPr>
                <w:sz w:val="20"/>
                <w:szCs w:val="20"/>
                <w:color w:val="auto"/>
              </w:rPr>
            </w:pPr>
            <w:r>
              <w:rPr>
                <w:rFonts w:ascii="Arial" w:cs="Arial" w:eastAsia="Arial" w:hAnsi="Arial"/>
                <w:sz w:val="18"/>
                <w:szCs w:val="18"/>
                <w:color w:val="auto"/>
              </w:rPr>
              <w:t>Bladder cancer: Phase II (FIGHT-201, FIGHT-205)</w:t>
            </w:r>
          </w:p>
        </w:tc>
      </w:tr>
      <w:tr>
        <w:trPr>
          <w:trHeight w:val="216"/>
        </w:trPr>
        <w:tc>
          <w:tcPr>
            <w:tcW w:w="2000" w:type="dxa"/>
            <w:vAlign w:val="bottom"/>
          </w:tcPr>
          <w:p>
            <w:pPr>
              <w:spacing w:after="0"/>
              <w:rPr>
                <w:sz w:val="18"/>
                <w:szCs w:val="18"/>
                <w:color w:val="auto"/>
              </w:rPr>
            </w:pPr>
          </w:p>
        </w:tc>
        <w:tc>
          <w:tcPr>
            <w:tcW w:w="7060" w:type="dxa"/>
            <w:vAlign w:val="bottom"/>
          </w:tcPr>
          <w:p>
            <w:pPr>
              <w:ind w:left="120"/>
              <w:spacing w:after="0"/>
              <w:rPr>
                <w:sz w:val="20"/>
                <w:szCs w:val="20"/>
                <w:color w:val="auto"/>
              </w:rPr>
            </w:pPr>
            <w:r>
              <w:rPr>
                <w:rFonts w:ascii="Arial" w:cs="Arial" w:eastAsia="Arial" w:hAnsi="Arial"/>
                <w:sz w:val="18"/>
                <w:szCs w:val="18"/>
                <w:color w:val="auto"/>
              </w:rPr>
              <w:t>8p11 MPN: Phase II (FIGHT-203)</w:t>
            </w:r>
          </w:p>
        </w:tc>
      </w:tr>
      <w:tr>
        <w:trPr>
          <w:trHeight w:val="230"/>
        </w:trPr>
        <w:tc>
          <w:tcPr>
            <w:tcW w:w="2000" w:type="dxa"/>
            <w:vAlign w:val="bottom"/>
          </w:tcPr>
          <w:p>
            <w:pPr>
              <w:spacing w:after="0"/>
              <w:rPr>
                <w:sz w:val="20"/>
                <w:szCs w:val="20"/>
                <w:color w:val="auto"/>
              </w:rPr>
            </w:pPr>
          </w:p>
        </w:tc>
        <w:tc>
          <w:tcPr>
            <w:tcW w:w="7060" w:type="dxa"/>
            <w:vAlign w:val="bottom"/>
          </w:tcPr>
          <w:p>
            <w:pPr>
              <w:ind w:left="120"/>
              <w:spacing w:after="0"/>
              <w:rPr>
                <w:sz w:val="20"/>
                <w:szCs w:val="20"/>
                <w:color w:val="auto"/>
              </w:rPr>
            </w:pPr>
            <w:r>
              <w:rPr>
                <w:rFonts w:ascii="Arial" w:cs="Arial" w:eastAsia="Arial" w:hAnsi="Arial"/>
                <w:sz w:val="18"/>
                <w:szCs w:val="18"/>
                <w:color w:val="auto"/>
              </w:rPr>
              <w:t>Tumor agnostic: Phase II (FIGHT-207)</w:t>
            </w:r>
          </w:p>
        </w:tc>
      </w:tr>
      <w:tr>
        <w:trPr>
          <w:trHeight w:val="216"/>
        </w:trPr>
        <w:tc>
          <w:tcPr>
            <w:tcW w:w="2000" w:type="dxa"/>
            <w:vAlign w:val="bottom"/>
          </w:tcPr>
          <w:p>
            <w:pPr>
              <w:spacing w:after="0"/>
              <w:rPr>
                <w:sz w:val="18"/>
                <w:szCs w:val="18"/>
                <w:color w:val="auto"/>
              </w:rPr>
            </w:pPr>
          </w:p>
        </w:tc>
        <w:tc>
          <w:tcPr>
            <w:tcW w:w="7060" w:type="dxa"/>
            <w:vAlign w:val="bottom"/>
          </w:tcPr>
          <w:p>
            <w:pPr>
              <w:spacing w:after="0"/>
              <w:rPr>
                <w:sz w:val="18"/>
                <w:szCs w:val="18"/>
                <w:color w:val="auto"/>
              </w:rPr>
            </w:pPr>
          </w:p>
        </w:tc>
      </w:tr>
      <w:tr>
        <w:trPr>
          <w:trHeight w:val="188"/>
        </w:trPr>
        <w:tc>
          <w:tcPr>
            <w:tcW w:w="20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Parsaclisib (PI3Kδ)</w:t>
            </w:r>
          </w:p>
        </w:tc>
        <w:tc>
          <w:tcPr>
            <w:tcW w:w="7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Follicular lymphoma: Phase II (CITADEL-203)</w:t>
            </w:r>
          </w:p>
        </w:tc>
      </w:tr>
      <w:tr>
        <w:trPr>
          <w:trHeight w:val="203"/>
        </w:trPr>
        <w:tc>
          <w:tcPr>
            <w:tcW w:w="2000" w:type="dxa"/>
            <w:vAlign w:val="bottom"/>
            <w:shd w:val="clear" w:color="auto" w:fill="CCEEFF"/>
          </w:tcPr>
          <w:p>
            <w:pPr>
              <w:spacing w:after="0"/>
              <w:rPr>
                <w:sz w:val="17"/>
                <w:szCs w:val="17"/>
                <w:color w:val="auto"/>
              </w:rPr>
            </w:pPr>
          </w:p>
        </w:tc>
        <w:tc>
          <w:tcPr>
            <w:tcW w:w="70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Marginal zone lymphoma: Phase II (CITADEL-204)</w:t>
            </w:r>
          </w:p>
        </w:tc>
      </w:tr>
      <w:tr>
        <w:trPr>
          <w:trHeight w:val="230"/>
        </w:trPr>
        <w:tc>
          <w:tcPr>
            <w:tcW w:w="2000" w:type="dxa"/>
            <w:vAlign w:val="bottom"/>
            <w:shd w:val="clear" w:color="auto" w:fill="CCEEFF"/>
          </w:tcPr>
          <w:p>
            <w:pPr>
              <w:spacing w:after="0"/>
              <w:rPr>
                <w:sz w:val="20"/>
                <w:szCs w:val="20"/>
                <w:color w:val="auto"/>
              </w:rPr>
            </w:pP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Mantle cell lymphoma: Phase II (CITADEL-205)</w:t>
            </w:r>
          </w:p>
        </w:tc>
      </w:tr>
      <w:tr>
        <w:trPr>
          <w:trHeight w:val="230"/>
        </w:trPr>
        <w:tc>
          <w:tcPr>
            <w:tcW w:w="2000" w:type="dxa"/>
            <w:vAlign w:val="bottom"/>
            <w:shd w:val="clear" w:color="auto" w:fill="CCEEFF"/>
          </w:tcPr>
          <w:p>
            <w:pPr>
              <w:spacing w:after="0"/>
              <w:rPr>
                <w:sz w:val="19"/>
                <w:szCs w:val="19"/>
                <w:color w:val="auto"/>
              </w:rPr>
            </w:pPr>
          </w:p>
        </w:tc>
        <w:tc>
          <w:tcPr>
            <w:tcW w:w="70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8"/>
          <w:szCs w:val="18"/>
          <w:b w:val="1"/>
          <w:bCs w:val="1"/>
          <w:color w:val="auto"/>
        </w:rPr>
        <w:t>INCMGA0012 (PD-1)</w:t>
      </w:r>
      <w:r>
        <w:rPr>
          <w:rFonts w:ascii="Arial" w:cs="Arial" w:eastAsia="Arial" w:hAnsi="Arial"/>
          <w:sz w:val="27"/>
          <w:szCs w:val="27"/>
          <w:b w:val="1"/>
          <w:bCs w:val="1"/>
          <w:color w:val="auto"/>
          <w:vertAlign w:val="superscript"/>
        </w:rPr>
        <w:t>2</w:t>
      </w:r>
      <w:r>
        <w:rPr>
          <w:sz w:val="20"/>
          <w:szCs w:val="20"/>
          <w:color w:val="auto"/>
        </w:rPr>
        <w:tab/>
      </w:r>
      <w:r>
        <w:rPr>
          <w:rFonts w:ascii="Arial" w:cs="Arial" w:eastAsia="Arial" w:hAnsi="Arial"/>
          <w:sz w:val="16"/>
          <w:szCs w:val="16"/>
          <w:color w:val="auto"/>
        </w:rPr>
        <w:t>MSI-high endometrial cancer: Phase II (POD1UM-101)</w:t>
      </w:r>
    </w:p>
    <w:p>
      <w:pPr>
        <w:ind w:left="2120"/>
        <w:spacing w:after="0" w:line="234" w:lineRule="auto"/>
        <w:rPr>
          <w:sz w:val="20"/>
          <w:szCs w:val="20"/>
          <w:color w:val="auto"/>
        </w:rPr>
      </w:pPr>
      <w:r>
        <w:rPr>
          <w:rFonts w:ascii="Arial" w:cs="Arial" w:eastAsia="Arial" w:hAnsi="Arial"/>
          <w:sz w:val="18"/>
          <w:szCs w:val="18"/>
          <w:color w:val="auto"/>
        </w:rPr>
        <w:t>Merkel cell carcinoma: Phase II (POD1UM-201)</w:t>
      </w:r>
    </w:p>
    <w:p>
      <w:pPr>
        <w:ind w:left="2120"/>
        <w:spacing w:after="0" w:line="204" w:lineRule="auto"/>
        <w:rPr>
          <w:sz w:val="20"/>
          <w:szCs w:val="20"/>
          <w:color w:val="auto"/>
        </w:rPr>
      </w:pPr>
      <w:r>
        <w:rPr>
          <w:rFonts w:ascii="Arial" w:cs="Arial" w:eastAsia="Arial" w:hAnsi="Arial"/>
          <w:sz w:val="18"/>
          <w:szCs w:val="18"/>
          <w:color w:val="auto"/>
        </w:rPr>
        <w:t>Anal cancer: Phase II (POD1UM-202)</w:t>
      </w:r>
    </w:p>
    <w:p>
      <w:pPr>
        <w:ind w:left="2120"/>
        <w:spacing w:after="0"/>
        <w:rPr>
          <w:sz w:val="20"/>
          <w:szCs w:val="20"/>
          <w:color w:val="auto"/>
        </w:rPr>
      </w:pPr>
      <w:r>
        <w:rPr>
          <w:rFonts w:ascii="Arial" w:cs="Arial" w:eastAsia="Arial" w:hAnsi="Arial"/>
          <w:sz w:val="18"/>
          <w:szCs w:val="18"/>
          <w:color w:val="auto"/>
        </w:rPr>
        <w:t>NSCLC: Phase III (PODIUM-301, PODIUM-304) in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575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65" w:lineRule="exact"/>
        <w:rPr>
          <w:sz w:val="20"/>
          <w:szCs w:val="20"/>
          <w:color w:val="auto"/>
        </w:rPr>
      </w:pPr>
    </w:p>
    <w:p>
      <w:pPr>
        <w:ind w:left="140" w:hanging="138"/>
        <w:spacing w:after="0"/>
        <w:tabs>
          <w:tab w:leader="none" w:pos="14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Clinical development of ruxolitinib in GVHD conducted in collaboration with Novartis.</w:t>
      </w:r>
    </w:p>
    <w:p>
      <w:pPr>
        <w:spacing w:after="0" w:line="1" w:lineRule="exact"/>
        <w:rPr>
          <w:rFonts w:ascii="Arial" w:cs="Arial" w:eastAsia="Arial" w:hAnsi="Arial"/>
          <w:sz w:val="24"/>
          <w:szCs w:val="24"/>
          <w:color w:val="auto"/>
          <w:vertAlign w:val="superscript"/>
        </w:rPr>
      </w:pPr>
    </w:p>
    <w:p>
      <w:pPr>
        <w:ind w:left="140" w:hanging="138"/>
        <w:spacing w:after="0" w:line="186" w:lineRule="auto"/>
        <w:tabs>
          <w:tab w:leader="none" w:pos="14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INCMGA0012 licensed from MacroGenics.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Programs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a number of other earlier-stage clinical programs, as detailed in the table below. We intend to describe these programs more fully if we obtain clinical proof-of-concept and establish that a program warrants further development in a specific indication or group of indications.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8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6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r>
        <w:trPr>
          <w:trHeight w:val="195"/>
        </w:trPr>
        <w:tc>
          <w:tcPr>
            <w:tcW w:w="226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800" w:type="dxa"/>
            <w:vAlign w:val="bottom"/>
            <w:shd w:val="clear" w:color="auto" w:fill="CCEEFF"/>
          </w:tcPr>
          <w:p>
            <w:pPr>
              <w:ind w:left="340"/>
              <w:spacing w:after="0" w:line="195" w:lineRule="exact"/>
              <w:rPr>
                <w:sz w:val="20"/>
                <w:szCs w:val="20"/>
                <w:color w:val="auto"/>
              </w:rPr>
            </w:pPr>
            <w:r>
              <w:rPr>
                <w:rFonts w:ascii="Arial" w:cs="Arial" w:eastAsia="Arial" w:hAnsi="Arial"/>
                <w:sz w:val="15"/>
                <w:szCs w:val="15"/>
                <w:color w:val="auto"/>
              </w:rPr>
              <w:t>INCB01158 (ARG)</w:t>
            </w:r>
            <w:r>
              <w:rPr>
                <w:rFonts w:ascii="Arial" w:cs="Arial" w:eastAsia="Arial" w:hAnsi="Arial"/>
                <w:sz w:val="22"/>
                <w:szCs w:val="22"/>
                <w:color w:val="auto"/>
                <w:vertAlign w:val="superscript"/>
              </w:rPr>
              <w:t>1</w:t>
            </w:r>
            <w:r>
              <w:rPr>
                <w:rFonts w:ascii="Arial" w:cs="Arial" w:eastAsia="Arial" w:hAnsi="Arial"/>
                <w:sz w:val="15"/>
                <w:szCs w:val="15"/>
                <w:color w:val="auto"/>
              </w:rPr>
              <w:t>, INCB81776 (AXL/MER), INCB62079 (FGFR4), epacadostat</w:t>
            </w:r>
          </w:p>
        </w:tc>
      </w:tr>
      <w:tr>
        <w:trPr>
          <w:trHeight w:val="230"/>
        </w:trPr>
        <w:tc>
          <w:tcPr>
            <w:tcW w:w="2260" w:type="dxa"/>
            <w:vAlign w:val="bottom"/>
            <w:shd w:val="clear" w:color="auto" w:fill="CCEEFF"/>
          </w:tcPr>
          <w:p>
            <w:pPr>
              <w:spacing w:after="0"/>
              <w:rPr>
                <w:sz w:val="20"/>
                <w:szCs w:val="20"/>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(IDO1), INCB59872 (LSD1), INCB86550 (PD-L1)</w:t>
            </w:r>
          </w:p>
        </w:tc>
      </w:tr>
      <w:tr>
        <w:trPr>
          <w:trHeight w:val="216"/>
        </w:trPr>
        <w:tc>
          <w:tcPr>
            <w:tcW w:w="2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r>
      <w:tr>
        <w:trPr>
          <w:trHeight w:val="202"/>
        </w:trPr>
        <w:tc>
          <w:tcPr>
            <w:tcW w:w="2260" w:type="dxa"/>
            <w:vAlign w:val="bottom"/>
          </w:tcPr>
          <w:p>
            <w:pPr>
              <w:ind w:left="100"/>
              <w:spacing w:after="0" w:line="202"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2</w:t>
            </w:r>
          </w:p>
        </w:tc>
        <w:tc>
          <w:tcPr>
            <w:tcW w:w="6800" w:type="dxa"/>
            <w:vAlign w:val="bottom"/>
          </w:tcPr>
          <w:p>
            <w:pPr>
              <w:ind w:left="34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6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INCAGN2390 (TIM-3)</w:t>
            </w:r>
          </w:p>
        </w:tc>
      </w:tr>
      <w:tr>
        <w:trPr>
          <w:trHeight w:val="216"/>
        </w:trPr>
        <w:tc>
          <w:tcPr>
            <w:tcW w:w="226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372"/>
        </w:trPr>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7"/>
                <w:szCs w:val="27"/>
                <w:color w:val="auto"/>
                <w:vertAlign w:val="superscript"/>
              </w:rPr>
              <w:t>3</w:t>
            </w:r>
          </w:p>
        </w:tc>
      </w:tr>
      <w:tr>
        <w:trPr>
          <w:trHeight w:val="20"/>
        </w:trPr>
        <w:tc>
          <w:tcPr>
            <w:tcW w:w="2260" w:type="dxa"/>
            <w:vAlign w:val="bottom"/>
            <w:shd w:val="clear" w:color="auto" w:fill="000000"/>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r>
    </w:tbl>
    <w:p>
      <w:pPr>
        <w:spacing w:after="0" w:line="156" w:lineRule="exact"/>
        <w:rPr>
          <w:sz w:val="20"/>
          <w:szCs w:val="20"/>
          <w:color w:val="auto"/>
        </w:rPr>
      </w:pPr>
    </w:p>
    <w:p>
      <w:pPr>
        <w:ind w:left="140" w:hanging="138"/>
        <w:spacing w:after="0"/>
        <w:tabs>
          <w:tab w:leader="none" w:pos="140"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INCB01158 development in collaboration with Calithera Biosciences, Inc.</w:t>
      </w:r>
    </w:p>
    <w:p>
      <w:pPr>
        <w:spacing w:after="0" w:line="1" w:lineRule="exact"/>
        <w:rPr>
          <w:rFonts w:ascii="Arial" w:cs="Arial" w:eastAsia="Arial" w:hAnsi="Arial"/>
          <w:sz w:val="24"/>
          <w:szCs w:val="24"/>
          <w:color w:val="auto"/>
          <w:vertAlign w:val="superscript"/>
        </w:rPr>
      </w:pPr>
    </w:p>
    <w:p>
      <w:pPr>
        <w:ind w:left="140" w:hanging="138"/>
        <w:spacing w:after="0" w:line="186" w:lineRule="auto"/>
        <w:tabs>
          <w:tab w:leader="none" w:pos="140"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Discovery collaboration with Agenus Inc.</w:t>
      </w:r>
    </w:p>
    <w:p>
      <w:pPr>
        <w:spacing w:after="0" w:line="2" w:lineRule="exact"/>
        <w:rPr>
          <w:rFonts w:ascii="Arial" w:cs="Arial" w:eastAsia="Arial" w:hAnsi="Arial"/>
          <w:sz w:val="24"/>
          <w:szCs w:val="24"/>
          <w:color w:val="auto"/>
          <w:vertAlign w:val="superscript"/>
        </w:rPr>
      </w:pPr>
    </w:p>
    <w:p>
      <w:pPr>
        <w:ind w:left="140" w:hanging="138"/>
        <w:spacing w:after="0" w:line="186" w:lineRule="auto"/>
        <w:tabs>
          <w:tab w:leader="none" w:pos="140"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outside Oncology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2018, we announced that a Phase II trial of ruxolitinib cream for the topical treatment of atopic dermatitis showed a significant benefit over vehicle control and a global, pivotal Phase III program was initiated in December 2018. In January 2020, we announced that TRuE-AD2, the first of two Phase III trials in the TRuE-AD development program of ruxolitinib cream in patients with mild-to-moderate atopic dermatitis, met its primary endpoint. The overall efficacy and safety profile observed in TRuE-AD2 was consistent with previous data, and no new safety signals were observed. Atopic dermatitis is a skin disorder that causes the skin to become red, scaly, and itchy. Onset can occur at any age, but is more common in infants and children. In the United States, we estimate that there are approximately 10 million diagnosed and treated adolescent and adult patients with mild to moderate atopic dermatitis.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 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Phase II trial of INCB54707, a JAK1 selective inhibitor, is ongoing in patients with hidradenitis suppurativa, an inflammatory skin disease. A Phase II trial of parsaclisib in patients with autoimmune hemolytic anemia, a rare red blood cell disorder, is also ongoing.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Phase II trial of INCB00928 is in preparation for patients with fibrodysplasia ossificans progressiva, a disorder in which muscle tissue and connective tissue are gradually replaced by bone.</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Phase II trial of itacitinib in patients with ulcerative colitis has been discontinued and initial data from the Phase II trial of parsaclisib in patients with Sjögren's syndrome do not warrant continuation of the trial.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940" w:type="dxa"/>
            <w:vAlign w:val="bottom"/>
            <w:tcBorders>
              <w:top w:val="single" w:sz="8" w:color="auto"/>
            </w:tcBorders>
          </w:tcPr>
          <w:p>
            <w:pPr>
              <w:spacing w:after="0"/>
              <w:rPr>
                <w:sz w:val="21"/>
                <w:szCs w:val="21"/>
                <w:color w:val="auto"/>
              </w:rPr>
            </w:pPr>
          </w:p>
        </w:tc>
        <w:tc>
          <w:tcPr>
            <w:tcW w:w="71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40" w:type="dxa"/>
            <w:vAlign w:val="bottom"/>
            <w:tcBorders>
              <w:bottom w:val="single" w:sz="8" w:color="auto"/>
            </w:tcBorders>
          </w:tcPr>
          <w:p>
            <w:pPr>
              <w:spacing w:after="0"/>
              <w:rPr>
                <w:sz w:val="4"/>
                <w:szCs w:val="4"/>
                <w:color w:val="auto"/>
              </w:rPr>
            </w:pPr>
          </w:p>
        </w:tc>
        <w:tc>
          <w:tcPr>
            <w:tcW w:w="7120" w:type="dxa"/>
            <w:vAlign w:val="bottom"/>
            <w:tcBorders>
              <w:bottom w:val="single" w:sz="8" w:color="auto"/>
            </w:tcBorders>
          </w:tcPr>
          <w:p>
            <w:pPr>
              <w:spacing w:after="0"/>
              <w:rPr>
                <w:sz w:val="4"/>
                <w:szCs w:val="4"/>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b w:val="1"/>
                <w:bCs w:val="1"/>
                <w:color w:val="auto"/>
              </w:rPr>
              <w:t>Ruxolitinib cream</w:t>
            </w:r>
            <w:r>
              <w:rPr>
                <w:rFonts w:ascii="Arial" w:cs="Arial" w:eastAsia="Arial" w:hAnsi="Arial"/>
                <w:sz w:val="16"/>
                <w:szCs w:val="16"/>
                <w:b w:val="1"/>
                <w:bCs w:val="1"/>
                <w:color w:val="auto"/>
                <w:vertAlign w:val="superscript"/>
              </w:rPr>
              <w:t>1</w:t>
            </w:r>
          </w:p>
        </w:tc>
        <w:tc>
          <w:tcPr>
            <w:tcW w:w="7120" w:type="dxa"/>
            <w:vAlign w:val="bottom"/>
            <w:shd w:val="clear" w:color="auto" w:fill="CCEEFF"/>
          </w:tcPr>
          <w:p>
            <w:pPr>
              <w:ind w:left="300"/>
              <w:spacing w:after="0" w:line="142" w:lineRule="exact"/>
              <w:rPr>
                <w:sz w:val="20"/>
                <w:szCs w:val="20"/>
                <w:color w:val="auto"/>
              </w:rPr>
            </w:pPr>
            <w:r>
              <w:rPr>
                <w:rFonts w:ascii="Arial" w:cs="Arial" w:eastAsia="Arial" w:hAnsi="Arial"/>
                <w:sz w:val="16"/>
                <w:szCs w:val="16"/>
                <w:color w:val="auto"/>
              </w:rPr>
              <w:t>Atopic dermatitis: Phase III (TRuE-AD1 ongoing, TRuE-AD2 primary endpoint met)</w:t>
            </w:r>
          </w:p>
        </w:tc>
      </w:tr>
      <w:tr>
        <w:trPr>
          <w:trHeight w:val="270"/>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Vitiligo: Phase III (TRuE-V1, TRuE-V2)</w:t>
            </w:r>
          </w:p>
        </w:tc>
      </w:tr>
      <w:tr>
        <w:trPr>
          <w:trHeight w:val="162"/>
        </w:trPr>
        <w:tc>
          <w:tcPr>
            <w:tcW w:w="1940" w:type="dxa"/>
            <w:vAlign w:val="bottom"/>
            <w:shd w:val="clear" w:color="auto" w:fill="CCEEFF"/>
          </w:tcPr>
          <w:p>
            <w:pPr>
              <w:spacing w:after="0"/>
              <w:rPr>
                <w:sz w:val="14"/>
                <w:szCs w:val="14"/>
                <w:color w:val="auto"/>
              </w:rPr>
            </w:pPr>
          </w:p>
        </w:tc>
        <w:tc>
          <w:tcPr>
            <w:tcW w:w="7120" w:type="dxa"/>
            <w:vAlign w:val="bottom"/>
            <w:shd w:val="clear" w:color="auto" w:fill="CCEEFF"/>
          </w:tcPr>
          <w:p>
            <w:pPr>
              <w:spacing w:after="0"/>
              <w:rPr>
                <w:sz w:val="14"/>
                <w:szCs w:val="14"/>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INCB54707 (JAK1)</w:t>
            </w:r>
          </w:p>
        </w:tc>
        <w:tc>
          <w:tcPr>
            <w:tcW w:w="7120" w:type="dxa"/>
            <w:vAlign w:val="bottom"/>
          </w:tcPr>
          <w:p>
            <w:pPr>
              <w:ind w:left="300"/>
              <w:spacing w:after="0"/>
              <w:rPr>
                <w:sz w:val="20"/>
                <w:szCs w:val="20"/>
                <w:color w:val="auto"/>
              </w:rPr>
            </w:pPr>
            <w:r>
              <w:rPr>
                <w:rFonts w:ascii="Arial" w:cs="Arial" w:eastAsia="Arial" w:hAnsi="Arial"/>
                <w:sz w:val="18"/>
                <w:szCs w:val="18"/>
                <w:color w:val="auto"/>
              </w:rPr>
              <w:t>Hidradenitis suppurativa: Phase II</w:t>
            </w:r>
          </w:p>
        </w:tc>
      </w:tr>
      <w:tr>
        <w:trPr>
          <w:trHeight w:val="184"/>
        </w:trPr>
        <w:tc>
          <w:tcPr>
            <w:tcW w:w="1940" w:type="dxa"/>
            <w:vAlign w:val="bottom"/>
          </w:tcPr>
          <w:p>
            <w:pPr>
              <w:spacing w:after="0"/>
              <w:rPr>
                <w:sz w:val="16"/>
                <w:szCs w:val="16"/>
                <w:color w:val="auto"/>
              </w:rPr>
            </w:pPr>
          </w:p>
        </w:tc>
        <w:tc>
          <w:tcPr>
            <w:tcW w:w="7120" w:type="dxa"/>
            <w:vAlign w:val="bottom"/>
          </w:tcPr>
          <w:p>
            <w:pPr>
              <w:spacing w:after="0"/>
              <w:rPr>
                <w:sz w:val="16"/>
                <w:szCs w:val="16"/>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Autoimmune hemolytic anemia: Phase II</w:t>
            </w:r>
          </w:p>
        </w:tc>
      </w:tr>
      <w:tr>
        <w:trPr>
          <w:trHeight w:val="144"/>
        </w:trPr>
        <w:tc>
          <w:tcPr>
            <w:tcW w:w="1940" w:type="dxa"/>
            <w:vAlign w:val="bottom"/>
            <w:shd w:val="clear" w:color="auto" w:fill="CCEEFF"/>
          </w:tcPr>
          <w:p>
            <w:pPr>
              <w:spacing w:after="0"/>
              <w:rPr>
                <w:sz w:val="12"/>
                <w:szCs w:val="12"/>
                <w:color w:val="auto"/>
              </w:rPr>
            </w:pPr>
          </w:p>
        </w:tc>
        <w:tc>
          <w:tcPr>
            <w:tcW w:w="7120" w:type="dxa"/>
            <w:vAlign w:val="bottom"/>
            <w:shd w:val="clear" w:color="auto" w:fill="CCEEFF"/>
          </w:tcPr>
          <w:p>
            <w:pPr>
              <w:spacing w:after="0"/>
              <w:rPr>
                <w:sz w:val="12"/>
                <w:szCs w:val="12"/>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INCB00928 (ALK2)</w:t>
            </w:r>
          </w:p>
        </w:tc>
        <w:tc>
          <w:tcPr>
            <w:tcW w:w="7120" w:type="dxa"/>
            <w:vAlign w:val="bottom"/>
          </w:tcPr>
          <w:p>
            <w:pPr>
              <w:ind w:left="300"/>
              <w:spacing w:after="0"/>
              <w:rPr>
                <w:sz w:val="20"/>
                <w:szCs w:val="20"/>
                <w:color w:val="auto"/>
              </w:rPr>
            </w:pPr>
            <w:r>
              <w:rPr>
                <w:rFonts w:ascii="Arial" w:cs="Arial" w:eastAsia="Arial" w:hAnsi="Arial"/>
                <w:sz w:val="18"/>
                <w:szCs w:val="18"/>
                <w:color w:val="auto"/>
              </w:rPr>
              <w:t>Fibrodysplasia ossificans progressiva: Phase II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5754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39" w:lineRule="exact"/>
        <w:rPr>
          <w:sz w:val="20"/>
          <w:szCs w:val="20"/>
          <w:color w:val="auto"/>
        </w:rPr>
      </w:pPr>
    </w:p>
    <w:p>
      <w:pPr>
        <w:ind w:firstLine="2"/>
        <w:spacing w:after="0" w:line="207" w:lineRule="auto"/>
        <w:tabs>
          <w:tab w:leader="none" w:pos="153"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w:t>
      </w:r>
      <w:r>
        <w:rPr>
          <w:rFonts w:ascii="Arial" w:cs="Arial" w:eastAsia="Arial" w:hAnsi="Arial"/>
          <w:sz w:val="18"/>
          <w:szCs w:val="18"/>
          <w:i w:val="1"/>
          <w:iCs w:val="1"/>
          <w:color w:val="auto"/>
        </w:rPr>
        <w:t xml:space="preserve"> </w:t>
      </w:r>
      <w:r>
        <w:rPr>
          <w:rFonts w:ascii="Arial" w:cs="Arial" w:eastAsia="Arial" w:hAnsi="Arial"/>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Atopic dermatitis (AtD) is a condition that makes the skin red and itchy and which is common in</w:t>
      </w:r>
      <w:r>
        <w:rPr>
          <w:rFonts w:ascii="Arial" w:cs="Arial" w:eastAsia="Arial" w:hAnsi="Arial"/>
          <w:sz w:val="16"/>
          <w:szCs w:val="16"/>
          <w:i w:val="1"/>
          <w:iCs w:val="1"/>
          <w:color w:val="auto"/>
        </w:rPr>
        <w:t xml:space="preserve"> </w:t>
      </w:r>
      <w:r>
        <w:rPr>
          <w:rFonts w:ascii="Arial" w:cs="Arial" w:eastAsia="Arial" w:hAnsi="Arial"/>
          <w:sz w:val="16"/>
          <w:szCs w:val="16"/>
          <w:color w:val="auto"/>
        </w:rPr>
        <w:t>children but can occur at any age. Atopic dermatitis is long lasting and tends to flare periodically and then subside. Lilly has conducted a Phase IIa trial and a Phase III program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on JAK1 and JAK2 may lead to positive clinical outcomes in atopic dermatitis.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 to severe AtD and, in August 2019, we and Lilly announced that baricitinib met the primary endpoint in BREEZE-AD7, a Phase III study evaluating the efficacy and safety of baricitinib in combination with standard-of-care topical corticosteroids in patients with moderate to severe AtD. In January 2020, we and Lilly announced that baricitinib met the primary endpoint in both BREEZE-AD4 and BREEZE-AD5, the results of which complete the placebo-controlled data program intended to support global registrations. In January 2020, Lilly announced that baricitinib had been submitted for regulatory review in Europe as a treatment for patients with moderate to severe atopic dermatitis.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 inflammation.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Lilly has initiated the Phase III portion of the ongoing Phase II/III trial designed to evaluate the safety and efficacy of baricitinib in patients with severe alopecia areata.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2019, we and Novartis announced positive updated results from the GEOMETRY mono-1 Phase II clinical trial of capmatinib in patients with advanced NSCLC harboring MET exon 14 skipping mutations. In December 2019, Novartis submitted the NDA seeking approval of capmatinib, and in February 2020 we and Novartis announced that the NDA had been accepted for Priority Review by the FDA. Capmatinib has also been granted Breakthrough Therapy designation by the FDA as a treatment for patients with metastatic NSCLC harboring MET exon-14 skipping mutations, both for treatment-naive patients and for patients previously treated with platinum-based chemotherapy.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Approximately 3-4 percent of all patients with NSCLC have an identified MET mutation. Though rare, this mutation is an indicator of especially poor prognosis and poor responses to standard therapies, including immunotherapy. There is currently no approved therapy designed to selectively target this mutation.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701040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558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77" w:lineRule="exact"/>
        <w:rPr>
          <w:sz w:val="20"/>
          <w:szCs w:val="20"/>
          <w:color w:val="auto"/>
        </w:rPr>
      </w:pPr>
    </w:p>
    <w:p>
      <w:pPr>
        <w:ind w:left="100" w:right="420"/>
        <w:spacing w:after="0" w:line="273" w:lineRule="auto"/>
        <w:rPr>
          <w:sz w:val="20"/>
          <w:szCs w:val="20"/>
          <w:color w:val="auto"/>
        </w:rPr>
      </w:pPr>
      <w:r>
        <w:rPr>
          <w:rFonts w:ascii="Arial" w:cs="Arial" w:eastAsia="Arial" w:hAnsi="Arial"/>
          <w:sz w:val="17"/>
          <w:szCs w:val="17"/>
          <w:b w:val="1"/>
          <w:bCs w:val="1"/>
          <w:color w:val="auto"/>
        </w:rPr>
        <w:t>Baricitinib (JAK1/JAK2)</w:t>
      </w:r>
      <w:r>
        <w:rPr>
          <w:rFonts w:ascii="Arial" w:cs="Arial" w:eastAsia="Arial" w:hAnsi="Arial"/>
          <w:sz w:val="26"/>
          <w:szCs w:val="26"/>
          <w:b w:val="1"/>
          <w:bCs w:val="1"/>
          <w:color w:val="auto"/>
          <w:vertAlign w:val="superscript"/>
        </w:rPr>
        <w:t>1</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Capmatinib (MET)</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Atopic dermatitis: Phase III (BREEZE-AD)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-121920</wp:posOffset>
            </wp:positionV>
            <wp:extent cx="575437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41148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Systemic lupus erythematosus: Phase III</w:t>
      </w:r>
    </w:p>
    <w:p>
      <w:pPr>
        <w:spacing w:after="0"/>
        <w:rPr>
          <w:sz w:val="20"/>
          <w:szCs w:val="20"/>
          <w:color w:val="auto"/>
        </w:rPr>
      </w:pPr>
      <w:r>
        <w:rPr>
          <w:rFonts w:ascii="Arial" w:cs="Arial" w:eastAsia="Arial" w:hAnsi="Arial"/>
          <w:sz w:val="18"/>
          <w:szCs w:val="18"/>
          <w:color w:val="auto"/>
        </w:rPr>
        <w:t>Severe alopecia areata: Phase III</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NSCLC (with MET exon 14 skipping mutations): NDA submitted by Novartis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217805</wp:posOffset>
            </wp:positionV>
            <wp:extent cx="5754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1660" w:space="200"/>
            <w:col w:w="7200"/>
          </w:cols>
          <w:pgMar w:left="1420" w:top="517" w:right="1419" w:bottom="1440" w:gutter="0" w:footer="0" w:header="0"/>
          <w:type w:val="continuous"/>
        </w:sectPr>
      </w:pPr>
    </w:p>
    <w:p>
      <w:pPr>
        <w:spacing w:after="0" w:line="108" w:lineRule="exact"/>
        <w:rPr>
          <w:sz w:val="20"/>
          <w:szCs w:val="20"/>
          <w:color w:val="auto"/>
        </w:rPr>
      </w:pPr>
    </w:p>
    <w:p>
      <w:pPr>
        <w:ind w:left="140" w:hanging="138"/>
        <w:spacing w:after="0"/>
        <w:tabs>
          <w:tab w:leader="none" w:pos="14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Baricitinib licensed to Lilly</w:t>
      </w:r>
    </w:p>
    <w:p>
      <w:pPr>
        <w:spacing w:after="0" w:line="109" w:lineRule="exact"/>
        <w:rPr>
          <w:rFonts w:ascii="Arial" w:cs="Arial" w:eastAsia="Arial" w:hAnsi="Arial"/>
          <w:sz w:val="24"/>
          <w:szCs w:val="24"/>
          <w:color w:val="auto"/>
          <w:vertAlign w:val="superscript"/>
        </w:rPr>
      </w:pPr>
    </w:p>
    <w:p>
      <w:pPr>
        <w:ind w:left="140" w:hanging="138"/>
        <w:spacing w:after="0" w:line="186" w:lineRule="auto"/>
        <w:tabs>
          <w:tab w:leader="none" w:pos="14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 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the systemic lupus erythematosus Phase III program for baricitinib.</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and in 2018, we paid MacroGenics milestones totaling $15.0 million. MacroGenics will be eligible to receive up to an additional $405.0 million in future contingent development and regulatory milestones, and up to $330.0 million in commercial milestones as well as tiered royalties ranging from 15% to 24% of global net sales.</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December 2018, we entered into a research collaboration and licensing agreement with Innovent Biologics, Inc. Under the terms of this agreement, Innovent received exclusive development and commercialization rights to our</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commercial milestones, as well as tiered royalties from the low to mid-twenties. We also retain an option to assist in the promotion of INCMGA0012 in Zai Lab’s licensed territories.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terms of the agreement, we will receive exclusive commercialization rights outside of the United States, and MorphoSys and we will have co-commercialization rights in the United States, with respect to tafasitamab. MorphoSys will be responsible for leading the commercialization strategy and booking all revenue from sales of tafasitamab in the United States, and we and MorphoSys will both be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will be responsible for funding any independent development activities, and we will be responsible for funding development activities specific to our territory. All development costs related to the collaboration will be subject to a joint development plan.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agreed to pay MorphoSys an upfront non-refundable payment of $750.0 million. MorphoSys will be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effectiveness of the agreement is conditioned on the early termination or expiration of the waiting period under the Hart-Scott-Rodino Antitrust Improvements Act of 1976 as well as clearance by the German and Austrian antitrust authorities.</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Incyte’s Approach to Drug Discovery and Development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succeed in our objective to discover and advance novel therapeutics that address serious unmet medical needs, we have established a broad range of discovery capabilities in-house, including target validation, high-throughput screening, medicinal chemistry, computational chemistry, and pharmacological and ADME (absorption, distribution, metabolism and excretion) assessment. We augment these capabilities through collaborations with academic and contract laboratory resources with relevant expertise.</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to our small molecule expertise, we have added biotherapeutic antibody discovery capabilities. The collaboration with Agenus has provided us with access to their antibody discovery platform and provided us with both clinical antibodies and pre-clinical candidates. Recently, we have expanded our discovery reach to include bispecific antibodies through a collaboration with Merus. We are complementing these collaborations by building in-house antibody discovery, pharmacology, ADME and CMC capabilities and will partner these efforts with our small molecule portfolio.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Driven by a target- and pathway-centric discovery process, our pipeline has grown and is currently focused primarily in the area of oncology. We conduct a limited number of discovery programs in parallel at any one time. This focus allows us to allocate resources to our selected programs at a level that we believe is competitive with larger pharmaceutical companies. We continually modify the resourcing of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Once our compounds reach clinical development, our objective is to rapidly progress the lead candidate into a proof-of-concept clinical trial to quickly assess the therapeutic potential of the clinical candidate itself as well as its underlying mechanism of action. This information is then used to evaluate the compound’s development opportunities, identify the most appropriate indication or indications to pursue, and develop a clinical and regulatory plan to advance the molecule forward.</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 pharmacovigilance and project management. We have also built internal process chemistry and formulation teams that work closely with external GMP contract manufacturers to support our drug development efforts.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Incyte’s Commercial Strategy</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Our strategy is to develop and commercialize our compounds on our own in selected markets where we believe a company of our size can successfully compete, such as in myelofibrosis, polycythemia vera, GVHD and other oncology indications. In November 2011, we received regulatory approval of JAKAFI (ruxolitinib) in the United States for the treatment of intermediate or high-risk myelofibrosis. Since that time, we have focused on increasing utilization of JAKAFI in this patient population. In December 2014, JAKAFI was approved for the treatment of patients with polycythemia vera who have had an inadequate response to or are intolerant of hydroxyurea. In May 2019, JAKAFI was approved for the treatment of steroid</w:t>
      </w:r>
      <w:r>
        <w:rPr>
          <w:rFonts w:ascii="MS PGothic" w:cs="MS PGothic" w:eastAsia="MS PGothic" w:hAnsi="MS PGothic"/>
          <w:sz w:val="16"/>
          <w:szCs w:val="16"/>
          <w:color w:val="auto"/>
        </w:rPr>
        <w:t>‐</w:t>
      </w:r>
      <w:r>
        <w:rPr>
          <w:rFonts w:ascii="Arial" w:cs="Arial" w:eastAsia="Arial" w:hAnsi="Arial"/>
          <w:sz w:val="16"/>
          <w:szCs w:val="16"/>
          <w:color w:val="auto"/>
        </w:rPr>
        <w:t>refractory acute GVHD in adult and pediatric patients 12 years and older. We have expanded the marketing, medical, sales and operational infrastructure to support continued commercialization of JAKAFI in its three indications and to prepare for potential future indications of JAKAFI in the United States. We are expanding marketing,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and operational infrastructure outside of the United States and within the United States to prepare for potential approval of other products.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rights to ruxolitinib outside the United States as well as for pipeline compounds that are outside of our core expertise, would require expensive clinical studies, or could be used in combination with other compounds or biologics, we have established or may in the future establish collaborations or strategic relationships to support development and commercialization, such as our collaborations with Novartis and Lilly for our JAK inhibitors. We believe the key benefits to entering into strategic relationships include the potential to receive upfront payments and future milestones and royalties in exchange for certain rights to our compounds, as well as the potential to expedite the development and commercialization of certain of our compounds.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ICLUSIG is approved in the European Union for the treatment of adult patients with CML who are resistant to dasatinib or nilotinib; who are intolerant to dasatinib or nilotinib and for whom subsequent treatment with imatinib is not clinically appropriate, or who have the T315I mutation. ICLUSIG is also indicated in adult patients with Philadelphia positive AML who are resistant to dasatinib; who are intolerant to dasatinib and for whom subsequent treatment with imatinib is not clinically appropriate, or who have the T315I mutation. We are focused on increasing the utilization of ICLUSIG in this patient population within our territory 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all our drug products and drug candidates. The patents and patent applications relating to our drug products and drug candidates generally include claims directed to the compounds, methods of using the compounds, formulations of the compounds, pharmaceutical salt forms of the compounds, and methods of manufacturing the compounds. Our policy is to pursue patent applications on inventions and discoveries that we believe are commercially important to the development and growth of our business. The following table sets forth the status of the patents and patent applications in the United States, the European Union, and Japan, covering our drug products and drug candidates in key programs that show at least proof of concept in their respective clinical development programs: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Status of United States Patent Estate</w:t>
            </w:r>
          </w:p>
        </w:tc>
        <w:tc>
          <w:tcPr>
            <w:tcW w:w="20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1"/>
              </w:rPr>
              <w:t>Status of European Union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Japan Patent Estate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(Earliest Anticipated Expirations,</w:t>
            </w: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(Earliest Anticipated Expirations,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Drug/Drug Candidate (Target)</w:t>
            </w:r>
          </w:p>
        </w:tc>
        <w:tc>
          <w:tcPr>
            <w:tcW w:w="30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Subject to Potential Extensions</w:t>
            </w: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Subject to Potential Extensions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and Payment of Maintenance Fees)</w:t>
            </w:r>
          </w:p>
        </w:tc>
        <w:tc>
          <w:tcPr>
            <w:tcW w:w="200" w:type="dxa"/>
            <w:vAlign w:val="bottom"/>
          </w:tcPr>
          <w:p>
            <w:pPr>
              <w:spacing w:after="0"/>
              <w:rPr>
                <w:sz w:val="15"/>
                <w:szCs w:val="15"/>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and Payment of Maintenance Fees)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ruxolitinib (JAK)</w:t>
            </w: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(2026)</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baricitinib (JAK)</w:t>
            </w:r>
          </w:p>
        </w:tc>
        <w:tc>
          <w:tcPr>
            <w:tcW w:w="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Granted and pending (2029)</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epacadostat (IDO1)</w:t>
            </w: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(2029)</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itacitinib (JAK)</w:t>
            </w:r>
          </w:p>
        </w:tc>
        <w:tc>
          <w:tcPr>
            <w:tcW w:w="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Granted and pending (2031)</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capmatinib (MET)</w:t>
            </w: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(2027)</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parsaclisib (PI3Kδ)</w:t>
            </w:r>
          </w:p>
        </w:tc>
        <w:tc>
          <w:tcPr>
            <w:tcW w:w="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Granted and pending (2032)</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pemigatinib (FGFR)</w:t>
            </w: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(2033)</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ponatinib (BCR ABL)</w:t>
            </w: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INCMGA0012 (PD-1)</w:t>
            </w: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Pending (2036)</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Pending (2036)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 For example, our U.S. patent covering the composition of matter of ruxolitinib has been extended to 2027.</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seek to license rights relating to technologies, drug candidates or drug products in connection with our drug discovery and development programs and commercialization activities. Under these licenses, such as our licenses</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Agenus, ARIAD/Takeda, Calithera, MacroGenics, MorphoSys, and Merus we may be required to pay up-front fees, license fees, milestone payments and royalties on sales of future products.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respect to proprietary information that is not patentable, and for inventions for which patents are difficult to enforce, we rely on trade secret protection and confidentiality agreements to protect our interests. While we require all employees, consultants and potential business partners to enter into confidentiality agreements, we may not be able to adequately protect our trade secrets or other proprietary information. Others may independently develop substantially equivalent proprietary information and techniques or otherwise gain access to our trade secrets.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and our drug candidates.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81" w:lineRule="exact"/>
        <w:rPr>
          <w:sz w:val="20"/>
          <w:szCs w:val="20"/>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JAKAFI, ICLUSIG or our drug candidates.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1000" w:hanging="32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drug development technologies and methods of preventing or reducing the incidence of disease;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compounds; or</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1000" w:hanging="32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FDA Review and Approval Process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1000" w:hanging="32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7" w:lineRule="exact"/>
        <w:rPr>
          <w:sz w:val="20"/>
          <w:szCs w:val="20"/>
          <w:color w:val="auto"/>
        </w:rPr>
      </w:pPr>
    </w:p>
    <w:p>
      <w:pPr>
        <w:ind w:left="1000" w:hanging="323"/>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46" w:lineRule="exact"/>
        <w:rPr>
          <w:rFonts w:ascii="Arial" w:cs="Arial" w:eastAsia="Arial" w:hAnsi="Arial"/>
          <w:sz w:val="17"/>
          <w:szCs w:val="17"/>
          <w:color w:val="auto"/>
        </w:rPr>
      </w:pPr>
    </w:p>
    <w:p>
      <w:pPr>
        <w:ind w:left="1000" w:hanging="32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FDA’s fast track, breakthrough therapy, accelerated approval, and priority review designation programs are intended to facilitate the development and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Manufacturing Process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our third-party manufacturers are subject to current Good Manufacturing Practices, which are extensive regulations governing manufacturing processes, including but not limited to stability testing, record keeping and quality standards as defined by the International Council for Harmonisation of Technical Requirements for Pharmaceuticals for Human Use, or ICH, FDA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manufacturers fail to comply, we or our contract manufacturers may be subject to legal or regulatory action, such as suspension of manufacturing license,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There are a variety of state laws and regulations that apply in the states or localities where JAKAFI and our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Exclusivity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pediatric exclusivity if the FDA requests and the company completes pediatric clinical trials. Under the Biologics Price Competition and Innovation Act, the FDA may grant 12 years of data exclusivity for innovative biological products.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Outside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 CTA, much like an IND prior to the commencement of human clinical trials. In Europe, a CTA must be submitted to the competent national health authority and to independent ethics committees in each country in which a company plans to conduct clinical trials. Once the CTA is approved in accordance with a country’s requirements, clinical trial development may proceed in that country and are conducted in accordance with GCP and other applicable regulatory requirements.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obtain regulatory approval of an investigational drug under EU regulatory systems, we must submit a marketing authorization application (MAA). This application is similar to the NDA in the United States, with the exception of, among other things, regional and/or country-specific document requirements. Drugs can be authorized in the EU by using (i) the centralized authorization procedure, (ii) the mutual recognition procedure, (iii) the decentralized procedure or (iv) national authorization procedures.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European Medicines Agency (EMA)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(CHMP)). A positive opinion on the MAA by the CHMP then needs to be endorsed by the European Commission. Accelerated assessment might be granted by the CHMP in exceptional cases, in which case the EMA ensures that the evaluation for the opinion of the CHMP is completed within 150 days (excluding clock stops) and the opinion issued thereafter.</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Directorates General and the Standing Committee on Human Medicinal Products or Veterinary Medicinal Products, as appropriate.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or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continue to build and maintain our supply chain and quality assurance resources.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Manufacturing of our Products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contract with third parties to manufacture JAKAFI, ICLUSIG, and our drug candidates for clinical and commercial purposes.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we have two qualified third-party contract manufacturers from which we can source drug substance. The manufacturing of Ponatinib, the API for ICLUSIG, is the sole responsibility of Takeda, the intellectual property holder. We procure API from Takeda, which outsources the API manufacturing to a third party.</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rely on third-party contract manufacturers to tablet or capsulate all of our active pharmaceutical ingredients for clinical and commercial uses. For JAKAFI, we have two qualified third-party manufacturers from which we can source commercial drug product. For ICLUSIG we have two qualified third-party manufacturers from which we can source commercial drug product. Secondary packaging of ICLUSIG is performed by a qualified third-party manufacturer. Primary packaged product for ICLUSIG can be used for clinical and commercial purposes.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July 2018, we purchased land located in Yverdon, Switzerland for construction of a large molecule production facility to manufacture biologic drug substances for our drug candidates. Construction activity commenced in July 2018 and is expected to be completed in the second half of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Third-party Manufacturers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24 months of safety stock of API to be able to respond to changes in demand to provide on-time supply of drug product as well as at least 6 months of semi-finished goods inventory.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Access to Supplies and Materials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third-party manufacturers need access to certain supplies and products to manufacture JAKAFI, ICLUSIG, and our drug candidates. If delivery of material from their suppliers were interrupted for any reason or if they are unable to purchase sufficient quantities of raw materials used to manufacture JAKAFI, ICLUSIG, and our drug candidates, they may be unable to ship JAKAFI and ICLUSIG for commercial supply or to supply our drug candidates in development for clinical trials. For example, currently raw materials used to manufacture ruxolitinib phosphate, the API in JAKAFI,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2019, we had 1,456 employees, including 815 in research and development, 122 in medical affairs, 301 in sales and marketing and 218 in operations support, finance and administrative positions. Geographically, 1,156 employees were based in the United States and 300 employees were based in Europe and Japan. None of our</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employees are covered by collective bargaining agreements, and management considers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were incorporated in Delaware in 1991 and our website is located at </w:t>
      </w:r>
      <w:r>
        <w:rPr>
          <w:rFonts w:ascii="Arial" w:cs="Arial" w:eastAsia="Arial" w:hAnsi="Arial"/>
          <w:sz w:val="18"/>
          <w:szCs w:val="18"/>
          <w:i w:val="1"/>
          <w:iCs w:val="1"/>
          <w:color w:val="auto"/>
        </w:rPr>
        <w:t>www.incyte.com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JAKAFI is our first and, currently, only product marketed by us that is approved for sale in the United States. It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jc w:val="both"/>
        <w:ind w:left="1000" w:hanging="323"/>
        <w:spacing w:after="0" w:line="264"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1" w:lineRule="exact"/>
        <w:rPr>
          <w:rFonts w:ascii="Arial" w:cs="Arial" w:eastAsia="Arial" w:hAnsi="Arial"/>
          <w:sz w:val="18"/>
          <w:szCs w:val="18"/>
          <w:color w:val="auto"/>
        </w:rPr>
      </w:pPr>
    </w:p>
    <w:p>
      <w:pPr>
        <w:ind w:left="1000" w:hanging="32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00" w:hanging="32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ind w:left="1000" w:hanging="32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The costs of JAKAFI and ICLUSIG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third-party logistics agreements with third-party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00" w:hanging="32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81" w:lineRule="exact"/>
        <w:rPr>
          <w:sz w:val="20"/>
          <w:szCs w:val="20"/>
          <w:color w:val="auto"/>
        </w:rPr>
      </w:pPr>
    </w:p>
    <w:p>
      <w:pPr>
        <w:ind w:left="1000" w:hanging="32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Factors similar to those listed above also apply to our collaboration partner Novartis, to ICLUSIG for jurisdictions outside the United States and to our collaboration partner Lilly for all jurisdictions.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 Other Risks Relating to our Business—If we fail to comply with the extensive legal and regulatory requirements affecting the health care industry, we could face increased costs, penalties and a loss of business”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Concert’s Request for Rehearing in May 2018. Nevertheless, Concert still has the right separately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3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66" w:lineRule="exact"/>
        <w:rPr>
          <w:sz w:val="20"/>
          <w:szCs w:val="20"/>
          <w:color w:val="auto"/>
        </w:rPr>
      </w:pPr>
    </w:p>
    <w:p>
      <w:pPr>
        <w:ind w:left="1000" w:hanging="32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and maintain necessary regulatory approvals for our products, both in the United States and abroad;</w:t>
      </w:r>
    </w:p>
    <w:p>
      <w:pPr>
        <w:spacing w:after="0" w:line="236" w:lineRule="exact"/>
        <w:rPr>
          <w:rFonts w:ascii="Arial" w:cs="Arial" w:eastAsia="Arial" w:hAnsi="Arial"/>
          <w:sz w:val="17"/>
          <w:szCs w:val="17"/>
          <w:color w:val="auto"/>
        </w:rPr>
      </w:pPr>
    </w:p>
    <w:p>
      <w:pPr>
        <w:ind w:left="1000" w:hanging="32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enter into arrangements with third parties to provide services or to manufacture our products on our behalf;</w:t>
      </w:r>
    </w:p>
    <w:p>
      <w:pPr>
        <w:spacing w:after="0" w:line="236" w:lineRule="exact"/>
        <w:rPr>
          <w:rFonts w:ascii="Arial" w:cs="Arial" w:eastAsia="Arial" w:hAnsi="Arial"/>
          <w:sz w:val="17"/>
          <w:szCs w:val="17"/>
          <w:color w:val="auto"/>
        </w:rPr>
      </w:pPr>
    </w:p>
    <w:p>
      <w:pPr>
        <w:ind w:left="1000" w:hanging="32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Phase III clinical trials for the treatment of patients with chronic graft-versus-host disease and pemigatinib is in a Phase III clinical trial for the treatment of patients with cholangiocarcinoma.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In addition, in January 2020 we announced that itacitinib did not meet the primary endpoint in the Phase III clinical trial for the treatment of patients with acute graft-versus-host disease. If a product is developed but not approved or marketed, we may have spent significant amounts of time and money on it, which could adversely affect our operating results and financial condition as well as our business plans.</w:t>
      </w:r>
    </w:p>
    <w:p>
      <w:pPr>
        <w:spacing w:after="0" w:line="18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0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w:t>
      </w:r>
    </w:p>
    <w:p>
      <w:pPr>
        <w:sectPr>
          <w:pgSz w:w="11900" w:h="16838" w:orient="portrait"/>
          <w:cols w:equalWidth="0" w:num="1">
            <w:col w:w="9060"/>
          </w:cols>
          <w:pgMar w:left="1420" w:top="517"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301 study had been stopped and we also significantly downsized the epacadostat development program and in January 2020 we stopped our Phase III trial of itacitinib for the treatment of acute graft-versus-host-disease.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U.S. and abroad.</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recent years, through legislative and regulatory actions,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there has been an increasing legislative and enforcement interest in the United States with respect to drug pricing practices. This has resulted in several recent federal and state proposals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designed to, among other things, bring more transparency to drug pricing, reduce the cost of prescription drugs under Medicare, reform government program reimbursement methodologies for prescription drugs, allow importation of drugs into the U.S.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approved products, and we cannot predict the scope of any future changes or the impact that those changes would have on our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have provided our products without charge to patients who have no or limited insurance coverage through these charitable organizations. Substantial support in this manner could harm our profitability in the future. Further, those organizations’ ability to provide assistance to patients is dependent on funding from external sources, and we cannot guarantee that such funding will be provided at adequate levels, or at all.</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ectPr>
          <w:pgSz w:w="11900" w:h="16838" w:orient="portrait"/>
          <w:cols w:equalWidth="0" w:num="1">
            <w:col w:w="9060"/>
          </w:cols>
          <w:pgMar w:left="1420" w:top="517"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3"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candidates or therapeutics targets that fit within our focus on oncology, such as our collaborations with Agenus Inc., Calithera Biosciences, Inc., MacroGenics, Inc., Merus N.V., MorphoSys AG,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such as we recently did in entering into a collaboration agreement with MorphoSys in January 2020, and if any of those drug candidates do not receive marketing approval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3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or our collaborators are successful in gaining regulatory approval of any of our drug candidates in addition to JAKAFI and OLUMIANT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Market acceptance of our drug products, if approved for commercial sale, will depend on a number of factors,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including the following, and market acceptance of our collaborators’ drug products will depend on similar factors:</w:t>
      </w:r>
    </w:p>
    <w:p>
      <w:pPr>
        <w:spacing w:after="0" w:line="225" w:lineRule="exact"/>
        <w:rPr>
          <w:sz w:val="20"/>
          <w:szCs w:val="20"/>
          <w:color w:val="auto"/>
        </w:rPr>
      </w:pPr>
    </w:p>
    <w:p>
      <w:pPr>
        <w:ind w:left="1000" w:hanging="32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00" w:hanging="323"/>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00" w:hanging="32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currently operate manufacturing facilities for clinical or commercial production of JAKAFI and our other drug candidates or for ICLUSIG. We currently hire third parties to manufacture the raw materials, active</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recent spread of coronavirus in early 2020, we could see disruptions to our supply chain.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as recently as the year ended December 31, 2018, we recorded unrealized losses related to our investments in Agenus Inc., Calithera Biosciences, Inc., Merus N.V. and Syros Pharmaceuticals, Inc., and we may in the future experience additional losses related to our investments. In addition, if we choose to issue shares of our stock as consideration for any acquisition, dilution to our stockholders could result.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associated with the expansion of our operations outside of the United States could adversely affect our business.</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drug development activities in Japan and are in the process of opening an office in China. International operations and business expansion plans are subject to numerous additional risks, including:</w:t>
      </w:r>
    </w:p>
    <w:p>
      <w:pPr>
        <w:spacing w:after="0" w:line="188" w:lineRule="exact"/>
        <w:rPr>
          <w:sz w:val="20"/>
          <w:szCs w:val="20"/>
          <w:color w:val="auto"/>
        </w:rPr>
      </w:pPr>
    </w:p>
    <w:p>
      <w:pPr>
        <w:jc w:val="both"/>
        <w:ind w:left="1000" w:hanging="323"/>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00" w:hanging="323"/>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1" w:lineRule="exact"/>
        <w:rPr>
          <w:rFonts w:ascii="Arial" w:cs="Arial" w:eastAsia="Arial" w:hAnsi="Arial"/>
          <w:sz w:val="18"/>
          <w:szCs w:val="18"/>
          <w:color w:val="auto"/>
        </w:rPr>
      </w:pPr>
    </w:p>
    <w:p>
      <w:pPr>
        <w:jc w:val="both"/>
        <w:ind w:left="1000" w:hanging="323"/>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w:t>
      </w:r>
    </w:p>
    <w:p>
      <w:pPr>
        <w:spacing w:after="0" w:line="181"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health risks, such as the recent spread in China of coronavirus in early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00" w:hanging="323"/>
        <w:spacing w:after="0" w:line="25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$1.4 billion as of December 31, 2019.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00" w:hanging="32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exercise of any co-development options with collaborators that may require us to fund future development;</w:t>
      </w:r>
    </w:p>
    <w:p>
      <w:pPr>
        <w:spacing w:after="0" w:line="248" w:lineRule="exact"/>
        <w:rPr>
          <w:rFonts w:ascii="Arial" w:cs="Arial" w:eastAsia="Arial" w:hAnsi="Arial"/>
          <w:sz w:val="16"/>
          <w:szCs w:val="16"/>
          <w:color w:val="auto"/>
        </w:rPr>
      </w:pPr>
    </w:p>
    <w:p>
      <w:pPr>
        <w:ind w:left="1000" w:hanging="32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00" w:hanging="32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00" w:hanging="32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corporate bonds and money market funds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valuation levels, or at all, due to the limited liquidity of some or all of those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derived substantially all of our revenues for the year ended December 31, 2019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 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7" w:lineRule="exact"/>
        <w:rPr>
          <w:sz w:val="20"/>
          <w:szCs w:val="20"/>
          <w:color w:val="auto"/>
        </w:rPr>
      </w:pPr>
    </w:p>
    <w:p>
      <w:pPr>
        <w:ind w:left="1000" w:hanging="32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2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00" w:hanging="32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00" w:hanging="32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value of our patents depends, in part, on their duration. A shorter period of patent protection could lessen the value of our rights under any patents that we obtain and may decrease the revenues we derive from our patents. The United</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GDPR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global headquarters is in Wilmington, Delaware, which is where our principal drug discovery and development operations are also located. We own two buildings comprising approximately 344,000 square feet of</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laboratory and office space at this site. In March 2017, we acquired additional adjacent buildings and in 2019, began demolition of these buildings and construction of a new laboratory building totaling approximately 200,000 square feet. Also in October 2019, we entered into an agreement to purchase additional adjacent property for $50.0 million to expand our global headquarters. Under that agreement, closing of the purchase is subject to certain standard closing conditions, including an initial diligence period and a subsequent approval period.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112,000 square feet of office space in Chadds Ford, Pennsylvania and approximately 84,000 square feet of additional laboratory and office space in Wilmington, Delaware.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conduct our European clinical development and commercial operations from our offices in Geneva, Switzerland and Lausanne, Switzerland and our Japanese office is in Tokyo. 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In July 2018, we purchased a parcel of land in Yverdon-les-Bains, Switzerland upon which we are building a large molecule production facility. Construction commenced in July 2018, with expected completion in the second half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underlying the DOJ inquiry was unsealed (“Complaint”), at which time we learned that a former employee whom we had terminated had made certain allegations relating to the programs described above. We then became aware that the DOJ had not intervened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and, to our knowledge, the DOJ has not intervened to date. We filed an answer to the Complaint on January 22, 2020, and the action is proceeding. We are and intend to continue defending ourselves vigorously against these allegations.</w:t>
      </w:r>
    </w:p>
    <w:p>
      <w:pPr>
        <w:spacing w:after="0" w:line="202" w:lineRule="exact"/>
        <w:rPr>
          <w:sz w:val="20"/>
          <w:szCs w:val="20"/>
          <w:color w:val="auto"/>
        </w:rPr>
      </w:pPr>
    </w:p>
    <w:p>
      <w:pPr>
        <w:jc w:val="center"/>
        <w:ind w:right="66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are as follows: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Hervé Hoppenot, </w:t>
      </w:r>
      <w:r>
        <w:rPr>
          <w:rFonts w:ascii="Arial" w:cs="Arial" w:eastAsia="Arial" w:hAnsi="Arial"/>
          <w:sz w:val="16"/>
          <w:szCs w:val="16"/>
          <w:color w:val="auto"/>
        </w:rPr>
        <w:t>age 60, joined Incyte as President and Chief Executive Officer and a Director, in January 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Chairman of 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Rhône-Poulenc S.A.), a pharmaceutical company, including as Vice President Oncology US of Aventis Pharmaceuticals, Inc. from 2000 to 2003 and Vice President US Oncology Operations of Rhone-Poulenc Rorer Pharmaceuticals, Inc. from 1998 to 2000. Mr. Hoppenot holds a Diploma from ESSEC International Business School. Mr. Hoppenot is also a director of Cellectis S.A.</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Dashyant Dhanak</w:t>
      </w:r>
      <w:r>
        <w:rPr>
          <w:rFonts w:ascii="Arial" w:cs="Arial" w:eastAsia="Arial" w:hAnsi="Arial"/>
          <w:sz w:val="17"/>
          <w:szCs w:val="17"/>
          <w:color w:val="auto"/>
        </w:rPr>
        <w:t>, age 59, joined Incyte in December 2018 as Executive Vice President, Chief Scientific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Incyte, Dr. Dhanak served as Vice President and Head of Discovery Sciences of Janssen Research &amp; Development, LLC, a wholly-owned subsidiary of Johnson &amp; Johnson, a pharmaceutical company, from 2013 until November 2018. Prior to his tenure at Janssen, Dr. Dhanak spent 25 years at GlaxoSmithKline, a pharmaceutical company, in positions of increased responsibility across multiple disease areas, including his last position as Vice President and Head of the Cancer Epigenetics Discovery Performance Unit. Dr. Dhanak received a B.S. in Chemistry from the University of Manchester Institute of Science and Technology and his Ph.D. from the University of London. He completed his postdoctoral research in natural product synthesis at Northwestern University.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Jonathan E. Dickinson</w:t>
      </w:r>
      <w:r>
        <w:rPr>
          <w:rFonts w:ascii="Arial" w:cs="Arial" w:eastAsia="Arial" w:hAnsi="Arial"/>
          <w:sz w:val="17"/>
          <w:szCs w:val="17"/>
          <w:color w:val="auto"/>
        </w:rPr>
        <w:t>, age 52, has served as Executive Vice President and General Manager, Europe since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joined Incyte as Senior Vice President and General Manager, Europe in June 2016. Mr. Dickinson joined Incyte from ARIAD Pharmaceuticals (Luxembourg) S.à.r.l, the parent company of ARIAD Pharmaceuticals, Inc.’s European subsidiaries responsible for the development and commercialization of Iclusig in the European Union and other countries, where he most recently held the position of Senior Vice President and General Manager, Europe. Prior to joining ARIAD in February 2013, Mr. Dickinson served as European oncology brand lead at Bristol-Myers Squibb, a pharmaceutical company, and before that, he held several key leadership positions, including lifecycle leader, during his 13-year tenure at Hoffmann-La Roche, a pharmaceutical company. At Roche, he had assignments both in the United States and Switzerland that included leadership roles for Roche’s three leading oncology medicines. Mr. Dickinson began his career at Novartis, where he held commercial roles in its oncology and endocrinology businesses, including medical sales, product manager and business director in the United Kingdom. Mr. Dickinson received a B.S. in Genetics and an M.B.A. from the University of Nottingham.</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Barry P. Flannelly</w:t>
      </w:r>
      <w:r>
        <w:rPr>
          <w:rFonts w:ascii="Arial" w:cs="Arial" w:eastAsia="Arial" w:hAnsi="Arial"/>
          <w:sz w:val="18"/>
          <w:szCs w:val="18"/>
          <w:color w:val="auto"/>
        </w:rPr>
        <w:t>, age 62, has served as Executive Vice President and General Manager US since June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joined Incyte as Executive Vice President, Business Development and Strategic Planning in August 2014. Prior to joining Incyte, he served as Chief Executive Officer of OSS Healthcare Inc., a biotechnology start-up company, from August 2013 to July 2014. He served as Vice President, Global Product Strategy and Commercial Planning of Nektar Therapeutics, a biopharmaceutical company, from April 2011 until April 2013, and as Senior Vice President, Commercial, of Onyx Pharmaceuticals, Inc., a biopharmaceutical company, from August 2008 until January 2011. Prior thereto, Dr. Flannelly held key positions at biopharmaceutical and pharmaceutical companies such as Abraxis BioScience, Inc. and Novartis. Dr. Flannelly earned his doctorate in pharmacy from the University of Maryland, School of Pharmacy, his master’s degree in business administration from the University of Baltimore, and his B.S. degree in Pharmacy from Massachusetts College of Pharmacy.</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Vijay Iyengar</w:t>
      </w:r>
      <w:r>
        <w:rPr>
          <w:rFonts w:ascii="Arial" w:cs="Arial" w:eastAsia="Arial" w:hAnsi="Arial"/>
          <w:sz w:val="16"/>
          <w:szCs w:val="16"/>
          <w:color w:val="auto"/>
        </w:rPr>
        <w:t>, age 47, joined Incyte in May 2016 as Executive Vice President, Global Strategy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Prior to joining 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degree in Biology from Stanford University and earned his M.D. from Harvard Medical School.</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Michael Morrissey</w:t>
      </w:r>
      <w:r>
        <w:rPr>
          <w:rFonts w:ascii="Arial" w:cs="Arial" w:eastAsia="Arial" w:hAnsi="Arial"/>
          <w:sz w:val="18"/>
          <w:szCs w:val="18"/>
          <w:color w:val="auto"/>
        </w:rPr>
        <w:t>, age 56, has served as Executive Vice President and Head of Global Technical Operations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2019 and joined Incyte in 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Maria E. Pasquale</w:t>
      </w:r>
      <w:r>
        <w:rPr>
          <w:rFonts w:ascii="Arial" w:cs="Arial" w:eastAsia="Arial" w:hAnsi="Arial"/>
          <w:sz w:val="16"/>
          <w:szCs w:val="16"/>
          <w:color w:val="auto"/>
        </w:rPr>
        <w:t>, age 54, joined Incyte in April 2018 as Executive Vice President and General Counsel.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Incyte, Ms. Pasquale joined Incyte from Celgene Corporation, a biopharmaceutical company, where for 17 years she held positions of increasing levels of responsibility, including Chief Counsel; Senior Vice President, Legal and Deputy</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Counsel and Assistant Corporate Secretary, and, most recently, Executive Vice President and Global Chief Compliance Officer. Prior to her tenure at Celgene, Ms. Pasquale spent a decade supporting pharmaceutical clients as a global patent and litigation attorney at Pennie &amp; Edmonds LLP in New York (now part of Jones Day). Before her career in law, Ms. Pasquale was an Assistant Research Scientist at the Institute for Basic Research and the Cold Spring Harbor Laboratory. Ms. Pasquale holds a J.D. from Brooklyn Law School and a B.S. in biochemistry from the State University of New York at Stony Brook.</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Christiana Stamoulis, </w:t>
      </w:r>
      <w:r>
        <w:rPr>
          <w:rFonts w:ascii="Arial" w:cs="Arial" w:eastAsia="Arial" w:hAnsi="Arial"/>
          <w:sz w:val="17"/>
          <w:szCs w:val="17"/>
          <w:color w:val="auto"/>
        </w:rPr>
        <w:t>age 49, joined Incyte in February 2019 as Executive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Prior to joining Incyte, she served as President from February 2018 until January 2019 and Chief Financial Officer from January 2015 to January 2019 of Unum Therapeutics Inc., a biopharmaceutical company. From January 2014 until she joined Unum, Ms. Stamoulis was an independent advisor to biopharmaceutical companies. From 2009 until December 2013,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B.S. degrees from the Massachusetts Institute of Technology (MIT) and an M.B.A. from the MIT Sloan School of Management.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Steven Stein, </w:t>
      </w:r>
      <w:r>
        <w:rPr>
          <w:rFonts w:ascii="Arial" w:cs="Arial" w:eastAsia="Arial" w:hAnsi="Arial"/>
          <w:sz w:val="17"/>
          <w:szCs w:val="17"/>
          <w:color w:val="auto"/>
        </w:rPr>
        <w:t>age 53, has served as Executive Vice President and Chief Medical Officer since May 2016 and joined</w:t>
      </w:r>
      <w:r>
        <w:rPr>
          <w:rFonts w:ascii="Arial" w:cs="Arial" w:eastAsia="Arial" w:hAnsi="Arial"/>
          <w:sz w:val="17"/>
          <w:szCs w:val="17"/>
          <w:i w:val="1"/>
          <w:iCs w:val="1"/>
          <w:color w:val="auto"/>
        </w:rPr>
        <w:t xml:space="preserve"> </w:t>
      </w:r>
      <w:r>
        <w:rPr>
          <w:rFonts w:ascii="Arial" w:cs="Arial" w:eastAsia="Arial" w:hAnsi="Arial"/>
          <w:sz w:val="17"/>
          <w:szCs w:val="17"/>
          <w:color w:val="auto"/>
        </w:rPr>
        <w:t>Incyte as Senior Vice President 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Paula J. Swain</w:t>
      </w:r>
      <w:r>
        <w:rPr>
          <w:rFonts w:ascii="Arial" w:cs="Arial" w:eastAsia="Arial" w:hAnsi="Arial"/>
          <w:sz w:val="18"/>
          <w:szCs w:val="18"/>
          <w:color w:val="auto"/>
        </w:rPr>
        <w:t>, age 62, has served as Executive Vice President, Human Resources since August 2002 and joined</w:t>
      </w:r>
      <w:r>
        <w:rPr>
          <w:rFonts w:ascii="Arial" w:cs="Arial" w:eastAsia="Arial" w:hAnsi="Arial"/>
          <w:sz w:val="18"/>
          <w:szCs w:val="18"/>
          <w:i w:val="1"/>
          <w:iCs w:val="1"/>
          <w:color w:val="auto"/>
        </w:rPr>
        <w:t xml:space="preserve"> </w:t>
      </w:r>
      <w:r>
        <w:rPr>
          <w:rFonts w:ascii="Arial" w:cs="Arial" w:eastAsia="Arial" w:hAnsi="Arial"/>
          <w:sz w:val="18"/>
          <w:szCs w:val="18"/>
          <w:color w:val="auto"/>
        </w:rPr>
        <w:t>Incyte as Senior Vice President of Human Resources in January 2002. Ms. Swain served as Senior Vice President of Human Resources at Bristol-Myers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Wenqing Yao</w:t>
      </w:r>
      <w:r>
        <w:rPr>
          <w:rFonts w:ascii="Arial" w:cs="Arial" w:eastAsia="Arial" w:hAnsi="Arial"/>
          <w:sz w:val="17"/>
          <w:szCs w:val="17"/>
          <w:color w:val="auto"/>
        </w:rPr>
        <w:t>, age 57, has served as Executive Vice President, Head of Discovery Chemistry since October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Dr. Yao joined Incyte as Director, Chemistry in February 2002 and held roles of increasing responsibility at Incyte. Prior to joining Incyte, Dr. Yao held scientific research positions with DuPont Pharmaceuticals and Bristol-Myers Squibb Company from 1996 to 2002. Dr. Yao received his B.S. in chemistry from Xuzhou Normal University, his M.S. in organic chemistry from NanKai University and his Ph.D. in organic/medicinal chemistry from the University of Pennsylvania.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$.001 par value per share, is traded on The Nasdaq Global Select Market under the symbol “INCY.” As of December 31, 2019, our common stock was held by 128 stockholders of record. We have never declared or paid dividends on our capital stock and do not anticipate paying any dividends in the foreseeable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6" w:name="page57"/>
    <w:bookmarkEnd w:id="5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left="20" w:right="40" w:firstLine="648"/>
        <w:spacing w:after="0" w:line="264" w:lineRule="auto"/>
        <w:rPr>
          <w:sz w:val="20"/>
          <w:szCs w:val="20"/>
          <w:color w:val="auto"/>
        </w:rPr>
      </w:pPr>
      <w:r>
        <w:rPr>
          <w:rFonts w:ascii="Arial" w:cs="Arial" w:eastAsia="Arial" w:hAnsi="Arial"/>
          <w:sz w:val="18"/>
          <w:szCs w:val="18"/>
          <w:color w:val="auto"/>
        </w:rPr>
        <w:t>The data set forth below should be read in conjunction with “Management’s Discussion and Analysis of Financial Condition and Results of Operations” included in Item 7 and the Consolidated Financial Statements and related Notes included in Item 8 of this Report.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Consolidated Statements of Operations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Data:</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Product revenues, net</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1,774,922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1,466,900</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1,200,312</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601,015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line="216" w:lineRule="exact"/>
              <w:rPr>
                <w:sz w:val="20"/>
                <w:szCs w:val="20"/>
                <w:color w:val="auto"/>
              </w:rPr>
            </w:pPr>
            <w:r>
              <w:rPr>
                <w:rFonts w:ascii="Arial" w:cs="Arial" w:eastAsia="Arial" w:hAnsi="Arial"/>
                <w:sz w:val="17"/>
                <w:szCs w:val="17"/>
                <w:color w:val="auto"/>
              </w:rPr>
              <w:t>Product royalty revenues</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306,337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110,711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Milestone and contract revenues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2,158,759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1,881,883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1,536,216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1,105,719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Cost of product revenues (including</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definite-lived intangible amortization)</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8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1,154,111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1,197,957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1,326,134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581,861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479,514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Selling, general and administrative</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Change in fair value of acquisition-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related contingent consideration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26,173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1,756,753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1,752,660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1,779,603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703,100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402,006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129,223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(243,387)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gain (loss) on long term</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89"/>
              </w:rPr>
              <w:t>Expense related to senior note conversions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Income (loss) before provision for income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used in computing net income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214,913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212,383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187,873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179,601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40" w:hanging="318"/>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2019, 2018, 2017 and 2016 product revenues, net, relate to our product sales of JAKAFI and product sales of ICLUSIG from the date of acquisition on June 1, 2016. 2015 product revenues, net, relate to our product sales of JAKAFI.</w:t>
      </w:r>
    </w:p>
    <w:p>
      <w:pPr>
        <w:spacing w:after="0" w:line="15" w:lineRule="exact"/>
        <w:rPr>
          <w:rFonts w:ascii="Arial" w:cs="Arial" w:eastAsia="Arial" w:hAnsi="Arial"/>
          <w:sz w:val="16"/>
          <w:szCs w:val="16"/>
          <w:color w:val="auto"/>
        </w:rPr>
      </w:pPr>
    </w:p>
    <w:p>
      <w:pPr>
        <w:jc w:val="both"/>
        <w:ind w:left="340" w:right="40" w:hanging="318"/>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2019, 2018 and 2017 product royalty revenues relate to Novartis net sales of JAKAVI outside of the United States and Lilly net sales of OLUMIANT outside of the United States. 2016 and 2015 product royalty revenues relate to Novartis net sales of JAKAVI outside the United States.</w:t>
      </w:r>
    </w:p>
    <w:p>
      <w:pPr>
        <w:sectPr>
          <w:pgSz w:w="11900" w:h="16838" w:orient="portrait"/>
          <w:cols w:equalWidth="0" w:num="1">
            <w:col w:w="9120"/>
          </w:cols>
          <w:pgMar w:left="1400" w:top="517" w:right="1379" w:bottom="1440" w:gutter="0" w:footer="0" w:header="0"/>
        </w:sect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00" w:top="517" w:right="137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20" w:hanging="318"/>
        <w:spacing w:after="0" w:line="264"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2019 milestone and contract revenues relate to our collaborative research and license agreements with Innovent and Zai Lab. 2018, 2017, 2016 and 2015 milestone and contract revenues relate to our collaborative research and license agreements with Novartis and Lilly.</w:t>
      </w:r>
    </w:p>
    <w:p>
      <w:pPr>
        <w:spacing w:after="0" w:line="73" w:lineRule="exact"/>
        <w:rPr>
          <w:rFonts w:ascii="Arial" w:cs="Arial" w:eastAsia="Arial" w:hAnsi="Arial"/>
          <w:sz w:val="18"/>
          <w:szCs w:val="18"/>
          <w:color w:val="auto"/>
        </w:rPr>
      </w:pPr>
    </w:p>
    <w:p>
      <w:pPr>
        <w:jc w:val="both"/>
        <w:ind w:left="320" w:hanging="318"/>
        <w:spacing w:after="0" w:line="264"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retrospective adoption of ASU No. 2017-07 on January 1, 2018, the presentation of other components of net periodic benefit cost were reclassed out of operating income and into other income (expense), net for the periods presented, as applicable.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8"/>
                <w:szCs w:val="18"/>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Cash, cash equivalents, and marketable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securities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$ 2,117,554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$ 1,438,323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$ 1,169,645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   808,546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   707,783</w:t>
            </w:r>
          </w:p>
        </w:tc>
        <w:tc>
          <w:tcPr>
            <w:tcW w:w="180" w:type="dxa"/>
            <w:vAlign w:val="bottom"/>
          </w:tcPr>
          <w:p>
            <w:pPr>
              <w:spacing w:after="0"/>
              <w:rPr>
                <w:sz w:val="20"/>
                <w:szCs w:val="20"/>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1,968,148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1,406,977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1,129,458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720,677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674,368</w:t>
            </w:r>
          </w:p>
        </w:tc>
        <w:tc>
          <w:tcPr>
            <w:tcW w:w="18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line="216" w:lineRule="exact"/>
              <w:rPr>
                <w:sz w:val="20"/>
                <w:szCs w:val="20"/>
                <w:color w:val="auto"/>
              </w:rPr>
            </w:pPr>
            <w:r>
              <w:rPr>
                <w:rFonts w:ascii="Arial" w:cs="Arial" w:eastAsia="Arial" w:hAnsi="Arial"/>
                <w:sz w:val="17"/>
                <w:szCs w:val="17"/>
                <w:color w:val="auto"/>
              </w:rPr>
              <w:t>Total assets</w:t>
            </w:r>
            <w:r>
              <w:rPr>
                <w:rFonts w:ascii="Arial" w:cs="Arial" w:eastAsia="Arial" w:hAnsi="Arial"/>
                <w:sz w:val="25"/>
                <w:szCs w:val="25"/>
                <w:color w:val="auto"/>
                <w:vertAlign w:val="superscript"/>
              </w:rPr>
              <w:t>(1)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3,426,750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2,645,762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2,302,582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1,638,597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1,007,440</w:t>
            </w:r>
          </w:p>
        </w:tc>
        <w:tc>
          <w:tcPr>
            <w:tcW w:w="18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651,481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619,893</w:t>
            </w:r>
          </w:p>
        </w:tc>
        <w:tc>
          <w:tcPr>
            <w:tcW w:w="180" w:type="dxa"/>
            <w:vAlign w:val="bottom"/>
            <w:shd w:val="clear" w:color="auto" w:fill="CCEEFF"/>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2,598,406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1,925,967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1,630,629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419,467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171,155</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7" w:lineRule="exact"/>
        <w:rPr>
          <w:sz w:val="20"/>
          <w:szCs w:val="20"/>
          <w:color w:val="auto"/>
        </w:rPr>
      </w:pPr>
    </w:p>
    <w:p>
      <w:pPr>
        <w:jc w:val="both"/>
        <w:ind w:left="320" w:hanging="318"/>
        <w:spacing w:after="0" w:line="26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January 1, 2019, we adopted ASU No. 2016-02 which required us to recognize lease right-of-use assets and corresponding lease liabilities on the consolidated balance sheet. No prior periods were restated as further discussed in Note 1 of Notes to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A discussion of our financial performance for the year ended December 31, 2019 as compared to the year ended December 31, 2018 appears below under the captions “Results of Operations” and “Liquidity and Capital Resources.” A discussion of our financial performance for the year ended December 31, 2018 compared to the year ended December 31, 2017 can be found under the same captions in Item 7 of our Annual Report on Form 10-K for the year ended December 31, 2018, filed with the SEC on February 14, 2019, which is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our Investor Relations website at </w:t>
      </w:r>
      <w:r>
        <w:rPr>
          <w:rFonts w:ascii="Arial" w:cs="Arial" w:eastAsia="Arial" w:hAnsi="Arial"/>
          <w:sz w:val="17"/>
          <w:szCs w:val="17"/>
          <w:i w:val="1"/>
          <w:iCs w:val="1"/>
          <w:color w:val="auto"/>
        </w:rPr>
        <w:t>investor.incyte.com/financial-information/annual-reports</w:t>
      </w:r>
      <w:r>
        <w:rPr>
          <w:rFonts w:ascii="Arial" w:cs="Arial" w:eastAsia="Arial" w:hAnsi="Arial"/>
          <w:sz w:val="17"/>
          <w:szCs w:val="17"/>
          <w:color w:val="auto"/>
        </w:rPr>
        <w:t>. These website addresses are intended to be inactive, textual references only. None of the materials on, or accessible through, these websites are part of this report or are incorporated by reference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We conduct our European clinical development and commercial operations from our offices in Geneva, Switzerland and Lausanne, Switzerland, and we conduct our Japanese operations from our office in Tokyo.</w:t>
      </w:r>
    </w:p>
    <w:p>
      <w:pPr>
        <w:spacing w:after="0" w:line="18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JAKAFI (ruxolitinib) is our first product to be approved for sale in the United States. It is an oral JAK1 and JAK2 inhibitor and was approved by the U.S. Food and Drug Administration (FDA) in November 2011 for the treatment of patients with intermediate or high-risk myelofibrosis, in December 2014 for the treatment of patients with polycythemia vera who have had an inadequate response to or are intolerant of hydroxyurea and in May 2019 for the treatment of steroid</w:t>
      </w:r>
      <w:r>
        <w:rPr>
          <w:rFonts w:ascii="MS PGothic" w:cs="MS PGothic" w:eastAsia="MS PGothic" w:hAnsi="MS PGothic"/>
          <w:sz w:val="18"/>
          <w:szCs w:val="18"/>
          <w:color w:val="auto"/>
        </w:rPr>
        <w:t>‐</w:t>
      </w:r>
      <w:r>
        <w:rPr>
          <w:rFonts w:ascii="Arial" w:cs="Arial" w:eastAsia="Arial" w:hAnsi="Arial"/>
          <w:sz w:val="18"/>
          <w:szCs w:val="18"/>
          <w:color w:val="auto"/>
        </w:rPr>
        <w:t>refractory acute graft</w:t>
      </w:r>
      <w:r>
        <w:rPr>
          <w:rFonts w:ascii="MS PGothic" w:cs="MS PGothic" w:eastAsia="MS PGothic" w:hAnsi="MS PGothic"/>
          <w:sz w:val="18"/>
          <w:szCs w:val="18"/>
          <w:color w:val="auto"/>
        </w:rPr>
        <w:t>‐</w:t>
      </w:r>
      <w:r>
        <w:rPr>
          <w:rFonts w:ascii="Arial" w:cs="Arial" w:eastAsia="Arial" w:hAnsi="Arial"/>
          <w:sz w:val="18"/>
          <w:szCs w:val="18"/>
          <w:color w:val="auto"/>
        </w:rPr>
        <w:t>versus</w:t>
      </w:r>
      <w:r>
        <w:rPr>
          <w:rFonts w:ascii="MS PGothic" w:cs="MS PGothic" w:eastAsia="MS PGothic" w:hAnsi="MS PGothic"/>
          <w:sz w:val="18"/>
          <w:szCs w:val="18"/>
          <w:color w:val="auto"/>
        </w:rPr>
        <w:t>‐</w:t>
      </w:r>
      <w:r>
        <w:rPr>
          <w:rFonts w:ascii="Arial" w:cs="Arial" w:eastAsia="Arial" w:hAnsi="Arial"/>
          <w:sz w:val="18"/>
          <w:szCs w:val="18"/>
          <w:color w:val="auto"/>
        </w:rPr>
        <w:t>host disease (GVHD) in adult and pediatric patients 12 years and older. Myelofibrosis and polycythemia vera are both rare blood cancers, and GVHD is an adverse immune response to an allogeneic hematopoietic stem cell transplant.</w:t>
      </w:r>
    </w:p>
    <w:p>
      <w:pPr>
        <w:spacing w:after="0" w:line="20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June 2016, we acquired from ARIAD Pharmaceuticals, Inc. (ARIAD) all of the outstanding shares of ARIAD Pharmaceuticals (Luxembourg) S.à.r.l., the parent company of ARIAD’s European subsidiaries responsible for the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and commercialization of ICLUSIG in the European Union and other countries, including Switzerland, Norway, Turkey, Israel and Russia. We obtained an exclusive license to develop and commercialize ICLUSIG in those countries. ICLUSIG is approved in the European Union for the treatment of patients with chronic myeloid leukemia and Philadelphia-positive acute lymphoblastic leukemia who are resistant to or intolerant of certain second-generation BCR-ABL inhibitors and all patients who have the T3151 mutation.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 In April 2016, we amended this agreement to provide that Novartis has exclusive research, development and commercialization rights outside of the United States to ruxolitinib (excluding topical formulations) in the GVHD field.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collaboration agreement with Eli Lilly and Company, Lilly received exclusive worldwide development and commercialization rights to our second oral JAK1 and JAK2 inhibitor, baricitinib, for inflammatory and autoimmune diseases. 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we began our drug-discovery and development activities in early 2002, we have filed numerous Investigational New Drug (IND) applications and progressed multiple internally developed proprietary compounds into clinical development. Two New Drug Applications (NDAs) seeking marketing approval for drug candidates discovered by Incyte are currently under review by the FDA; the NDA for pemigatinib was submitted by Incyte in September 2019 and the NDA for capmatinib was submitted by Novartis in December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this agreement, we received an upfront payment and immediate milestone payment totaling $210.0 million and were initially eligible to receive additional payments of up to approximately $1.2 billion if defined development and</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commercialization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the systemic lupus erythematosus Phase III program for baricitinib.</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and in 2018, we paid MacroGenics milestones totaling $15.0 million. MacroGenics will be eligible to receive up to an additional $405.0 million in future contingent development and regulatory milestones, and up to $330.0 million in commercial milestones as well as tiered royalties ranging from 15% to 24% of global net sales.</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2018, we entered into a research collaboration and licensing agreement with Innovent Biologics, Inc.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commercial milestones, as well as tiered royalties from the low to mid-twenties. We also retain an option to assist in the promotion of INCMGA0012 in Zai Lab’s licensed territories.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terms of the agreement, we will receive exclusive commercialization rights outside of the United States, and MorphoSys and we will have co-commercialization rights in the United States, with respect to tafasitamab. MorphoSys will be responsible for leading the commercialization strategy and booking all revenue from sales of tafasitamab in the United States, and we and MorphoSys will both be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below. We and MorphoSys have agreed to co-develop tafasitamab and to share development costs associated with global and U.S.-specific clinical trials, with Incyte responsible for 55% of such costs and MorphoSys responsible for 45% of such costs. Each company will be responsible for funding any independent development activities, and we will be responsible for funding development activities specific to our territory. All development costs related to the collaboration will be subject to a joint development plan.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agreed to pay MorphoSys an upfront non-refundable payment of $750.0 million. MorphoSys will be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effectiveness of the agreement is conditioned on the early termination or expiration of the waiting period under the Hart-Scott-Rodino Antitrust Improvements Act of 1976 as well as clearance by the German and Austrian antitrust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consolidated financial statements. See Note 1 of Notes to the Consolidated Financial Statements for a complete list of our significant accounting policies.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recognize revenue only when we have satisfied a performance obligation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revenues consist of U.S. sales of JAKAFI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purchase directly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70%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the inception of the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 service’s estimated fair value and recognized based upon the transfer of the promised good or service to our collaborator.</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a constraint on the allocated consideration is assessed each reporting period. Revenues are recognized when achievement is probable, which may not be until achieved.</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at the date of grant as well as expected forfeiture rates based on actual</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2019 and 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net income for the year ended December 31, 2019 of $446.9 million and net income for the year ended December 31, 2018 of $109.5 million. On a per share basis, basic net income was $2.08 and diluted net income was $2.05 for the year ended December 31, 2019. On a per share basis, basic net income was $0.52 and diluted net income was $0.51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Year Ended,</w:t>
      </w:r>
    </w:p>
    <w:p>
      <w:pPr>
        <w:jc w:val="center"/>
        <w:ind w:left="5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3"/>
          </w:tcPr>
          <w:p>
            <w:pPr>
              <w:jc w:val="right"/>
              <w:ind w:right="85"/>
              <w:spacing w:after="0" w:line="142"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1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6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24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1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24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14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18"/>
                <w:szCs w:val="18"/>
                <w:color w:val="auto"/>
              </w:rPr>
            </w:pPr>
          </w:p>
        </w:tc>
      </w:tr>
      <w:tr>
        <w:trPr>
          <w:trHeight w:val="210"/>
        </w:trPr>
        <w:tc>
          <w:tcPr>
            <w:tcW w:w="42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234.8</w:t>
            </w:r>
          </w:p>
        </w:tc>
        <w:tc>
          <w:tcPr>
            <w:tcW w:w="2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1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r>
      <w:tr>
        <w:trPr>
          <w:trHeight w:val="21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2,158.8</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revenues, net for the years ended December 31, 2019 and 2018, were $1.8 billion and $1.5 billion, respectively. The increase in JAKAFI product revenues was comprised of a volume increase of $204.5 million and a price increase of $93.5 million. 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9"/>
              </w:rPr>
              <w:t>Discounts and</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Government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w w:val="95"/>
              </w:rPr>
              <w:t>Co-Pay</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Assistance</w:t>
            </w:r>
          </w:p>
        </w:tc>
        <w:tc>
          <w:tcPr>
            <w:tcW w:w="16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Distribution</w:t>
            </w:r>
          </w:p>
        </w:tc>
        <w:tc>
          <w:tcPr>
            <w:tcW w:w="1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Rebates and</w:t>
            </w: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Fees</w:t>
            </w: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Discounts</w:t>
            </w:r>
          </w:p>
        </w:tc>
        <w:tc>
          <w:tcPr>
            <w:tcW w:w="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Allowances for current period sales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256,406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Credits/payments for current period sales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(214,430)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(8,198)</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(266,602)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milestone and contract revenues were $77.5 million and $180.0 million for the years ended December 31, 2019 and 2018, respectively. During the year ended December 31, 2019, under the Innovent agreement, we recognized a $40.0 million upfront payment and a $20.0 million milestone and under the Zai Lab agreement, we recognized a $17.5 million upfront payment. During the year ended December 31, 2018, under the Lilly agreement, we recognized a $20.0 million development milestone for the first patient treated in systemic lupus erythematosus Phase III program for baricitinib and a $100.0 million regulatory milestone for the approval of the 2mg dose of OLUMIANT for the treatment of moderately-to-severely active rheumatoid arthritis in adult patients by the FDA and under the Novartis agreement, we recognized a $60.0 million milestone for Novartis achieving annual net sales of a JAK licensed product of $900.0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Year Ended,</w:t>
      </w:r>
    </w:p>
    <w:p>
      <w:pPr>
        <w:jc w:val="center"/>
        <w:ind w:left="5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08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Royalty expense</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r>
      <w:tr>
        <w:trPr>
          <w:trHeight w:val="210"/>
        </w:trPr>
        <w:tc>
          <w:tcPr>
            <w:tcW w:w="456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1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Cost of product revenues includes all JAKAFI and ICLUSIG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 Cost of product revenues increased from 2018 to 2019 due primarily to increased royalties to Novartis on all JAKAFI sales in the United States.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For the Years Ended,</w:t>
            </w:r>
          </w:p>
        </w:tc>
      </w:tr>
      <w:tr>
        <w:trPr>
          <w:trHeight w:val="171"/>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center"/>
              <w:ind w:left="578"/>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7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Stock compensation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8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Borders>
              <w:bottom w:val="single" w:sz="8" w:color="CCEEFF"/>
            </w:tcBorders>
          </w:tcPr>
          <w:p>
            <w:pPr>
              <w:spacing w:after="0"/>
              <w:rPr>
                <w:sz w:val="18"/>
                <w:szCs w:val="18"/>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research and development costs by natural expense line and not costs by project. Salary and benefits related expense increased from 2018 to 2019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decrease in clinical research and outside services expense from 2018 to 2019 was primarily due to upfront and milestone expenses related to our collaborative agreements and the election to end additional co-funding of the development of baricitinib with Lilly effective as of January 1, 2019. Research and development expenses include upfront and milestone expenses related to our collaborative agreements of $27.8 million and $52.4 million for the years ended 2019 and 2018, respectively. For the year ended 2019, we recorded no research and development expense under the Lilly agreement for co-funding the development of baricitinib. For the year ended 2018, we recorded $68.6 million in research and development expenses under the Lilly agreement representing 30% of the global development costs for baricitinib. Research and development expenses for the years ended December 31, 2019 and 2018 were net of $15.1 million and $10.5 million, respectively, of costs reimbursed by our collaborative partners.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For the Years Ended,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9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compensation</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80" w:type="dxa"/>
            <w:vAlign w:val="bottom"/>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Salary and benefits related expense increased from 2018 to 2019 due to increased headcount. This increased headcount was due primarily to the ongoing commercialization efforts related to JAKAFI for intermediate or high-risk myelofibrosis, uncontrolled polycythemia vera and GVHD as well as increased headcount related to our European operations. Stock compensation expense may fluctuate from period to period based on the number of awards granted,</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price volatility and expected award lives, as well as expected award forfeiture rates which are used to value equity-based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Acquisition-related contingent consideration, which consists of our future royalty and certain potential milestone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2019 and 2018 was $19.7 million and $26.2 million, respectively. The change in fair value of the contingent consideration for the years ended December 31, 2019 and 2018 was due primarily to the passage of time as there were no other significant changes in the key assumptions during the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years ended December 31, 2019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$52.2 million and $31.8 million, respectively. The increase in other income (expense), net primarily relates to interest income and refundable research and development credits from the state of Delaware.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years ended December 31, 2019 and 2018, was $1.9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respectively. Included in interest expense for the years ended December 31, 2019 and 2018 was $0.9 million and $1.2 million, respectively, of non-cash charges to amortize the discounts on our convertible senior notes due November 2018 and November 2020.</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from period to period, based on the change in fair value of the securities we hold in our publicly held collaboration partners. The following table provides a summary of those unrealized gains and (losses):</w:t>
      </w:r>
    </w:p>
    <w:p>
      <w:pPr>
        <w:spacing w:after="0" w:line="186"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For the Years Ended,</w:t>
      </w:r>
    </w:p>
    <w:p>
      <w:pPr>
        <w:jc w:val="center"/>
        <w:ind w:left="6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198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w:t>
            </w: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Calithera</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Syros</w:t>
            </w:r>
          </w:p>
        </w:tc>
        <w:tc>
          <w:tcPr>
            <w:tcW w:w="1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unrealized gain (loss) on long term investments</w:t>
            </w:r>
          </w:p>
        </w:tc>
        <w:tc>
          <w:tcPr>
            <w:tcW w:w="1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34.5</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years ended December 31, 2019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$39.9 million and $5.9 million, respectively. The increase in provision for income taxes primarily relates to federal and state tax liabilities that are not fully sheltered by net operating losses or research and development tax credit carryforwards. This is partially offset by higher tax benefits associated with stock-based compensation.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4"/>
          </w:tcPr>
          <w:p>
            <w:pPr>
              <w:ind w:left="4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w w:val="93"/>
              </w:rPr>
              <w:t>2,117.6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1,438.3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3"/>
              </w:rPr>
              <w:t>1,968.1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1,407.0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710.7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investing activities above)</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Sources and Uses of Cash.</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historical net losses, we had an accumulated deficit of $1.4 billion as of December 31, 2019. We have funded our research and development operations through sales of equity securities, the issuance of convertible notes, cash received from customers, and collaborative arrangements. At December 31, 2019, we had available cash, cash equivalents and marketable securities of $2.1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Cash provided by operating activities. </w:t>
      </w:r>
      <w:r>
        <w:rPr>
          <w:rFonts w:ascii="Arial" w:cs="Arial" w:eastAsia="Arial" w:hAnsi="Arial"/>
          <w:sz w:val="18"/>
          <w:szCs w:val="18"/>
          <w:color w:val="auto"/>
        </w:rPr>
        <w:t>The $374.5 million increase in cash provided by operating activities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2019 was due primarily to our increased product revenues and changes in working capital.</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Cash used in investing activities. </w:t>
      </w:r>
      <w:r>
        <w:rPr>
          <w:rFonts w:ascii="Arial" w:cs="Arial" w:eastAsia="Arial" w:hAnsi="Arial"/>
          <w:sz w:val="17"/>
          <w:szCs w:val="17"/>
          <w:color w:val="auto"/>
        </w:rPr>
        <w:t>Our investing activities, other than purchases, sales and maturities of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have consisted predominantly of capital expenditures and purchases of long term investments. During 2019, net cash used in investing activities was $87.5 million, which represents purchases of marketable securities of $374.8 million and capital expenditures of $78.1 million, offset in part by the sale and maturity of marketable securities of $365.4 million. During 2018, net cash used in investing activities was $86.4 million, which represents purchases of marketable securities of $159.9 million, capital expenditures of $73.5 million, and purchases of long term investments of $8.9 million, offset in part by the sale and maturity of marketable securities of $155.9 million.</w:t>
      </w:r>
    </w:p>
    <w:p>
      <w:pPr>
        <w:spacing w:after="0" w:line="1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provided by financing activities. </w:t>
      </w:r>
      <w:r>
        <w:rPr>
          <w:rFonts w:ascii="Arial" w:cs="Arial" w:eastAsia="Arial" w:hAnsi="Arial"/>
          <w:sz w:val="18"/>
          <w:szCs w:val="18"/>
          <w:color w:val="auto"/>
        </w:rPr>
        <w:t>During 2019 and 2018, net cash provided by financing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$45.7 million and $14.7 million, respectively, consisting primarily of proceeds from the issuance of common stock under our stock plans, offset in part by cash paid to ARIAD/Takeda for contingent consideration.</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December 31, 2019 and the effect those obligations are expected to have on our liquidity and cash flow in future periods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2 - 3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4 - 5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non-cancelable obligations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entered into and may in the future seek to license additional rights relating to technologies or drug development candidates in connection with our drug discovery and development programs. Under these licenses, we may</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required to pay upfront fees, milestone payments, and royalties on sales of future products, which are not reflected in the table above.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2020, we entered into a collaboration and license agreement and related purchase agreement with MorphoSys, under which we agreed to pay MorphoSys and upfront non-refundable payment of $750.0 million and to purchase American Depositary Shares (ADSs) representing ordinary shares of MorphoSys for an aggregate purchase price of $150.0 million. The effectiveness of the collaboration and license agreement is conditioned on the early termination or expiration of the waiting period under the Hart-Scott-Rodino Antitrust Improvements Act of 1976 as well as clearance by the German and Austrian antitrust authorities, and closing of the purchase of the ADSs is subject to customary conditions, as well as the effectiveness of the collaboration and license agreement.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Innovent and Zai Lab; and expenditures in connection with strategic relationships and license agreements, including our agreements with Agenus, ARIAD/Takeda, Calithera, Lilly, MacroGenics, MorphoSys,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December 31, 2019, marketable securities were $284.9 million. Due to the nature of these investments, if market interest rates were to increase immediately and uniformly by 10% from levels as of December 31, 2019, the decline in fair value would not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3" w:name="page74"/>
    <w:bookmarkEnd w:id="73"/>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Consolidated Financial Statements of Incyte Corporation</w:t>
            </w: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600" w:type="dxa"/>
            <w:vAlign w:val="bottom"/>
            <w:gridSpan w:val="10"/>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Report of Ernst &amp; Young LLP, Independent Registered Public Accounting Firm</w:t>
              </w:r>
            </w:hyperlink>
          </w:p>
        </w:tc>
        <w:tc>
          <w:tcPr>
            <w:tcW w:w="2860" w:type="dxa"/>
            <w:vAlign w:val="bottom"/>
            <w:gridSpan w:val="5"/>
          </w:tcPr>
          <w:p>
            <w:pPr>
              <w:spacing w:after="0"/>
              <w:rPr>
                <w:sz w:val="16"/>
                <w:szCs w:val="16"/>
                <w:color w:val="auto"/>
              </w:rPr>
            </w:pPr>
          </w:p>
        </w:tc>
        <w:tc>
          <w:tcPr>
            <w:tcW w:w="6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600" w:type="dxa"/>
            <w:vAlign w:val="bottom"/>
            <w:gridSpan w:val="1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Balance Sheets as of December 31, 2019 and 2018</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Operations for the years ended December 31, 2019, 2018 and 2017</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Comprehensive Income (Loss) for the years ended December 31, 2019, 2018 and 2017</w:t>
              </w:r>
            </w:hyperlink>
          </w:p>
        </w:tc>
        <w:tc>
          <w:tcPr>
            <w:tcW w:w="3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 of Stockholders’ Equity for the years ended December 31, 2019, 2018 and 2017</w:t>
              </w:r>
            </w:hyperlink>
          </w:p>
        </w:tc>
        <w:tc>
          <w:tcPr>
            <w:tcW w:w="1080" w:type="dxa"/>
            <w:vAlign w:val="bottom"/>
            <w:gridSpan w:val="2"/>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8600" w:type="dxa"/>
            <w:vAlign w:val="bottom"/>
            <w:gridSpan w:val="1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 for the years ended December 31, 2019, 2018 and 2017</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Notes to the Consolidated Financial Statements</w:t>
              </w:r>
            </w:hyperlink>
          </w:p>
        </w:tc>
        <w:tc>
          <w:tcPr>
            <w:tcW w:w="3480" w:type="dxa"/>
            <w:vAlign w:val="bottom"/>
            <w:tcBorders>
              <w:top w:val="single" w:sz="8" w:color="0000EE"/>
            </w:tcBorders>
            <w:gridSpan w:val="5"/>
          </w:tcPr>
          <w:p>
            <w:pPr>
              <w:spacing w:after="0"/>
              <w:rPr>
                <w:sz w:val="17"/>
                <w:szCs w:val="17"/>
                <w:color w:val="auto"/>
              </w:rPr>
            </w:pPr>
          </w:p>
        </w:tc>
        <w:tc>
          <w:tcPr>
            <w:tcW w:w="1700" w:type="dxa"/>
            <w:vAlign w:val="bottom"/>
            <w:gridSpan w:val="3"/>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Interim Consolidated Financial Information (unaudited)</w:t>
              </w:r>
            </w:hyperlink>
          </w:p>
        </w:tc>
        <w:tc>
          <w:tcPr>
            <w:tcW w:w="4580" w:type="dxa"/>
            <w:vAlign w:val="bottom"/>
            <w:gridSpan w:val="7"/>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885"/>
        </w:trPr>
        <w:tc>
          <w:tcPr>
            <w:tcW w:w="5740" w:type="dxa"/>
            <w:vAlign w:val="bottom"/>
            <w:gridSpan w:val="5"/>
          </w:tcPr>
          <w:p>
            <w:pPr>
              <w:ind w:left="4540"/>
              <w:spacing w:after="0"/>
              <w:rPr>
                <w:sz w:val="20"/>
                <w:szCs w:val="20"/>
                <w:color w:val="auto"/>
              </w:rPr>
            </w:pPr>
            <w:r>
              <w:rPr>
                <w:rFonts w:ascii="Arial" w:cs="Arial" w:eastAsia="Arial" w:hAnsi="Arial"/>
                <w:sz w:val="18"/>
                <w:szCs w:val="18"/>
                <w:color w:val="auto"/>
              </w:rPr>
              <w:t>73</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517" w:right="13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4060"/>
        <w:spacing w:after="0" w:line="375" w:lineRule="auto"/>
        <w:rPr>
          <w:sz w:val="20"/>
          <w:szCs w:val="20"/>
          <w:color w:val="auto"/>
        </w:rPr>
      </w:pPr>
      <w:r>
        <w:rPr>
          <w:rFonts w:ascii="Arial" w:cs="Arial" w:eastAsia="Arial" w:hAnsi="Arial"/>
          <w:sz w:val="18"/>
          <w:szCs w:val="18"/>
          <w:color w:val="auto"/>
        </w:rPr>
        <w:t xml:space="preserve">To the Stockholders and the Board of Directors of Incyte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Incyte Corporation (the Company) as of December 31, 2019 and 2018, the related consolidated statements of operations, comprehensive income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8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13, 2020 expressed an unqualified opinion thereon.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2"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Allowances for rebates to governmental entities</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1 to the consolidated financial statements, the Company recognizes revenues for</w:t>
      </w:r>
    </w:p>
    <w:p>
      <w:pPr>
        <w:spacing w:after="0" w:line="23" w:lineRule="exact"/>
        <w:rPr>
          <w:sz w:val="20"/>
          <w:szCs w:val="20"/>
          <w:color w:val="auto"/>
        </w:rPr>
      </w:pPr>
    </w:p>
    <w:p>
      <w:pPr>
        <w:jc w:val="both"/>
        <w:ind w:left="1580" w:right="120" w:hanging="1579"/>
        <w:spacing w:after="0" w:line="281" w:lineRule="auto"/>
        <w:tabs>
          <w:tab w:leader="none" w:pos="156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product received by its customers net of allowances for customer credits, including rebates, discounts and chargebacks. Liabilities related to sales allowances are presented within accrued and other current liabilities on the consolidated balance sheet and totaled $59.9 million as of December 31, 2019.</w:t>
      </w:r>
    </w:p>
    <w:p>
      <w:pPr>
        <w:spacing w:after="0" w:line="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Adjustments to gross product revenue include allowances for rebates to governmental entities.</w:t>
      </w:r>
    </w:p>
    <w:p>
      <w:pPr>
        <w:spacing w:after="0" w:line="222" w:lineRule="exact"/>
        <w:rPr>
          <w:sz w:val="20"/>
          <w:szCs w:val="20"/>
          <w:color w:val="auto"/>
        </w:rPr>
      </w:pPr>
    </w:p>
    <w:p>
      <w:pPr>
        <w:ind w:left="1580" w:right="180"/>
        <w:spacing w:after="0" w:line="302" w:lineRule="auto"/>
        <w:rPr>
          <w:sz w:val="20"/>
          <w:szCs w:val="20"/>
          <w:color w:val="auto"/>
        </w:rPr>
      </w:pPr>
      <w:r>
        <w:rPr>
          <w:rFonts w:ascii="Arial" w:cs="Arial" w:eastAsia="Arial" w:hAnsi="Arial"/>
          <w:sz w:val="16"/>
          <w:szCs w:val="16"/>
          <w:color w:val="auto"/>
        </w:rPr>
        <w:t>Auditing the allowances for rebates to governmental entities was complex and highly judgmental due to the significant estimation uncertainty involved in management’s assumptions, including the levels of expected future claims and the amount of forecasted shipments from wholesalers that will be dispensed to eligible benefit plan participants, as well as the complexity of governmental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80" w:right="699"/>
        <w:spacing w:after="0" w:line="277" w:lineRule="auto"/>
        <w:rPr>
          <w:sz w:val="20"/>
          <w:szCs w:val="20"/>
          <w:color w:val="auto"/>
        </w:rPr>
      </w:pPr>
      <w:r>
        <w:rPr>
          <w:rFonts w:ascii="Arial" w:cs="Arial" w:eastAsia="Arial" w:hAnsi="Arial"/>
          <w:sz w:val="18"/>
          <w:szCs w:val="18"/>
          <w:color w:val="auto"/>
        </w:rPr>
        <w:t>pricing calculations. The allowances for rebates to governmental entities are sensitive to these significant assumptions and calculations.</w:t>
      </w:r>
    </w:p>
    <w:p>
      <w:pPr>
        <w:spacing w:after="0" w:line="17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6"/>
          <w:szCs w:val="16"/>
          <w:color w:val="auto"/>
        </w:rPr>
        <w:t>We obtained an understanding, evaluated the design and tested the operating effectiveness of controls</w:t>
      </w:r>
    </w:p>
    <w:p>
      <w:pPr>
        <w:spacing w:after="0" w:line="2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over management’s review of the allowances for rebates to governmental entities. For example, we</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tested controls over management’s review of the significant assumptions, such as the levels of</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expected future claims and the amount of forecasted shipments from wholesalers that will be</w:t>
      </w:r>
    </w:p>
    <w:p>
      <w:pPr>
        <w:spacing w:after="0" w:line="9" w:lineRule="exact"/>
        <w:rPr>
          <w:sz w:val="20"/>
          <w:szCs w:val="20"/>
          <w:color w:val="auto"/>
        </w:rPr>
      </w:pPr>
    </w:p>
    <w:p>
      <w:pPr>
        <w:ind w:left="1580" w:right="339"/>
        <w:spacing w:after="0" w:line="261" w:lineRule="auto"/>
        <w:rPr>
          <w:sz w:val="20"/>
          <w:szCs w:val="20"/>
          <w:color w:val="auto"/>
        </w:rPr>
      </w:pPr>
      <w:r>
        <w:rPr>
          <w:rFonts w:ascii="Arial" w:cs="Arial" w:eastAsia="Arial" w:hAnsi="Arial"/>
          <w:sz w:val="18"/>
          <w:szCs w:val="18"/>
          <w:color w:val="auto"/>
        </w:rPr>
        <w:t>dispensed to eligible benefit plan participants, as well as controls over management’s review of the application of the governmental pricing regulations.</w:t>
      </w:r>
    </w:p>
    <w:p>
      <w:pPr>
        <w:spacing w:after="0" w:line="184" w:lineRule="exact"/>
        <w:rPr>
          <w:sz w:val="20"/>
          <w:szCs w:val="20"/>
          <w:color w:val="auto"/>
        </w:rPr>
      </w:pPr>
    </w:p>
    <w:p>
      <w:pPr>
        <w:ind w:left="1580" w:right="59"/>
        <w:spacing w:after="0" w:line="270" w:lineRule="auto"/>
        <w:rPr>
          <w:sz w:val="20"/>
          <w:szCs w:val="20"/>
          <w:color w:val="auto"/>
        </w:rPr>
      </w:pPr>
      <w:r>
        <w:rPr>
          <w:rFonts w:ascii="Arial" w:cs="Arial" w:eastAsia="Arial" w:hAnsi="Arial"/>
          <w:sz w:val="17"/>
          <w:szCs w:val="17"/>
          <w:color w:val="auto"/>
        </w:rPr>
        <w:t>To test the allowances for rebates to governmental entities,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certain estimated rebates.</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Valuation of acquisition-related contingent consideration liability</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3 to the consolidated financial statements, the Company’s acquisition-related</w:t>
      </w:r>
    </w:p>
    <w:p>
      <w:pPr>
        <w:spacing w:after="0" w:line="23"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contingent consideration liability, which consists of certain future royalty obligations, is remeasured to</w:t>
      </w:r>
    </w:p>
    <w:p>
      <w:pPr>
        <w:spacing w:after="0" w:line="32" w:lineRule="exact"/>
        <w:rPr>
          <w:sz w:val="20"/>
          <w:szCs w:val="20"/>
          <w:color w:val="auto"/>
        </w:rPr>
      </w:pPr>
    </w:p>
    <w:p>
      <w:pPr>
        <w:ind w:left="1580" w:right="619"/>
        <w:spacing w:after="0" w:line="261" w:lineRule="auto"/>
        <w:rPr>
          <w:sz w:val="20"/>
          <w:szCs w:val="20"/>
          <w:color w:val="auto"/>
        </w:rPr>
      </w:pPr>
      <w:r>
        <w:rPr>
          <w:rFonts w:ascii="Arial" w:cs="Arial" w:eastAsia="Arial" w:hAnsi="Arial"/>
          <w:sz w:val="18"/>
          <w:szCs w:val="18"/>
          <w:color w:val="auto"/>
        </w:rPr>
        <w:t>its estimated fair value each reporting period. As of December 31, 2019, the acquisition-related contingent consideration liability was $277.0 million.</w:t>
      </w:r>
    </w:p>
    <w:p>
      <w:pPr>
        <w:spacing w:after="0" w:line="184" w:lineRule="exact"/>
        <w:rPr>
          <w:sz w:val="20"/>
          <w:szCs w:val="20"/>
          <w:color w:val="auto"/>
        </w:rPr>
      </w:pPr>
    </w:p>
    <w:p>
      <w:pPr>
        <w:ind w:left="1580" w:right="219"/>
        <w:spacing w:after="0" w:line="297" w:lineRule="auto"/>
        <w:rPr>
          <w:sz w:val="20"/>
          <w:szCs w:val="20"/>
          <w:color w:val="auto"/>
        </w:rPr>
      </w:pPr>
      <w:r>
        <w:rPr>
          <w:rFonts w:ascii="Arial" w:cs="Arial" w:eastAsia="Arial" w:hAnsi="Arial"/>
          <w:sz w:val="16"/>
          <w:szCs w:val="16"/>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weighted average cost of capital and the revenue growth rates, which are affected by expectations about future industry, market or economic conditions, and are forward-looking and inherently uncertain.</w:t>
      </w:r>
    </w:p>
    <w:p>
      <w:pPr>
        <w:spacing w:after="0" w:line="15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6"/>
          <w:szCs w:val="16"/>
          <w:color w:val="auto"/>
        </w:rPr>
        <w:t>We obtained an understanding, evaluated the design and tested the operating effectiveness of controls</w:t>
      </w:r>
    </w:p>
    <w:p>
      <w:pPr>
        <w:spacing w:after="0" w:line="2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over the Company’s valuation of the acquisition-related contingent consideration liability. For</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6"/>
          <w:szCs w:val="16"/>
          <w:color w:val="auto"/>
        </w:rPr>
        <w:t>example, we tested the Company's controls over management’s review of the valuation model,</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including controls over the significant assumptions utilized in the calculation, such as the weighted</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average cost of capital and the forecasted revenue growth rates.</w:t>
      </w:r>
    </w:p>
    <w:p>
      <w:pPr>
        <w:spacing w:after="0" w:line="211" w:lineRule="exact"/>
        <w:rPr>
          <w:sz w:val="20"/>
          <w:szCs w:val="20"/>
          <w:color w:val="auto"/>
        </w:rPr>
      </w:pPr>
    </w:p>
    <w:p>
      <w:pPr>
        <w:ind w:left="1580" w:right="119"/>
        <w:spacing w:after="0" w:line="254" w:lineRule="auto"/>
        <w:rPr>
          <w:sz w:val="20"/>
          <w:szCs w:val="20"/>
          <w:color w:val="auto"/>
        </w:rPr>
      </w:pPr>
      <w:r>
        <w:rPr>
          <w:rFonts w:ascii="Arial" w:cs="Arial" w:eastAsia="Arial" w:hAnsi="Arial"/>
          <w:sz w:val="18"/>
          <w:szCs w:val="18"/>
          <w:color w:val="auto"/>
        </w:rPr>
        <w:t>To test the estimated fair value of the acquisition-related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We also compared the significant assumptions to current industry, market and economic trends and to the Company's budgets and forecasts. In addition, we assessed the historical accuracy of management’s estimates against actual performance.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INCYTE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1,832,684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1,163,980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Marketable securities—available-for-sale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2,481,488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1,832,254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3,426,750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2,645,762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83,647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senior notes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Acquisition-related contingent consideration</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Acquisition-related contingent consideration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828,344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200"/>
              <w:spacing w:after="0" w:line="201" w:lineRule="exact"/>
              <w:rPr>
                <w:sz w:val="20"/>
                <w:szCs w:val="20"/>
                <w:color w:val="auto"/>
              </w:rPr>
            </w:pPr>
            <w:r>
              <w:rPr>
                <w:rFonts w:ascii="Arial" w:cs="Arial" w:eastAsia="Arial" w:hAnsi="Arial"/>
                <w:sz w:val="18"/>
                <w:szCs w:val="18"/>
                <w:color w:val="auto"/>
                <w:w w:val="95"/>
              </w:rPr>
              <w:t>Preferred stock, $0.001 par value; 5,000,000 shares authorized; none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w w:val="92"/>
              </w:rPr>
              <w:t>issued or outstanding as of December 31, 2019 and December 31, 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$0.001 par value; 400,000,000 shares authorized;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216,177,830 and 213,274,660 shares issued and outstanding as of</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2019 and December 31, 2018,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4,044,490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3,813,678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(1,430,758)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(1,877,759)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2,598,406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1,925,967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3,426,750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2,645,762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3020"/>
              <w:spacing w:after="0"/>
              <w:rPr>
                <w:sz w:val="20"/>
                <w:szCs w:val="20"/>
                <w:color w:val="auto"/>
              </w:rPr>
            </w:pPr>
            <w:r>
              <w:rPr>
                <w:rFonts w:ascii="Arial" w:cs="Arial" w:eastAsia="Arial" w:hAnsi="Arial"/>
                <w:sz w:val="18"/>
                <w:szCs w:val="18"/>
                <w:color w:val="auto"/>
              </w:rPr>
              <w:t>See accompanying notes.</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39"/>
          </w:cols>
          <w:pgMar w:left="1420" w:top="517" w:right="1440"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INCYTE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Product revenues, net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1,774,922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1,466,900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1,200,312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royalty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Milestone and contract revenues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2,158,759</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1,881,883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1,536,216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200"/>
              <w:spacing w:after="0" w:line="201" w:lineRule="exact"/>
              <w:rPr>
                <w:sz w:val="20"/>
                <w:szCs w:val="20"/>
                <w:color w:val="auto"/>
              </w:rPr>
            </w:pPr>
            <w:r>
              <w:rPr>
                <w:rFonts w:ascii="Arial" w:cs="Arial" w:eastAsia="Arial" w:hAnsi="Arial"/>
                <w:sz w:val="18"/>
                <w:szCs w:val="18"/>
                <w:color w:val="auto"/>
                <w:w w:val="95"/>
              </w:rPr>
              <w:t>Cost of product revenues (including definite-lived intangible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114,249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94,123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1,154,111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1,197,957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1,326,134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468,711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consideration</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1,756,753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1,752,660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1,779,603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Expense related to senior note conversions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before provision for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(loss)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214,913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INCYTE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$ 446,906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$ 109,493</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(313,142)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marketable securities, net of tax</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Defined benefit pension obligations, net of tax</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$ 441,529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$ 109,091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ind w:left="3040"/>
              <w:spacing w:after="0"/>
              <w:rPr>
                <w:sz w:val="20"/>
                <w:szCs w:val="20"/>
                <w:color w:val="auto"/>
              </w:rPr>
            </w:pPr>
            <w:r>
              <w:rPr>
                <w:rFonts w:ascii="Arial" w:cs="Arial" w:eastAsia="Arial" w:hAnsi="Arial"/>
                <w:sz w:val="18"/>
                <w:szCs w:val="18"/>
                <w:color w:val="auto"/>
                <w:w w:val="93"/>
              </w:rPr>
              <w:t>See accompanying notes.</w:t>
            </w: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INCYTE CORPORATION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number of shares)</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$ 2,096,929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(1,674,765)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3,012,937 shares of Common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Stock upon exercise of stock options and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settlement of employee restricted stock units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2"/>
              </w:rPr>
              <w:t>and performance shares and 157,277 shares of</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Common Stock under the ESPP</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66,732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7,095,350 shares of Common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 upon conversion of Convertible Senior</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Notes due 2020</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330,011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7,201,058 shares of Common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Stock upon conversion of Convertible Senior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Notes due 2018</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351,037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351,044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2,532 shares of Common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 services rendered</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4,945,000 shares of Common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649,382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No. 2016-16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(313,142)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(313,142)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$ 3,627,433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(1,990,005)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1,630,629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1,624,376 shares of Common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Stock upon exercise of stock options and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settlement of employee restricted stock units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8"/>
              </w:rPr>
              <w:t>and 233,712 shares of Common Stock under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the ESPP</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29,940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148,761 shares of Common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7"/>
              </w:rPr>
              <w:t>upon conversion of Convertible Senior Notes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due 2018</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4,905 shares of Common Stock</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for services rendered</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No. 2016-01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109,493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2018</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$ 3,813,678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(1,877,759)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1,925,967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2,657,892 shares of Common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Stock upon exercise of stock options and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settlement of employee restricted stock units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8"/>
              </w:rPr>
              <w:t>and 239,590 shares of Common Stock under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the ESPP</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63,296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5,688 shares of Common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 services rendered</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Stock compensation</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Adoption of ASU No. 2016-02 (Note 1)</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8"/>
                <w:szCs w:val="18"/>
                <w:color w:val="auto"/>
              </w:rPr>
              <w:t>Balances at December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$ 4,044,490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(1,430,758)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2,598,406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INCYTE CORPORATION</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6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8"/>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446,906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(313,142)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Adjustments to reconcile net income to net cash provided by operating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In-process research and development impairment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166,589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133,055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senior note conversions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Unrealized (gain) loss on long term investments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Change in fair value of acquisition-related contingent consideration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(117,541)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liabilities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(123,891)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(374,809)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(159,932)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(260,780)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maturities of marketable securities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145,714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(349,978)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649,387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paid in connection with senior note conversions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 of contingent consideration</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690,210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100" w:type="dxa"/>
            <w:vAlign w:val="bottom"/>
          </w:tcPr>
          <w:p>
            <w:pPr>
              <w:spacing w:after="0" w:line="182" w:lineRule="exact"/>
              <w:rPr>
                <w:sz w:val="20"/>
                <w:szCs w:val="20"/>
                <w:color w:val="auto"/>
              </w:rPr>
            </w:pPr>
            <w:r>
              <w:rPr>
                <w:rFonts w:ascii="Arial" w:cs="Arial" w:eastAsia="Arial" w:hAnsi="Arial"/>
                <w:sz w:val="18"/>
                <w:szCs w:val="18"/>
                <w:color w:val="auto"/>
                <w:w w:val="89"/>
              </w:rPr>
              <w:t>Effect of exchange rates on cash, cash equivalents, restricted cash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89"/>
              </w:rPr>
              <w:t>Net increase in cash, cash equivalents, restricted cash and investments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w w:val="91"/>
              </w:rPr>
              <w:t>Cash, cash equivalents, restricted cash and investments at beginning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of period</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1,164,986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900,434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653,229</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Cash, cash equivalents, restricted cash and investments at end of</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1,833,707</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1,164,986</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900,434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4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taxes paid</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33,553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Reclassification to common stock and additional paid in capital in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3"/>
              </w:rPr>
              <w:t>connection with conversions of 0.375% convertible senior notes due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351,044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w w:val="98"/>
              </w:rPr>
              <w:t>Reclassification to common stock and additional paid in capital in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5"/>
              </w:rPr>
              <w:t>connection with conversions of 1.25% convertible senior notes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330,011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1"/>
              </w:rPr>
              <w:t>Leased assets obtained in exchange for new operating lease liabilities</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7,607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4"/>
              </w:rPr>
              <w:t>Leased assets obtained in exchange for new finance lease liabilities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INCYTE CORPORATION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Organization and Business. </w:t>
      </w:r>
      <w:r>
        <w:rPr>
          <w:rFonts w:ascii="Arial" w:cs="Arial" w:eastAsia="Arial" w:hAnsi="Arial"/>
          <w:sz w:val="18"/>
          <w:szCs w:val="18"/>
          <w:color w:val="auto"/>
        </w:rPr>
        <w:t>Incyte Corporation (including its subsidiaries, “Incyte,” “we,” “us,” or “our”) is a</w:t>
      </w:r>
      <w:r>
        <w:rPr>
          <w:rFonts w:ascii="Arial" w:cs="Arial" w:eastAsia="Arial" w:hAnsi="Arial"/>
          <w:sz w:val="18"/>
          <w:szCs w:val="18"/>
          <w:i w:val="1"/>
          <w:iCs w:val="1"/>
          <w:color w:val="auto"/>
        </w:rPr>
        <w:t xml:space="preserve"> </w:t>
      </w:r>
      <w:r>
        <w:rPr>
          <w:rFonts w:ascii="Arial" w:cs="Arial" w:eastAsia="Arial" w:hAnsi="Arial"/>
          <w:sz w:val="18"/>
          <w:szCs w:val="18"/>
          <w:color w:val="auto"/>
        </w:rPr>
        <w:t>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Incyte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wholly owned subsidiaries. All inter-company accounts, transactions, and profits have been eliminated in consolidation.</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Acquired businesses are accounted for using the acquisition method of accounting, which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acquired and liabilities assumed be recorded at fair value, with limited exceptions. Any excess of the purchase price over the fair value of the net assets acquired is recorded as goodwill. Transaction costs are expensed as incurred. The operating results of the acquired business are reflected in our consolidated financial statements after the date of acquisition.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Operations in non-U.S. entities are recorded in the functional currency of each entity.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Cash, cash equivalents, marketable securities, and trade receivables are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 one type of investment, 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are defined as all liquid investments and money market funds with maturity from date of purchase of 90 days or less that are readily convertible into cash.</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Marketable Securities—Available-for-Sale. </w:t>
      </w:r>
      <w:r>
        <w:rPr>
          <w:rFonts w:ascii="Arial" w:cs="Arial" w:eastAsia="Arial" w:hAnsi="Arial"/>
          <w:sz w:val="17"/>
          <w:szCs w:val="17"/>
          <w:color w:val="auto"/>
        </w:rPr>
        <w:t>Our marketable securities consist of investments in corporate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December 31, 2019 and 2018, we had a de minimis allowance for doubtful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 JAKAFI and ICLUSIG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We perform an initial and ongoing evaluation of the entities with which we have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2019, there were no entities in which we held a variable interest which we determined to be VIEs.</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Long Term Investments. </w:t>
      </w:r>
      <w:r>
        <w:rPr>
          <w:rFonts w:ascii="Arial" w:cs="Arial" w:eastAsia="Arial" w:hAnsi="Arial"/>
          <w:sz w:val="16"/>
          <w:szCs w:val="16"/>
          <w:color w:val="auto"/>
        </w:rPr>
        <w:t>Our long term investments consist of equity investments in common stock of publicly-held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with whom we have entered into collaboration and license agreements. We classify all of our equity investments in common stock of publicly-held companies as long term investments on our consolidated balance sheets. Our equity investments are accounted for at fair value using readily determinable pricing available on a securities exchange on our consolidated balance sheets. For the years ended December 31, 2019 and 2018, changes in fair value of our equity investments are reported on our consolidated statements of operations as an unrealized gain (loss) on long term investments. For the year ended December 31, 2017, the change in fair value of our equity investment in Calithera Biosciences, Inc. was recorded in accumulated other comprehensive income (loss) prior to the adoption of ASU No. 2016-01 on January 1, 2018.</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Property and Equipment, net. </w:t>
      </w:r>
      <w:r>
        <w:rPr>
          <w:rFonts w:ascii="Arial" w:cs="Arial" w:eastAsia="Arial" w:hAnsi="Arial"/>
          <w:sz w:val="17"/>
          <w:szCs w:val="17"/>
          <w:color w:val="auto"/>
        </w:rPr>
        <w:t>Property and equipment, net is stated at cost, less accumulated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The new accounting standard for leases, Accounting Standard Codification (“ASC”) 842,</w:t>
      </w:r>
      <w:r>
        <w:rPr>
          <w:rFonts w:ascii="Arial" w:cs="Arial" w:eastAsia="Arial" w:hAnsi="Arial"/>
          <w:sz w:val="16"/>
          <w:szCs w:val="16"/>
          <w:i w:val="1"/>
          <w:iCs w:val="1"/>
          <w:color w:val="auto"/>
        </w:rPr>
        <w:t xml:space="preserve"> </w:t>
      </w:r>
      <w:r>
        <w:rPr>
          <w:rFonts w:ascii="Arial" w:cs="Arial" w:eastAsia="Arial" w:hAnsi="Arial"/>
          <w:sz w:val="16"/>
          <w:szCs w:val="16"/>
          <w:color w:val="auto"/>
        </w:rPr>
        <w:t>Leases, was adopted for the fiscal year beginning on January 1, 2019. Per the new standard, all leases with a lease term greater than 12 months, regardless of lease type classification, are recorded as an obligation on the balance sheet with a corresponding right-of-use asset. Under the prior standard for leases, only contracts assessed as capital leases were recorded on the balance sheet.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deferred lease payments. Operating lease right-of-use assets are recorded in property and equipment, net on the consolidated balance sheet. For operating leases, the expense</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recognition is similar to that of operating leases under ASC 840, with a single lease cost recognized on a straight-line basis. For finance leases, the expense recognition is similar to that of capital leases under ASC 840, with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Indefinite-lived intangible assets are tested for impairment annually as of October 1 or more frequently if events or changes in circumstances between annual tests indicate that the asset may be impaired. Impairment losses on indefinite-lived intangible assets are recognized based solely on a comparison of the fair value of the asset to its carrying value.</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2019 and determined that the carrying value of our goodwill was not impaired.</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December 31, 2019.</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Financing Costs Related to Long-term Debt. </w:t>
      </w:r>
      <w:r>
        <w:rPr>
          <w:rFonts w:ascii="Arial" w:cs="Arial" w:eastAsia="Arial" w:hAnsi="Arial"/>
          <w:sz w:val="16"/>
          <w:szCs w:val="16"/>
          <w:color w:val="auto"/>
        </w:rPr>
        <w:t>Costs associated with obtaining long-term debt are deferred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over the term of the related debt using the effective interest method. Such costs are presented as a direct deduction from the carrying amount of the long-term debt liability, consistent with debt discounts, on the consolidated balance sheets.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Net Income (Loss) Per Share. </w:t>
      </w:r>
      <w:r>
        <w:rPr>
          <w:rFonts w:ascii="Arial" w:cs="Arial" w:eastAsia="Arial" w:hAnsi="Arial"/>
          <w:sz w:val="17"/>
          <w:szCs w:val="17"/>
          <w:color w:val="auto"/>
        </w:rPr>
        <w:t>Our basic and diluted net income (loss) per share is calculated by dividing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Accumulated Other Comprehensive Income (Loss). </w:t>
      </w:r>
      <w:r>
        <w:rPr>
          <w:rFonts w:ascii="Arial" w:cs="Arial" w:eastAsia="Arial" w:hAnsi="Arial"/>
          <w:sz w:val="17"/>
          <w:szCs w:val="17"/>
          <w:color w:val="auto"/>
        </w:rPr>
        <w:t>Accumulated other comprehensive income (loss) consists of</w:t>
      </w:r>
      <w:r>
        <w:rPr>
          <w:rFonts w:ascii="Arial" w:cs="Arial" w:eastAsia="Arial" w:hAnsi="Arial"/>
          <w:sz w:val="17"/>
          <w:szCs w:val="17"/>
          <w:i w:val="1"/>
          <w:iCs w:val="1"/>
          <w:color w:val="auto"/>
        </w:rPr>
        <w:t xml:space="preserve"> </w:t>
      </w:r>
      <w:r>
        <w:rPr>
          <w:rFonts w:ascii="Arial" w:cs="Arial" w:eastAsia="Arial" w:hAnsi="Arial"/>
          <w:sz w:val="17"/>
          <w:szCs w:val="17"/>
          <w:color w:val="auto"/>
        </w:rPr>
        <w:t>unrealized gains or losses on marketable securities that are classified as available-for-sale, foreign currency translation gains or losses and defined benefit pension obligations. For the year ended December 31, 2017, accumulated other comprehensive income (loss) included unrealized gains and losses on our long-term investment classified as available-for-sale in Calithera Biosciences, Inc. Upon adoption of ASU No. 2016-01, we recorded a $2.8 million adjustment to retained earnings as of January 1, 2018 as changes in the fair value of our equity investments are reported on our consolidated statements of operations as an unrealized gain (loss) on long term investments.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Effective January 1, 2018, revenue-generating contracts are assessed under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determine at contract inception whether we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product revenues consist of U.S. sales of JAKAFI and European sales of ICLUSIG. Product revenues are recognized once we satisfy the performance obligation at a point in time under the revenue recognition criteria as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70%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Cost of product revenues includes all JAKAFI related product costs as well as ICLUSIG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license agreements, which fall within the scope of ASC 606, Revenue from Contracts with Customers,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contracts form collaborative arrangements of various types with third-parties. We assess whether the nature of the arrangement is within the scope of ASC 808, Collaborative Arrangements, in conjunction with the new revenue guidance to determine the nature of the performance obligations and associated transaction prices. A collaborative relationship may exist when we participate in an activity or process with another party, such as performance of research</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3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Long Term Incentive Plans. </w:t>
      </w:r>
      <w:r>
        <w:rPr>
          <w:rFonts w:ascii="Arial" w:cs="Arial" w:eastAsia="Arial" w:hAnsi="Arial"/>
          <w:sz w:val="17"/>
          <w:szCs w:val="17"/>
          <w:color w:val="auto"/>
        </w:rPr>
        <w:t>We have long term incentive plans which provide eligible employees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Acquisition-Related Contingent Consideration. </w:t>
      </w:r>
      <w:r>
        <w:rPr>
          <w:rFonts w:ascii="Arial" w:cs="Arial" w:eastAsia="Arial" w:hAnsi="Arial"/>
          <w:sz w:val="18"/>
          <w:szCs w:val="18"/>
          <w:color w:val="auto"/>
        </w:rPr>
        <w:t>Acquisition-related contingent consideration consists of our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obligations on future net sales of ICLUSIG and certain potential milestone obligations for new oncology or non-oncology indications for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(Topic 842 or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the standard on January 1, 2019 utilizing the optional transition method as defined within ASU No. 2018-11. Accordingly, prior periods were not restated to reflect the adopted standard. We did not elect the hindsight expedient and did not elect to combine lease and non-lease components into a single lease component.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result of adoption on January 1, 2019, we recorded $23.6 million of lease right-of-use assets, $23.7 million of lease liabilities and an adjustment to retained earnings of $0.1 million. In addition, our capital lease assets and liabilities are now classified as finance lease right-of-use assets and liabilities. The capital asset and financing liability of $18.7 million recorded in 2018 related to the Morges office building and construction, was derecognized upon adoption. The adoption of the standard did not materially impact our consolidated net income and had no impact on our consolidated cash flows.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FASB also released clarifying guidance in April 2019 within ASU No. 2019-04, “Codification Improvements to Topic 326, Financial Instruments – Credit Losses,” in May 2019 within ASU No. 2019-05, “Financial Instruments – Credit Losses (Topic 326): Targeted Transition Relief,” and in November 2019 within ASUs No. 2019-10, “Financial Instruments – Credit Losses (Topic 326), Derivatives and Hedging (Topic 815), and Leases (Topic 842),” and No. 2019-11, “Codification Improvements to Topic 326, Financial Instruments – Credit Losses.” The updates provide guidance on estimating credit losses, including transition relief by allowing for election of the fair value methodology on an instrument-by-instrument basis for eligible financial instruments within the scope of ASC 825-10, and valuation of receivables from customers with troubled debt. This guidance is effective for fiscal years beginning after December 15, 2019 and interim periods therein. Elections under ASU No. 2019-05 require a modified retrospective application through a cumulative-effect adjustment in the opening balance of retained earnings upon adoption. We are currently analyzing the impact of the credit losses standard and do not anticipate the adoption of this ASU on January 1, 2020 to have a material impact on our consolidated financial statements.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consolidated financial statements.</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which eliminates the required</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and interim periods therein. Early adoption is permitted for any annual periods for which financial statements have not been issued and interim periods therein. We are currently analyzing the impact of ASU No. 2018-13 and do not anticipate the adoption of this ASU on January 1, 2020 to have a material impact on our consolidated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2018, the FASB issued ASU No. 2018-14, “Compensation – Retirement Benefits – Defined Benefit Plans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our consolidated financial statements.</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and do not anticipate the adoption of this ASU to have a material impact on our consolidated financial statements.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 footnote and are currently analyzing the impact of ASU No. 2018-18 on our consolidated financial statements.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and do not anticipate the adoption of this ASU to have a material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Revenues for the year ended December 31, 2017 were recognized under ASC 605 when (i) persuasive evidence of an arrangement existed, (ii) delivery occurred or services were rendered, (iii) the price was fixed or determinable and</w:t>
      </w:r>
    </w:p>
    <w:p>
      <w:pPr>
        <w:jc w:val="both"/>
        <w:ind w:firstLine="2"/>
        <w:spacing w:after="0" w:line="271" w:lineRule="auto"/>
        <w:tabs>
          <w:tab w:leader="none" w:pos="34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collectability was reasonably assured. Revenues were deferred for fees received before earned or until no further obligations existed. We exercised judgment in determining that collectability was reasonably assured or that services were delivered in accordance with the arrangement. We assessed whether the fee was fixed or determinable based on the payment terms associated with the transaction and whether the sales price was subject to refund or adjustment. Revenues for the years ended December 31, 2019 and 2018 were recognized under ASC 606 as discussed in Note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disaggregated revenue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4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1,386,964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1,133,392</w:t>
            </w:r>
          </w:p>
        </w:tc>
        <w:tc>
          <w:tcPr>
            <w:tcW w:w="200" w:type="dxa"/>
            <w:vAlign w:val="bottom"/>
            <w:shd w:val="clear" w:color="auto" w:fill="CCEEFF"/>
          </w:tcPr>
          <w:p>
            <w:pPr>
              <w:spacing w:after="0"/>
              <w:rPr>
                <w:sz w:val="18"/>
                <w:szCs w:val="18"/>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79,936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66,920</w:t>
            </w:r>
          </w:p>
        </w:tc>
        <w:tc>
          <w:tcPr>
            <w:tcW w:w="200" w:type="dxa"/>
            <w:vAlign w:val="bottom"/>
            <w:tcBorders>
              <w:bottom w:val="single" w:sz="8" w:color="CCEEFF"/>
            </w:tcBorders>
          </w:tcPr>
          <w:p>
            <w:pPr>
              <w:spacing w:after="0"/>
              <w:rPr>
                <w:sz w:val="19"/>
                <w:szCs w:val="19"/>
                <w:color w:val="auto"/>
              </w:rPr>
            </w:pPr>
          </w:p>
        </w:tc>
      </w:tr>
      <w:tr>
        <w:trPr>
          <w:trHeight w:val="22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product revenues,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1,774,922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1,466,900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1,200,312</w:t>
            </w:r>
          </w:p>
        </w:tc>
        <w:tc>
          <w:tcPr>
            <w:tcW w:w="200" w:type="dxa"/>
            <w:vAlign w:val="bottom"/>
            <w:shd w:val="clear" w:color="auto" w:fill="CCEEFF"/>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225,913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194,694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151,684</w:t>
            </w:r>
          </w:p>
        </w:tc>
        <w:tc>
          <w:tcPr>
            <w:tcW w:w="200" w:type="dxa"/>
            <w:vAlign w:val="bottom"/>
          </w:tcPr>
          <w:p>
            <w:pPr>
              <w:spacing w:after="0"/>
              <w:rPr>
                <w:sz w:val="19"/>
                <w:szCs w:val="19"/>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00" w:type="dxa"/>
            <w:vAlign w:val="bottom"/>
            <w:shd w:val="clear" w:color="auto" w:fill="CCEEFF"/>
          </w:tcPr>
          <w:p>
            <w:pPr>
              <w:spacing w:after="0"/>
              <w:rPr>
                <w:sz w:val="19"/>
                <w:szCs w:val="19"/>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product royalty revenues</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160,791</w:t>
            </w:r>
          </w:p>
        </w:tc>
        <w:tc>
          <w:tcPr>
            <w:tcW w:w="20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CEEFF"/>
          </w:tcPr>
          <w:p>
            <w:pPr>
              <w:spacing w:after="0"/>
              <w:rPr>
                <w:sz w:val="19"/>
                <w:szCs w:val="19"/>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tcPr>
          <w:p>
            <w:pPr>
              <w:spacing w:after="0"/>
              <w:rPr>
                <w:sz w:val="19"/>
                <w:szCs w:val="19"/>
                <w:color w:val="auto"/>
              </w:rPr>
            </w:pPr>
          </w:p>
        </w:tc>
      </w:tr>
      <w:tr>
        <w:trPr>
          <w:trHeight w:val="21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2,158,759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1,881,883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1,536,216</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our license agreements footnote.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$284,795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$284,870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December 31, 2018</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(corporate and government)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$274,343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securities generally have contractual maturity dates of between 12 to 18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2—Valuations based on observable inputs and quoted prices in active markets for similar assets and liabilities.</w:t>
      </w:r>
    </w:p>
    <w:p>
      <w:pPr>
        <w:spacing w:after="0" w:line="2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marketable securities consist of investments in corporate debt securities and U.S. government securities that are classified as available-for-sale.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2019 and 2018, our Level 2 corporate debt securities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policy is to recognize transfers out of or into fair value hierarchy levels as of the end of the reporting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out of or into hierarchy levels during the years ended December 31, 2019 and 2018.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6)</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1,966,341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284,870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274,343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6)</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1,263,179</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274,343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1,537,522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40" w:type="dxa"/>
            <w:vAlign w:val="bottom"/>
            <w:gridSpan w:val="18"/>
          </w:tcPr>
          <w:p>
            <w:pPr>
              <w:ind w:left="2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tcBorders>
              <w:top w:val="single" w:sz="8" w:color="auto"/>
            </w:tcBorders>
            <w:gridSpan w:val="5"/>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6"/>
          </w:tcPr>
          <w:p>
            <w:pPr>
              <w:jc w:val="center"/>
              <w:ind w:right="100"/>
              <w:spacing w:after="0" w:line="119" w:lineRule="exact"/>
              <w:rPr>
                <w:sz w:val="20"/>
                <w:szCs w:val="20"/>
                <w:color w:val="auto"/>
              </w:rPr>
            </w:pPr>
            <w:r>
              <w:rPr>
                <w:rFonts w:ascii="Arial" w:cs="Arial" w:eastAsia="Arial" w:hAnsi="Arial"/>
                <w:sz w:val="13"/>
                <w:szCs w:val="13"/>
                <w:b w:val="1"/>
                <w:bCs w:val="1"/>
                <w:color w:val="auto"/>
              </w:rPr>
              <w:t>Significant Other</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 w:type="dxa"/>
            <w:vAlign w:val="bottom"/>
          </w:tcPr>
          <w:p>
            <w:pPr>
              <w:spacing w:after="0"/>
              <w:rPr>
                <w:sz w:val="12"/>
                <w:szCs w:val="12"/>
                <w:color w:val="auto"/>
              </w:rPr>
            </w:pPr>
          </w:p>
        </w:tc>
        <w:tc>
          <w:tcPr>
            <w:tcW w:w="11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3"/>
              </w:rPr>
              <w:t>Balance as of</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Identical Liabilities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Acquisition-related contingent consideration</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0" w:type="dxa"/>
            <w:vAlign w:val="bottom"/>
          </w:tcPr>
          <w:p>
            <w:pPr>
              <w:spacing w:after="0"/>
              <w:rPr>
                <w:sz w:val="1"/>
                <w:szCs w:val="1"/>
                <w:color w:val="auto"/>
              </w:rPr>
            </w:pPr>
          </w:p>
        </w:tc>
      </w:tr>
      <w:tr>
        <w:trPr>
          <w:trHeight w:val="210"/>
        </w:trPr>
        <w:tc>
          <w:tcPr>
            <w:tcW w:w="32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80" w:type="dxa"/>
            <w:vAlign w:val="bottom"/>
            <w:gridSpan w:val="8"/>
          </w:tcPr>
          <w:p>
            <w:pPr>
              <w:jc w:val="center"/>
              <w:ind w:right="87"/>
              <w:spacing w:after="0" w:line="119" w:lineRule="exact"/>
              <w:rPr>
                <w:sz w:val="20"/>
                <w:szCs w:val="20"/>
                <w:color w:val="auto"/>
              </w:rPr>
            </w:pPr>
            <w:r>
              <w:rPr>
                <w:rFonts w:ascii="Arial" w:cs="Arial" w:eastAsia="Arial" w:hAnsi="Arial"/>
                <w:sz w:val="13"/>
                <w:szCs w:val="13"/>
                <w:b w:val="1"/>
                <w:bCs w:val="1"/>
                <w:color w:val="auto"/>
              </w:rPr>
              <w:t>Significant Other</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Balance as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8"/>
              </w:rPr>
              <w:t>Identical Liabilities</w:t>
            </w:r>
          </w:p>
        </w:tc>
        <w:tc>
          <w:tcPr>
            <w:tcW w:w="80" w:type="dxa"/>
            <w:vAlign w:val="bottom"/>
          </w:tcPr>
          <w:p>
            <w:pPr>
              <w:spacing w:after="0"/>
              <w:rPr>
                <w:sz w:val="12"/>
                <w:szCs w:val="12"/>
                <w:color w:val="auto"/>
              </w:rPr>
            </w:pPr>
          </w:p>
        </w:tc>
        <w:tc>
          <w:tcPr>
            <w:tcW w:w="820" w:type="dxa"/>
            <w:vAlign w:val="bottom"/>
            <w:gridSpan w:val="2"/>
          </w:tcPr>
          <w:p>
            <w:pPr>
              <w:jc w:val="center"/>
              <w:ind w:left="179"/>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82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7"/>
          </w:tcPr>
          <w:p>
            <w:pPr>
              <w:spacing w:after="0"/>
              <w:rPr>
                <w:sz w:val="20"/>
                <w:szCs w:val="20"/>
                <w:color w:val="auto"/>
              </w:rPr>
            </w:pPr>
            <w:r>
              <w:rPr>
                <w:rFonts w:ascii="Arial" w:cs="Arial" w:eastAsia="Arial" w:hAnsi="Arial"/>
                <w:sz w:val="14"/>
                <w:szCs w:val="14"/>
                <w:b w:val="1"/>
                <w:bCs w:val="1"/>
                <w:color w:val="auto"/>
                <w:w w:val="93"/>
              </w:rPr>
              <w:t>December 31, 2018</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Acquisition-related contingent</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287,001</w:t>
            </w:r>
          </w:p>
        </w:tc>
        <w:tc>
          <w:tcPr>
            <w:tcW w:w="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5"/>
              </w:rPr>
              <w:t>287,001</w:t>
            </w:r>
          </w:p>
        </w:tc>
        <w:tc>
          <w:tcPr>
            <w:tcW w:w="180" w:type="dxa"/>
            <w:vAlign w:val="bottom"/>
            <w:gridSpan w:val="3"/>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287,001</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 forward of our Level 3 liabilities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w:t>
            </w:r>
          </w:p>
        </w:tc>
        <w:tc>
          <w:tcPr>
            <w:tcW w:w="120" w:type="dxa"/>
            <w:vAlign w:val="bottom"/>
            <w:tcBorders>
              <w:bottom w:val="single" w:sz="8" w:color="CCEEFF"/>
            </w:tcBorders>
          </w:tcPr>
          <w:p>
            <w:pPr>
              <w:spacing w:after="0"/>
              <w:rPr>
                <w:sz w:val="18"/>
                <w:szCs w:val="18"/>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change in fair value of the contingent consideration during the period ending December 31, 2019 and 2018 was due primarily to the passage of time as there were no other significant changes in the key assumptions.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make payments to Takeda quarterly based on the royalties or any additional milestone payments earned in the previous quarter. As of December 31, 2019, contingent consideration earned but not yet paid was $23.0 million and were included in accrued and other current liabilities. As of December 31, 2018, contingent consideration earned but not yet paid was $13.2 million. The royalties earned in the third quarter of $6.7 million were included in accounts payable and the royalties earned in the fourth quarter of $6.5 million were included in accrued and other current liabilities at December 31,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2019 and 2018, there were no measurements required for any assets or liabilities at fair value on a non-recurring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Concentrations of Credit Risk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December 2009, we entered into a license, development and commercialization agreement with Lilly. In November 2009, we entered into a collaboration and license agreement with Novartis. In December 2018, we entered into a research collaboration and licensing agreement with Innovent Biologics, Inc. (“Innovent”). In July 2019, we entered into a collaboration and license agreement with Zai Lab (Shanghai) Co., Ltd., a subsidiary of Zai Lab Limited (collectively, “Zai Lab”). The concentration of credit risk related to our collaborative partners is as follows:</w:t>
      </w:r>
    </w:p>
    <w:p>
      <w:pPr>
        <w:spacing w:after="0" w:line="70"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Percentage of Total Milestone and</w:t>
      </w:r>
    </w:p>
    <w:p>
      <w:pPr>
        <w:jc w:val="center"/>
        <w:ind w:left="5940"/>
        <w:spacing w:after="0" w:line="226" w:lineRule="auto"/>
        <w:rPr>
          <w:sz w:val="20"/>
          <w:szCs w:val="20"/>
          <w:color w:val="auto"/>
        </w:rPr>
      </w:pPr>
      <w:r>
        <w:rPr>
          <w:rFonts w:ascii="Arial" w:cs="Arial" w:eastAsia="Arial" w:hAnsi="Arial"/>
          <w:sz w:val="14"/>
          <w:szCs w:val="14"/>
          <w:b w:val="1"/>
          <w:bCs w:val="1"/>
          <w:color w:val="auto"/>
        </w:rPr>
        <w:t>Contract Revenues for the</w:t>
      </w:r>
    </w:p>
    <w:p>
      <w:pPr>
        <w:jc w:val="center"/>
        <w:ind w:left="5940"/>
        <w:spacing w:after="0" w:line="222" w:lineRule="auto"/>
        <w:rPr>
          <w:sz w:val="20"/>
          <w:szCs w:val="20"/>
          <w:color w:val="auto"/>
        </w:rPr>
      </w:pPr>
      <w:r>
        <w:rPr>
          <w:rFonts w:ascii="Arial" w:cs="Arial" w:eastAsia="Arial" w:hAnsi="Arial"/>
          <w:sz w:val="14"/>
          <w:szCs w:val="14"/>
          <w:b w:val="1"/>
          <w:bCs w:val="1"/>
          <w:color w:val="auto"/>
        </w:rPr>
        <w:t>Years Ended,</w:t>
      </w:r>
    </w:p>
    <w:p>
      <w:pPr>
        <w:jc w:val="center"/>
        <w:ind w:left="59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Partner 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Collaboration Partner B</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67 %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Partner C</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77 %</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Collaboration Partner D</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Collaboration Partners A, B, C and D comprised, in the aggregate, 30% and 42% of the accounts receivable balance as of December 31, 2019 and 2018,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pacing w:after="0" w:line="78"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Percentage of Total Net</w:t>
      </w:r>
    </w:p>
    <w:p>
      <w:pPr>
        <w:jc w:val="center"/>
        <w:ind w:left="6020"/>
        <w:spacing w:after="0" w:line="226" w:lineRule="auto"/>
        <w:rPr>
          <w:sz w:val="20"/>
          <w:szCs w:val="20"/>
          <w:color w:val="auto"/>
        </w:rPr>
      </w:pPr>
      <w:r>
        <w:rPr>
          <w:rFonts w:ascii="Arial" w:cs="Arial" w:eastAsia="Arial" w:hAnsi="Arial"/>
          <w:sz w:val="14"/>
          <w:szCs w:val="14"/>
          <w:b w:val="1"/>
          <w:bCs w:val="1"/>
          <w:color w:val="auto"/>
        </w:rPr>
        <w:t>Product Revenues for the</w:t>
      </w:r>
    </w:p>
    <w:p>
      <w:pPr>
        <w:jc w:val="center"/>
        <w:ind w:left="6020"/>
        <w:spacing w:after="0" w:line="222" w:lineRule="auto"/>
        <w:rPr>
          <w:sz w:val="20"/>
          <w:szCs w:val="20"/>
          <w:color w:val="auto"/>
        </w:rPr>
      </w:pPr>
      <w:r>
        <w:rPr>
          <w:rFonts w:ascii="Arial" w:cs="Arial" w:eastAsia="Arial" w:hAnsi="Arial"/>
          <w:sz w:val="14"/>
          <w:szCs w:val="14"/>
          <w:b w:val="1"/>
          <w:bCs w:val="1"/>
          <w:color w:val="auto"/>
        </w:rPr>
        <w:t>Years Ended,</w:t>
      </w:r>
    </w:p>
    <w:p>
      <w:pPr>
        <w:jc w:val="center"/>
        <w:ind w:left="602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Customer B</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Customer D</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8 %</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and D comprised, in the aggregate, 39% and 30% of the accounts receivable balance as of December 31, 2019 and 2018,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concentration of credit risk relating to ICLUSIG product revenues or accounts receivable is not significant.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3,488</w:t>
            </w:r>
          </w:p>
        </w:tc>
        <w:tc>
          <w:tcPr>
            <w:tcW w:w="4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40" w:type="dxa"/>
            <w:vAlign w:val="bottom"/>
            <w:shd w:val="clear" w:color="auto" w:fill="CCEEFF"/>
          </w:tcPr>
          <w:p>
            <w:pPr>
              <w:spacing w:after="0"/>
              <w:rPr>
                <w:sz w:val="18"/>
                <w:szCs w:val="18"/>
                <w:color w:val="auto"/>
              </w:rPr>
            </w:pPr>
          </w:p>
        </w:tc>
      </w:tr>
      <w:tr>
        <w:trPr>
          <w:trHeight w:val="210"/>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16,505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10,405</w:t>
            </w:r>
          </w:p>
        </w:tc>
        <w:tc>
          <w:tcPr>
            <w:tcW w:w="4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40" w:type="dxa"/>
            <w:vAlign w:val="bottom"/>
            <w:shd w:val="clear" w:color="auto" w:fill="CCEEFF"/>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Inventories-noncurrent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4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Inventories, stated at the lower of cost and net realizable value, consist of raw materials, work-in-process and finished goods. At December 31, 2019, $11.4 million of inventory was classified as current on the consolidated balance sheets as we expect this inventory to be consumed for commercial use within the next twelve months. At December 31, 2019, $5.1 million of inventory was classified as non-current on the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JAKAFI and ICLUSIG raw materials and work-in-process inventory are not subject to expiration and the shelf life for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Exclusive of the upfront payment of $150.0 million received in 2009 and the immediate milestone of $60.0 million earned in 2010, we have recognized and received in the aggregate $132.0 million for the achievement of development milestones, $215.0 million for the achievement of regulatory milestones and $120.0 million for the achievement of sales milestones through December 31, 2019. In 2018, we recognized a $60.0 million sales milestone for Novartis achieving annual net sales of a JAK licensed product of $900.0 million. In 2017, we recognized a $40.0 million sales milestone for Novartis achieving annual net sales of a JAK licensed product of $600.0 million and a $25.0 million development milestone based on the formal initiation by Novartis of a Phase III clinical trial evaluating ruxolitinib in GVHD.</w:t>
      </w:r>
    </w:p>
    <w:p>
      <w:pPr>
        <w:spacing w:after="0" w:line="1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years ended December 31, 2019, 2018 and 2017, such royalties payable to Novartis on net sales within the United States totaled $77.6 million, $63.0 million and $50.5 million, respectively, and are reflected in cost of product revenues on the consolidated statements of operations. At December 31, 2019 and 2018, $50.2 million and $18.6 million, respectively, of accrued royalties payable to Novartis were included in accrued and other current liabilities on the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Reimbursable costs incurred after the effective date of the agreement with Novartis are recorded net against the related research and development expenses. At December 31, 2019 and 2018, $0.4 million and $0.7 million, respectively, of reimbursable costs were included in accounts receivable on the consolidated balance sheets. Research and development expenses for the years ended December 31, 2019, 2018 and 2017 were net of $1.5 million, $3.2 million, and $3.0 million, respectively, of costs reimbursed by Novartis.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Milestone and contract revenue under the Novartis agreement was $0.0 million, $60.0 million and $65.0 million for the years ended December 31, 2019, 2018 and 2017, respectively. In addition, for the years ended December 31, 2019, 2018 and 2017, we recorded $225.9 million, $194.7 million and $151.7 million, respectively, of product royalty revenues related to Novartis net sales of JAKAVI outside the United States. At December 31, 2019 and 2018, $65.0 million and $55.4 million, respectively, of product royalties were included in accounts receivable on the consolidated balance sheets.</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December 31, 2019.</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2018,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recorded no research and development expense under the Lilly agreement for co-funding the development of</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baricitinib for the year ended December 31, 2019. Research and development expenses recorded under the Lilly agreement representing 30% of the global development costs for baricitinib for the treatment of rheumatoid arthritis, psoriatic arthritis, atopic dermatitis, alopecia areata, systemic lupus erythematosus and axial spondyloarthritis for the years ended December 31, 2018 and 2017 were $68.6 million and $40.8 million, respectively. At December 31, 2018, a total of $23.1 million of such costs were included in accrued and other liabilities on the consolidated balance sheets.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Milestone and contract revenue under the Lilly agreement was $0.0 million, $120.0 million and $110.0 million, respectively, for the years ended December 31, 2019, 2018 and 2017. In addition, for the years ended December 31, 2019, 2018 and 2017, we recorded $80.4 million, $40.1 million and $9.1 million, respectively, of product royalty revenues related to Lilly net sales of OLUMIANT outside the United States. At December 31, 2019 and 2018, $23.6 million and $14.0 million, respectively, of product royalties were included in accounts receivable on the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Amended Agreement, we paid Agenus $20.0 million in accelerated milestones relating to the clinical development of the GITR and OX40 programs, which was recorded in research and development expense on the consolidated statement of operations during the year ended December 31, 2017.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June 2018, we recorded a $5.0 million development milestone due to Agenus for the LAG-3 program and in September 2018 we recorded a $5.0 million development milestone due to Agenus for the TIM-3 program, which were recorded in research and development expense on the consolidated statement of operations for the year ended December 31, 2018.</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on the consolidated balance sheets and $20.5 million was allocated to research and development expense on the consolidated statement of operations during the year ended December 31, 2017.</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13% of the outstanding shares of Agenus Inc. common stock as of December 31, 2019.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2019, 2018 and 2017, we recorded an unrealized gain of $30.0 million, an unrealized loss of $15.6 million and an unrealized loss of $13.6 million, respectively, based on the change in fair value of Agenus Inc.’s common stock during these periods. The fair market value of our long term investment in Agenus Inc. as of December 31, 2019 and 2018 was $72.3 million and $42.3 million, respectively.</w:t>
      </w:r>
    </w:p>
    <w:p>
      <w:pPr>
        <w:spacing w:after="0" w:line="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 and nine months ended September 30, 2019, Agenus Inc. reported total revenues of $19.9 million and $115.5 million, respectively, and net losses of $46.3 million and $80.7 million, respectively, within their consolidated financial statements. For the three and nine months ended September 30, 2018, Agenus Inc. reported total revenues of $12.8 million and $30.3 million, respectively, and net losses of $33.7 million and $113.2 million, respectively, within their consolidated financial statements. As of September 30, 2019, Agenus Inc. reported current assets of $107.2 million, noncurrent assets of $67.6 million, current liabilities of $132.9 million and noncurrent liabilities of $219.8 million. As of December 31, 2018, Agenus Inc. reported current assets of $74.8 million, noncurrent assets of $61.6 million, current liabilities of $68.1 million and noncurrent liabilities of $203.0 million.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2019, 2018 and 2017, also included $1.5 million, $4.6 million and $19.5 million, respectively, of development costs incurred pursuant to the Agenus arrangement. At December 31, 2019 and 2018, a total of $1.6 million and $2.3 million, respectively, of such costs were included in accrued and other liabilities on the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December 2016, we entered into a Collaboration and License Agreement with Merus N.V. (“Merus”). Under this agreement, which became effective in January 2017, the parties have agreed to collaborate with respect to the research,</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discovery and development of bispecific antibodies utilizing Merus’ technology platform. The collaboration encompasses up to eleven independent programs.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on the consolidated balance sheets and $7.2 million was allocated to research and development expense on the consolidated statement of operations during the year ended December 31, 2017. The fair market value of our total long term investment in Merus as of December 31, 2019 and 2018 was $45.1 million and $44.8 million, respectively.</w:t>
      </w:r>
    </w:p>
    <w:p>
      <w:pPr>
        <w:sectPr>
          <w:pgSz w:w="11900" w:h="16838" w:orient="portrait"/>
          <w:cols w:equalWidth="0" w:num="1">
            <w:col w:w="9060"/>
          </w:cols>
          <w:pgMar w:left="1420" w:top="517"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concluded Merus is not a VIE because it has sufficient equity to finance its activities without additional subordinated financial support and its at-risk equity holders have the characteristics of a controlling financial interest. As of December 31, 2019, we owned approximately 11%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2019, 2018 and 2017, we recorded an unrealized gain of $0.3 million, an unrealized loss of $17.3 million, and an unrealized loss of $10.7 million, respectively, based on the change in fair value of Merus’ common shares during these periods.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and nine months ended September 30, 2019, Merus reported within its Form 6-K total revenues of approximately €8.1 million and €21.4 million, respectively, and net loss of approximately €8.3 million and €26.4 million, respectively, within its condensed consolidated financial statements. For the three and nine months ended September 30, 2018, Merus reported within its Form 6-K total revenues of approximately €6.5 million and €23.0 million, respectively, and net loss of approximately €10.7 million and €23.7 million, respectively, within its condensed consolidated financial statements. As of September 30, 2019, Merus reported within its Form 6-K current assets of €166.7 million, noncurrent assets of €23.1 million, current liabilities of €29.7 million and noncurrent liabilities of €89.8 million. As of December 31, 2018, Merus reported within its Form 6-K current assets of €195.6 million, noncurrent assets of €22.9 million, current liabilities of €29.0 million and noncurrent liabilities of €97.7 million.</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2019, 2018 and 2017 included $7.2 million, $10.3 million and $6.5 million, respectively, of additional development costs incurred pursuant to the Merus agreement. At December 31, 2019 and 2018, a total of $1.6 million and $2.9 million, respectively, of such costs were included in accrued and other liabilities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 on our consolidated statement of operations.</w:t>
      </w:r>
    </w:p>
    <w:p>
      <w:pPr>
        <w:spacing w:after="0" w:line="188"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uncured material breach and by either party for bankruptcy or patent challenge. If the agreement is terminated early with respect to one or more products or countries, all rights in the terminated products and countries revert to Calithera.</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on the consolidated balance sheets and $41.4 million was allocated to research and development expense on the consolidated statement of operations during the year ended December 31, 2017. The fair market value of our long term investment in Calithera as of December 31, 2019 and 2018 was $9.8 million and $6.9 million, respectively.</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concluded Calithera is not a VIE because it has sufficient equity to finance its activities without additional subordinated financial support and its at-risk equity holders have the characteristics of a controlling financial interest. As of December 31, 2019, we owned approximately 3%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thereby have classified the investment within long term investments on the accompanying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year ended December 31, 2019, 2018 and 2017, we recorded an unrealized gain of $2.9 million, an unrealized loss of $7.5 million, and an unrealized gain of $2.8 million, respectively, based on the change in fair value of Calithera’s common stock during these periods.</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2019, 2018 and 2017 also included $17.9 million, $12.0 million and $23.4 million, respectively, of additional development costs incurred pursuant to the Calithera agreement. At December 31, 2019 and 2018, a total of $1.1 million and $2.6 million, respectively, of such costs were included in accrued and other liabilities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the consolidated statement of operations. MacroGenics was initially eligible to receive up to $420.0 million in future contingent development and regulatory milestones and up to $330.0 million in commercial milestones as well as tiered royalties ranging from 15% to 24% of global net sales. In September 2018, we recorded $10.0 million and in November 2018 we recorded $5.0 million in aggregate milestones due to MacroGenics for the achievement of certain clinical milestones as part of our collaboration and license agreement, which were recorded in research and development expense on our consolidated statement of operations for the year ended December 31,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MacroGenics agreement will continue until we are no longer commercializing, developing or manufacturing</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2019, 2018 and 2017, also included $51.1 million, $35.4 million and $1.1 million, respectively, of additional development costs incurred pursuant to the MacroGenics agreement. At December 31, 2019 and 2018, a total of $1.0 million and $3.2 million, respectively, of such costs were included in accrued and other liabilities on the consolidated balance sheets.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 during the year ended December 31, 2018.</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on the consolidated balance sheet and $2.4 million, representing premium paid on the purchase, was allocated to research and development expense on the consolidated statement of operations for the year ended December 31, 2018.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consolidated balance sheets. All acquired shares were subsequently registered under the Securities Act of 1933 in February 2018. The fair market value of our long term investment in Syros as of December 31, 2019 and 2018 was $6.5 million and $5.2 million, respectively.</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concluded Syros is not a VIE because it has sufficient equity to finance its activities without additional subordinated financial support and its at-risk equity holders have the characteristics of a controlling financial interest. As of December 31, 2019,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consolidated balance sheet. For the years ended December 31, 2019 and 2018, we recorded an unrealized gain of $1.3 million and an unrealized loss of $3.7 million, respectively, based on the change in fair value of Syros’ common stock during these periods.</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which was recorded in milestone and contract revenues on the consolidated statement of operations for the year ended December 31, 2019.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 which was recorded in milestone and contract revenues on the consolidated statement of operations for the year ended December 31, 2019.</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expenses for the year ended December 31, 2019 were net of $6.2 million of costs reimbursed by Innovent. At December 31, 2019, $3.0 million of reimbursable costs were included in accounts receivable on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 upon our transfer of technology related to the licensed product candidate to Zai Lab, which was recorded in milestone and contract revenues on the consolidated statement of operations for the year ended December 31, 2019. We are eligible to receive up to an additional $60.0 million in potential development, regulatory and commercial milestones, as well as tiered royalties from the low to mid-twenties. We also retain an option to assist in the promotion of INCMGA0012 in Zai Lab’s licensed territories.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7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61,697</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213,196</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shd w:val="clear" w:color="auto" w:fill="CCEEFF"/>
          </w:tcPr>
          <w:p>
            <w:pPr>
              <w:spacing w:after="0"/>
              <w:rPr>
                <w:sz w:val="18"/>
                <w:szCs w:val="18"/>
                <w:color w:val="auto"/>
              </w:rPr>
            </w:pPr>
          </w:p>
        </w:tc>
      </w:tr>
      <w:tr>
        <w:trPr>
          <w:trHeight w:val="210"/>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499,437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422,982</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(121,870)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(103,231)</w:t>
            </w: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319,751</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including amortization expense of leasehold improvements, was $32.1 million, $32.3 million and $24.6 million for the years ended December 31, 2019, 2018 and 2017, respectively.</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will serve as our new European headquarters and will consist of approximately 100,000 square feet of office space. This building will allow for</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consolidation of our European operations that are currently located in Geneva and Lausanne, Switzerland. Building permits were granted by the local government authorities in September 2018 and construction activity began immediately thereafter. In June 2019, we obtained control of the Morges building to begin our construction activity. At that time, we determined the lease to be a finance lease and recorded a lease liability of $31.1 million and a lease right-of-use asset of $29.1 million, net of a lease incentive from our landlord of $2.0 million. As of December 31, 2019, we have capitalized approximately $13.8 million in on site preparation, design and construction costs.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December 31, 2019, we have capitalized approximately $82.8 million in costs for construction, ground preparation and architectural and engineering studies. We currently anticipate the facility will be completed in the second half of 2020.</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stated in Note 1, in January 2019, we adopted ASC 842, Leases, which changed the accounting and reporting of our lease activity. 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As of December 31, 2019 our lease liabilities are as follows (in thousands):</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 liabilities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Noncurrent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 liabilities</w:t>
            </w:r>
          </w:p>
        </w:tc>
        <w:tc>
          <w:tcPr>
            <w:tcW w:w="7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7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cash paid for amounts included in the measurement of our operating lease liabilities for the year ended December 31, 2019 was $11.9 million in operating cash flows. The cash paid for amounts included in the measurement of our finance lease liabilities for the year ended December 31, 2019 was $0.8 million in financing 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our lease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32,522</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lease cash payments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2019, our finance and operating leases had a weighted average lease term of approximately 15.8 and 3.0 years, respectively. The discount rate of our leases is an approximation of an estimated incremental borrowing rate and is dependent upon the term and economics of each agreement. The weighted average discount rate of our finance and operating leases is approximately 3.6% and 4.5%, respectively.</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2019, we incurred approximately $12.8 million of expense related to our operating leases, approximately $1.7 million of amortization on our finance lease right-of-use assets and approximately $0.6 million of interest expense on our finance lease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the cost of our short term leases with a term less than 12 months was approximately $1.1 million. We estimate rent expense for our short term leases for the next twelve months to be approximately $1.0 million. Rent expense for all leases for the years ended December 31, 2019, 2018 and 2017, was approximately $14.2 million, $9.4 million and $8.2 million, respectively.</w:t>
      </w:r>
    </w:p>
    <w:p>
      <w:pPr>
        <w:spacing w:after="0" w:line="183" w:lineRule="exact"/>
        <w:rPr>
          <w:sz w:val="20"/>
          <w:szCs w:val="20"/>
          <w:color w:val="auto"/>
        </w:rPr>
      </w:pPr>
    </w:p>
    <w:p>
      <w:pPr>
        <w:jc w:val="center"/>
        <w:ind w:right="6080"/>
        <w:spacing w:after="0"/>
        <w:rPr>
          <w:sz w:val="20"/>
          <w:szCs w:val="20"/>
          <w:color w:val="auto"/>
        </w:rPr>
      </w:pPr>
      <w:r>
        <w:rPr>
          <w:rFonts w:ascii="Arial" w:cs="Arial" w:eastAsia="Arial" w:hAnsi="Arial"/>
          <w:sz w:val="16"/>
          <w:szCs w:val="16"/>
          <w:b w:val="1"/>
          <w:bCs w:val="1"/>
          <w:color w:val="auto"/>
        </w:rPr>
        <w:t>Note 8. Intangible Assets and Goodwill</w:t>
      </w:r>
    </w:p>
    <w:p>
      <w:pPr>
        <w:spacing w:after="0" w:line="212" w:lineRule="exact"/>
        <w:rPr>
          <w:sz w:val="20"/>
          <w:szCs w:val="20"/>
          <w:color w:val="auto"/>
        </w:rPr>
      </w:pPr>
    </w:p>
    <w:p>
      <w:pPr>
        <w:jc w:val="center"/>
        <w:ind w:right="61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intangible assets were as follows (in thousands, except for useful life):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Balance at December 31, 2019</w:t>
            </w:r>
          </w:p>
        </w:tc>
        <w:tc>
          <w:tcPr>
            <w:tcW w:w="1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Balance at December 31, 2018</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6"/>
              </w:rPr>
              <w:t>Finite-lived intangible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  77,172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$ 193,828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   55,636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$ 215,364</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was $21.5 million for the years ended December 31, 2019, 2018 and 2017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Thereafter</w:t>
            </w: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86,148</w:t>
            </w: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year ended December 31, 2017, we considered our previously acquired indefinite-lived in-process research and development asset to be impaired and recorded a $12.0 million impairment charge in research and development expense on the consolidated statements of operations. The impairment was due to the discontinuation of the ICLUSIG clinical study, OPTIC-2L, by ARIAD. OPTIC-2L was included in the initial fair value assumptions upon acquisition on June 1, 2016.</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changes to the carrying amount of goodwill for the years ended December 31, 2019 and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Clinical related costs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88,710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98,607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12,732</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liability</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9,343</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7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42,020</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34,568</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174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285,950</w:t>
            </w:r>
          </w:p>
        </w:tc>
        <w:tc>
          <w:tcPr>
            <w:tcW w:w="32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229,401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40" w:type="dxa"/>
            <w:vAlign w:val="bottom"/>
            <w:vMerge w:val="restart"/>
          </w:tcPr>
          <w:p>
            <w:pPr>
              <w:jc w:val="right"/>
              <w:ind w:right="670"/>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Convertible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convertible notes were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2"/>
              </w:rPr>
              <w:t>Interest Rates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4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Debt</w:t>
            </w:r>
          </w:p>
        </w:tc>
        <w:tc>
          <w:tcPr>
            <w:tcW w:w="1400" w:type="dxa"/>
            <w:vAlign w:val="bottom"/>
            <w:gridSpan w:val="2"/>
          </w:tcPr>
          <w:p>
            <w:pPr>
              <w:jc w:val="center"/>
              <w:ind w:right="15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Maturities</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$18,300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and fair value of our convertible notes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18,300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17,434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14, 2013, we issued, in a private placement, $375.0 million aggregate principal amount of 0.375% Convertible Senior Notes (the “2018 Notes”) and $375.0 million aggregate principal amount of 1.25% Convertible Senior Notes (the “2020 Notes”). The 2018 Notes bore interest at a rate of 0.375% per annum and the 2020 Notes bear interest at a rate of 1.25% per annum, in each case payable semi-annually in arrears in cash on May 15 and November 15, beginning on May 15, 2014. The 2018 Notes matured on November 15, 2018 and the 2020 Notes will mature on November 15, 2020, unless earlier purchased or converted. We may not redeem the 2020 Notes prior to their relevant scheduled maturity dates.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the 2020 Notes is based on data from readily available pricing sources which utilize market observable inputs and other characteristics for similar types of instruments, and, therefore, is classified within Level 2 in the fair value hierarchy.</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Prior to May 14, 2014, the 2020 Notes were not convertible except in connection with a make-whole fundamental change, as defined in the indenture.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 (ii) 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 Management’s intent is to settle any conversions of the 2020 Notes in shares of our common stock. On January 1, 2020, the 2020 Notes became convertible through at least March 31, 2020, based on meeting the conversion criteria related to the sale price of our common stock during the calendar quarter ended December 31, 2019 as described in (i) above.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initial conversion rate for the 2020 Notes is 19.3207 shares of common stock per $1,000 principal amount, equivalent to an initial conversion price of approximately $51.76 per share. The conversion rate for the 2020 Notes will be subject to adjustment for certain events but will not be adjusted for any accrued and unpaid interest. Upon the occurrence of certain fundamental changes, the holders of the 2020 Notes may require us to purchase all or a portion of their 2020 Notes for cash at a price equal to 100% of the principal amount of the 2020 Notes, plus accrued and unpaid interest, including additional interest, if any, to, but excluding, the fundamental change purchase date. In addition, if, and to the extent, a holder elects to convert any 2020 Notes in connection with a make-whole fundamental change transaction, as defined in the indenture, we will, under certain circumstances, increase the applicable conversion rate by a number of additional shares of our common stock.</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the 2020 Notes can be settled in cash or common shares or a combination of cash and common shares at our option, we determined the embedded conversion options in the 2020 Notes are not required to be separately accounted for as a derivative. However, since the 2020 Notes are within the scope of the accounting guidance for cash convertible instruments, we are required to separate the 2020 Notes into a liability and equity component. The carrying amount of the liability component is calculated by measuring the fair value of a similar liability that does not have an associated equity component. The carrying amount of the equity component representing the embedded conversion option is determined by deducting the fair value of the liability component from the initial proceeds. The excess of the principal amount of the liability component over its carrying amount is amortized to interest expense over the expected life of a similar liability that does not have an associated equity component using the effective interest method. The equity component is not re-measured as long as it continues to meet the conditions for equity classification in the accounting guidance for contracts in an entity’s own equity.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liability component of the 2020 Notes on the date of issuance was estimated at $274.8 million, and accordingly, the equity component on the date of issuance was $100.2 million. The discount on the 2020 Notes is being amortized to interest expense over the term of the 2020 Notes, using the effective interest method. The carrying value of the 2020 Notes was $18.3 million and $17.4 million, respectively, (net of $0.8 million and $1.7 million debt discount and issuance costs, respectively) at December 31, 2019 and 2018.</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year ended December 31, 2017, we recognized $54.9 million of expense related to senior note conversions on the consolidated statement of operations for the conversion of $367.2 million in aggregate principal amount of the 2018 Notes and $355.6 million in aggregate principal amount of the 2020 Notes in exchange for shares of our common stock and cash. Included in the conversions were those with entities affiliated with Julian C. Baker, one of our directors and principal stockholders, which agreed to exchange $259.0 million in aggregate principal amount of the 2018 Notes and $274.5 million in aggregate principal amount of the 2020 Notes for shares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are authorized to issue 5,000,000 shares of preferred stock, none of which was outstanding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2019 and 2018. The Board of Directors may determine the rights, preferences and privileges of any preferred stock issued in the future.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We are authorized to issue 400,000,000 shares of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Stock Compensation Plans. </w:t>
      </w:r>
      <w:r>
        <w:rPr>
          <w:rFonts w:ascii="Arial" w:cs="Arial" w:eastAsia="Arial" w:hAnsi="Arial"/>
          <w:sz w:val="18"/>
          <w:szCs w:val="18"/>
          <w:color w:val="auto"/>
        </w:rPr>
        <w:t>As of December 31, 2019, we had a total of 10,336,053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future issuance related to our stock plans as described below.</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2010 Stock Incentive Plan. </w:t>
      </w:r>
      <w:r>
        <w:rPr>
          <w:rFonts w:ascii="Arial" w:cs="Arial" w:eastAsia="Arial" w:hAnsi="Arial"/>
          <w:sz w:val="16"/>
          <w:szCs w:val="16"/>
          <w:color w:val="auto"/>
        </w:rPr>
        <w:t>In May 2010 the Board of Directors adopted the 2010 Stock Incentive Plan,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in April 2013 and in March 2019 (the “2010 Plan”), for issuance of common stock to employees, non-employee directors, consultants, and scientific advisors. Options are granted to employees, consultants, and scientific advisors under the 2010 Plan, pursuant to a formula determined by our Board of Directors. All options are exercisable at the fair market value of the stock on the date of grant. Non-employee director options expire after ten years.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2019, our stockholders approved an increase in the number of shares of common stock reserved for issuance under the 2010 Plan from 36,753,475 to 44,453,475.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78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1"/>
              </w:rPr>
              <w:t>Shares Subject to</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1"/>
              </w:rPr>
              <w:t>Outstanding Options</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12,285,159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5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74.39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3,426,061</w:t>
            </w:r>
          </w:p>
        </w:tc>
        <w:tc>
          <w:tcPr>
            <w:tcW w:w="160" w:type="dxa"/>
            <w:vAlign w:val="bottom"/>
          </w:tcPr>
          <w:p>
            <w:pPr>
              <w:spacing w:after="0"/>
              <w:rPr>
                <w:sz w:val="18"/>
                <w:szCs w:val="18"/>
                <w:color w:val="auto"/>
              </w:rPr>
            </w:pPr>
          </w:p>
        </w:tc>
        <w:tc>
          <w:tcPr>
            <w:tcW w:w="700" w:type="dxa"/>
            <w:vAlign w:val="bottom"/>
          </w:tcPr>
          <w:p>
            <w:pPr>
              <w:jc w:val="center"/>
              <w:ind w:right="5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(2,199,835)</w:t>
            </w:r>
          </w:p>
        </w:tc>
        <w:tc>
          <w:tcPr>
            <w:tcW w:w="700" w:type="dxa"/>
            <w:vAlign w:val="bottom"/>
            <w:shd w:val="clear" w:color="auto" w:fill="CCEEFF"/>
          </w:tcPr>
          <w:p>
            <w:pPr>
              <w:jc w:val="center"/>
              <w:ind w:right="5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(878,728)</w:t>
            </w:r>
          </w:p>
        </w:tc>
        <w:tc>
          <w:tcPr>
            <w:tcW w:w="700" w:type="dxa"/>
            <w:vAlign w:val="bottom"/>
          </w:tcPr>
          <w:p>
            <w:pPr>
              <w:jc w:val="center"/>
              <w:ind w:right="5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12,632,657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jc w:val="center"/>
              <w:ind w:right="5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81.42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Options to purchase a total of 6,896,492, 7,194,171 and 7,250,283 shares as of December 31, 2019, 2018 and 2017, respectively, were exercisable. The aggregate intrinsic value of options exercised for the years ended December 31, 2019, 2018 and 2017 were $113.8 million, $73.9 million and $264.2 million, respectively. At December 31, 2019 the aggregate intrinsic value of options outstanding and vested options are $162.5 million and $158.7 million, respectively.</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information about stock options outstanding as of December 31, 2019 under the 2010 Plan: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Options Outstanding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ind w:left="7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60" w:type="dxa"/>
            <w:vAlign w:val="bottom"/>
            <w:gridSpan w:val="3"/>
            <w:vMerge w:val="continue"/>
          </w:tcPr>
          <w:p>
            <w:pPr>
              <w:spacing w:after="0"/>
              <w:rPr>
                <w:sz w:val="14"/>
                <w:szCs w:val="14"/>
                <w:color w:val="auto"/>
              </w:rPr>
            </w:pPr>
          </w:p>
        </w:tc>
        <w:tc>
          <w:tcPr>
            <w:tcW w:w="1140" w:type="dxa"/>
            <w:vAlign w:val="bottom"/>
          </w:tcPr>
          <w:p>
            <w:pPr>
              <w:jc w:val="right"/>
              <w:ind w:right="93"/>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$13.34 - $61.75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1,273,143</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$62.87 - $68.62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1,942,267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1,005,035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$68.82 - $68.97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$72.27 - $72.27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1,929,341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426,451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$72.58</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$81.60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1,267,721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$83.58</w:t>
            </w:r>
          </w:p>
        </w:tc>
        <w:tc>
          <w:tcPr>
            <w:tcW w:w="1320" w:type="dxa"/>
            <w:vAlign w:val="bottom"/>
          </w:tcPr>
          <w:p>
            <w:pPr>
              <w:ind w:left="20"/>
              <w:spacing w:after="0"/>
              <w:rPr>
                <w:sz w:val="20"/>
                <w:szCs w:val="20"/>
                <w:color w:val="auto"/>
              </w:rPr>
            </w:pPr>
            <w:r>
              <w:rPr>
                <w:rFonts w:ascii="Arial" w:cs="Arial" w:eastAsia="Arial" w:hAnsi="Arial"/>
                <w:sz w:val="18"/>
                <w:szCs w:val="18"/>
                <w:color w:val="auto"/>
              </w:rPr>
              <w:t>- $85.01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1,627,376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651,669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$85.34</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$95.34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$95.54</w:t>
            </w:r>
          </w:p>
        </w:tc>
        <w:tc>
          <w:tcPr>
            <w:tcW w:w="1320" w:type="dxa"/>
            <w:vAlign w:val="bottom"/>
          </w:tcPr>
          <w:p>
            <w:pPr>
              <w:ind w:left="20"/>
              <w:spacing w:after="0"/>
              <w:rPr>
                <w:sz w:val="20"/>
                <w:szCs w:val="20"/>
                <w:color w:val="auto"/>
              </w:rPr>
            </w:pPr>
            <w:r>
              <w:rPr>
                <w:rFonts w:ascii="Arial" w:cs="Arial" w:eastAsia="Arial" w:hAnsi="Arial"/>
                <w:sz w:val="18"/>
                <w:szCs w:val="18"/>
                <w:color w:val="auto"/>
              </w:rPr>
              <w:t>- $113.64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2,263,583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1,470,017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$115.19 - $134.38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$138.52 - $138.52</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138.52</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12,632,657</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6,896,492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 years 2014 through 2019, subject to earlier acceleration of vesting upon the occurrence of certain events in accordance with the terms of his employment agreement. As of December 31, 2019, all of the RSUs granted to Mr. Hoppenot were vested.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Compensation expense for the performance-based awards is recorded over the estimated service period for each milestone when the performance conditions are deemed probable of achievement. For the year ended December 31, 2019, the stock compensation expense recorded during the period was for service-based awards and performance conditions deemed probable of achievement and/or achieved. For PSUs containing performance conditions which were not deemed probable of achievement at December 31, 2019, no stock compensation expense was recognized.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2018, we granted 77,243 PSUs to executives with a performance milestone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83% based on the performance condition being achieved as of December 31, 2018.</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 and PSU award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74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91"/>
              </w:rPr>
              <w:t>Shares Subject to</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Outstanding Awards</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Grant Date Value</w:t>
            </w:r>
          </w:p>
        </w:tc>
        <w:tc>
          <w:tcPr>
            <w:tcW w:w="80" w:type="dxa"/>
            <w:vAlign w:val="bottom"/>
          </w:tcPr>
          <w:p>
            <w:pPr>
              <w:spacing w:after="0"/>
              <w:rPr>
                <w:sz w:val="12"/>
                <w:szCs w:val="12"/>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2,043,337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80.35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RSUs 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1,154,361</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83.23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PSUs granted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79.37</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RSUs released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(592,736)</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87.70</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PSUs released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(13,325)</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68.62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RSUs cancelled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(184,214)</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83.23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(38,514)</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66.16</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2,602,376</w:t>
            </w: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79.69</w:t>
            </w: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shares available for grant under the 2010 Plan:</w:t>
      </w:r>
    </w:p>
    <w:p>
      <w:pPr>
        <w:spacing w:after="0" w:line="230"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Shares Available</w:t>
      </w:r>
    </w:p>
    <w:p>
      <w:pPr>
        <w:spacing w:after="0" w:line="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Additional authorization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575437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Arial" w:cs="Arial" w:eastAsia="Arial" w:hAnsi="Arial"/>
          <w:sz w:val="17"/>
          <w:szCs w:val="17"/>
          <w:color w:val="auto"/>
        </w:rPr>
        <w:t>7,023,328</w:t>
      </w:r>
    </w:p>
    <w:p>
      <w:pPr>
        <w:spacing w:after="0" w:line="19"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7,700,000</w:t>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(5,983,442)</w:t>
      </w:r>
    </w:p>
    <w:p>
      <w:pPr>
        <w:spacing w:after="0" w:line="32"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1,142,236</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9,882,122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38735</wp:posOffset>
            </wp:positionV>
            <wp:extent cx="875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360" w:space="720"/>
            <w:col w:w="980"/>
          </w:cols>
          <w:pgMar w:left="1420" w:top="517" w:right="141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On May 21, 1997, our stockholders adopted the 1997 Employee Stock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“ESPP”). Each regular full-time and part-time employee working 20 hours or more per week is eligible to participate after one month of employment. We issued 239,590, 233,712 and 157,277 shares under the ESPP in 2019, 2018 and 2017, respectively. For the years ended December 31, 2019, 2018 and 2017, we recorded stock compensation expense of $3.4 million, $3.7 million and $3.2 million, respectively, as the ESPP is considered compensatory under the FASB stock compensation rules. As of December 31, 2019, 453,931 shares remain available for issuance under the ESPP.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Compensation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recorded $166.6 million, $148.2 million and $133.1 million, respectively, of stock compensation expense for the years ended December 31, 2019, 2018 and 2017. Stock compensation expense within our consolidated statements of operations included research and development expense for the years ended December 31, 2019, 2018 and 2017 of $114.0 million, $101.1 million and $90.4 million, respectively. Stock compensation expense within our consolidated statements of operations also included selling, general and administrative expense for the years ended December 31, 2019, 2018 and 2017 of $51.9 million, $47.1 million and $42.7 million, respectively. Stock compensation expense within our consolidated statements of operations also included cost of product revenues for the year ended December 31, 2019 of $0.7 million. For the years ended December 31, 2019 and 2018, we capitalized $0.4 million and $0.1 million, respectively, of stock compensation expense as part of the cost of an asset.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options granted, with the following weighted-average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2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2"/>
              </w:rPr>
              <w:t>Employee Stock Options</w:t>
            </w:r>
          </w:p>
        </w:tc>
        <w:tc>
          <w:tcPr>
            <w:tcW w:w="234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1"/>
              </w:rPr>
              <w:t>Employee Stock Purchase Plan</w:t>
            </w:r>
          </w:p>
        </w:tc>
      </w:tr>
      <w:tr>
        <w:trPr>
          <w:trHeight w:val="171"/>
        </w:trPr>
        <w:tc>
          <w:tcPr>
            <w:tcW w:w="4200" w:type="dxa"/>
            <w:vAlign w:val="bottom"/>
          </w:tcPr>
          <w:p>
            <w:pPr>
              <w:spacing w:after="0"/>
              <w:rPr>
                <w:sz w:val="14"/>
                <w:szCs w:val="14"/>
                <w:color w:val="auto"/>
              </w:rPr>
            </w:pPr>
          </w:p>
        </w:tc>
        <w:tc>
          <w:tcPr>
            <w:tcW w:w="252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2"/>
              </w:rPr>
              <w:t>For the year ended December 31,</w:t>
            </w:r>
          </w:p>
        </w:tc>
        <w:tc>
          <w:tcPr>
            <w:tcW w:w="234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2"/>
        </w:trPr>
        <w:tc>
          <w:tcPr>
            <w:tcW w:w="42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60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14.04</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compensation cost of options granted but not yet vested as of December 31, 2019, was $95.3 million, which is expected to be recognized over the weighted average period of 1.5 years. Total compensation cost of RSUs granted but not yet vested, as of December 31, 2019, was $86.0 million, which is expected to be recognized over the weighted average period of 1.7 years. Total compensation cost of PSUs granted but not yet vested, as of December 31, 2019, was $32.0 million, which is expected to be recognized over the weighted average period of 2.1 years, should the underlying performance conditions be deemed probable of achievement.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subject to U.S. federal, state and foreign corporate income taxes. The provision for income taxes is based on income (loss) before provision for income taxes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36,493</w:t>
            </w:r>
          </w:p>
        </w:tc>
        <w:tc>
          <w:tcPr>
            <w:tcW w:w="220" w:type="dxa"/>
            <w:vAlign w:val="bottom"/>
            <w:shd w:val="clear" w:color="auto" w:fill="CCEEFF"/>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Non-U.S.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8"/>
                <w:szCs w:val="18"/>
                <w:color w:val="auto"/>
                <w:w w:val="98"/>
              </w:rPr>
              <w:t>(225,695)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(362,703)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(348,783)</w:t>
            </w:r>
          </w:p>
        </w:tc>
      </w:tr>
      <w:tr>
        <w:trPr>
          <w:trHeight w:val="21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3"/>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(312,290)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6180" w:type="dxa"/>
            <w:vAlign w:val="bottom"/>
            <w:gridSpan w:val="6"/>
          </w:tcPr>
          <w:p>
            <w:pPr>
              <w:ind w:left="660"/>
              <w:spacing w:after="0"/>
              <w:rPr>
                <w:sz w:val="20"/>
                <w:szCs w:val="20"/>
                <w:color w:val="auto"/>
              </w:rPr>
            </w:pPr>
            <w:r>
              <w:rPr>
                <w:rFonts w:ascii="Arial" w:cs="Arial" w:eastAsia="Arial" w:hAnsi="Arial"/>
                <w:sz w:val="18"/>
                <w:szCs w:val="18"/>
                <w:color w:val="auto"/>
                <w:w w:val="97"/>
              </w:rPr>
              <w:t>Our provision for income taxes consists of the following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23,526</w:t>
            </w:r>
          </w:p>
        </w:tc>
        <w:tc>
          <w:tcPr>
            <w:tcW w:w="4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Deferred: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4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9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39,885</w:t>
            </w:r>
          </w:p>
        </w:tc>
        <w:tc>
          <w:tcPr>
            <w:tcW w:w="260" w:type="dxa"/>
            <w:vAlign w:val="bottom"/>
            <w:gridSpan w:val="2"/>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reconciliation of income taxes at the U.S. federal statutory rate to the provision for income taxes is as follows (in thousands):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9"/>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line="210" w:lineRule="exact"/>
              <w:rPr>
                <w:sz w:val="20"/>
                <w:szCs w:val="20"/>
                <w:color w:val="auto"/>
              </w:rPr>
            </w:pPr>
            <w:r>
              <w:rPr>
                <w:rFonts w:ascii="Arial" w:cs="Arial" w:eastAsia="Arial" w:hAnsi="Arial"/>
                <w:sz w:val="16"/>
                <w:szCs w:val="16"/>
                <w:color w:val="auto"/>
              </w:rPr>
              <w:t>Provision (benefit) at U.S. federal statutory rate</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(109,302)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Unbenefited net operating losses and tax credits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(82,819)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(51,861)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share-based compensation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Deferred tax impact of Tax Cuts and Jobs Act of 2017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196,751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8" w:lineRule="exact"/>
        <w:rPr>
          <w:sz w:val="20"/>
          <w:szCs w:val="20"/>
          <w:color w:val="auto"/>
        </w:rPr>
      </w:pPr>
    </w:p>
    <w:p>
      <w:pPr>
        <w:ind w:left="140" w:hanging="138"/>
        <w:spacing w:after="0"/>
        <w:tabs>
          <w:tab w:leader="none" w:pos="140" w:val="left"/>
        </w:tabs>
        <w:numPr>
          <w:ilvl w:val="0"/>
          <w:numId w:val="37"/>
        </w:numPr>
        <w:rPr>
          <w:rFonts w:ascii="Arial" w:cs="Arial" w:eastAsia="Arial" w:hAnsi="Arial"/>
          <w:sz w:val="24"/>
          <w:szCs w:val="24"/>
          <w:color w:val="auto"/>
          <w:vertAlign w:val="superscript"/>
        </w:rPr>
      </w:pPr>
      <w:r>
        <w:rPr>
          <w:rFonts w:ascii="Arial" w:cs="Arial" w:eastAsia="Arial" w:hAnsi="Arial"/>
          <w:sz w:val="16"/>
          <w:szCs w:val="16"/>
          <w:color w:val="auto"/>
        </w:rPr>
        <w:t>Statutory U.S. federal income tax rate of 21% in 2019, 21% in 2018 and 35% in 2017.</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foreign tax rate differential in the table above reflects the impact of operations in jurisdictions with tax rates that differ from the U.S. federal statutory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102,001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credits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accruals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(770,497)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(836,992)</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(19,095)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deferred tax asset balance is reported in other assets, net on the consolidated balance sheets as of December 31, 2019 and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 Company has net operating loss (“NOL”) carryforwards, research and development credit carryforwards and orphan drug tax credit carryforwards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Expiring if not utilized</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4160" w:type="dxa"/>
            <w:vAlign w:val="bottom"/>
          </w:tcPr>
          <w:p>
            <w:pPr>
              <w:ind w:left="120"/>
              <w:spacing w:after="0"/>
              <w:rPr>
                <w:sz w:val="20"/>
                <w:szCs w:val="20"/>
                <w:color w:val="auto"/>
              </w:rPr>
            </w:pPr>
            <w:r>
              <w:rPr>
                <w:rFonts w:ascii="Arial" w:cs="Arial" w:eastAsia="Arial" w:hAnsi="Arial"/>
                <w:sz w:val="18"/>
                <w:szCs w:val="18"/>
                <w:color w:val="auto"/>
              </w:rPr>
              <w:t>State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279,544</w:t>
            </w:r>
          </w:p>
        </w:tc>
        <w:tc>
          <w:tcPr>
            <w:tcW w:w="180" w:type="dxa"/>
            <w:vAlign w:val="bottom"/>
          </w:tcPr>
          <w:p>
            <w:pPr>
              <w:spacing w:after="0"/>
              <w:rPr>
                <w:sz w:val="19"/>
                <w:szCs w:val="19"/>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2020 through 2037; indefinite</w:t>
            </w:r>
          </w:p>
        </w:tc>
      </w:tr>
      <w:tr>
        <w:trPr>
          <w:trHeight w:val="230"/>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939,949</w:t>
            </w:r>
          </w:p>
        </w:tc>
        <w:tc>
          <w:tcPr>
            <w:tcW w:w="18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2020 through 2026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Research and development credit carryforwards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187,821</w:t>
            </w:r>
          </w:p>
        </w:tc>
        <w:tc>
          <w:tcPr>
            <w:tcW w:w="18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2031 through 2039</w:t>
            </w:r>
          </w:p>
        </w:tc>
      </w:tr>
      <w:tr>
        <w:trPr>
          <w:trHeight w:val="230"/>
        </w:trPr>
        <w:tc>
          <w:tcPr>
            <w:tcW w:w="4160" w:type="dxa"/>
            <w:vAlign w:val="bottom"/>
          </w:tcPr>
          <w:p>
            <w:pPr>
              <w:ind w:left="120"/>
              <w:spacing w:after="0"/>
              <w:rPr>
                <w:sz w:val="20"/>
                <w:szCs w:val="20"/>
                <w:color w:val="auto"/>
              </w:rPr>
            </w:pPr>
            <w:r>
              <w:rPr>
                <w:rFonts w:ascii="Arial" w:cs="Arial" w:eastAsia="Arial" w:hAnsi="Arial"/>
                <w:sz w:val="18"/>
                <w:szCs w:val="18"/>
                <w:color w:val="auto"/>
              </w:rPr>
              <w:t>State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28,664</w:t>
            </w:r>
          </w:p>
        </w:tc>
        <w:tc>
          <w:tcPr>
            <w:tcW w:w="180" w:type="dxa"/>
            <w:vAlign w:val="bottom"/>
          </w:tcPr>
          <w:p>
            <w:pPr>
              <w:spacing w:after="0"/>
              <w:rPr>
                <w:sz w:val="19"/>
                <w:szCs w:val="19"/>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2021 through 2039; indefinite</w:t>
            </w: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Orphan drug tax credit carryforwards</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212,410</w:t>
            </w:r>
          </w:p>
        </w:tc>
        <w:tc>
          <w:tcPr>
            <w:tcW w:w="18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2031 through 2039</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valuation allowance for deferred tax assets decreased by approximately $66.5 million during the year ended December 31, 2019, increased by approximately $2.2 million during the year ended December 31, 2018 and increased by approximately $14.6 million during the year ended December 31, 2017. The net valuation allowance decreased during 2019 was primarily due to the utilization of NOLs and research and development (“R&amp;D”) credits in the U.S., and a tax rate reduction impacting the value of certain foreign deferred tax assets. This was partially offset by the generation of U.S. federal R&amp;D credits, orphan drug credits and foreign NOLs.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Valuation allowances require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Based upon our analysis of our historical operating results, as well as projections of our future taxable income (losses) during the periods in which the temporary differences will be recoverable, management believes the uncertainty regarding the realization of our U.S. and Swiss net deferred tax assets requires a full valuation allowance against such net</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as of December 31, 2019. When performing our assessment on projections of future taxable income (losses), we consider factors such as the likelihood of regulatory approval and commercial success of products currently under development, among other factors.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and not subject to valuation allowances, we would recognize a tax benefit of $24.3 million. The following table summarizes the gross amounts of unrecognized tax benefits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18,022</w:t>
            </w:r>
          </w:p>
        </w:tc>
        <w:tc>
          <w:tcPr>
            <w:tcW w:w="80" w:type="dxa"/>
            <w:vAlign w:val="bottom"/>
            <w:shd w:val="clear" w:color="auto" w:fill="CCEEFF"/>
          </w:tcPr>
          <w:p>
            <w:pPr>
              <w:spacing w:after="0"/>
              <w:rPr>
                <w:sz w:val="18"/>
                <w:szCs w:val="18"/>
                <w:color w:val="auto"/>
              </w:rPr>
            </w:pPr>
          </w:p>
        </w:tc>
      </w:tr>
      <w:tr>
        <w:trPr>
          <w:trHeight w:val="216"/>
        </w:trPr>
        <w:tc>
          <w:tcPr>
            <w:tcW w:w="7120" w:type="dxa"/>
            <w:vAlign w:val="bottom"/>
          </w:tcPr>
          <w:p>
            <w:pPr>
              <w:ind w:left="120"/>
              <w:spacing w:after="0"/>
              <w:rPr>
                <w:sz w:val="20"/>
                <w:szCs w:val="20"/>
                <w:color w:val="auto"/>
              </w:rPr>
            </w:pPr>
            <w:r>
              <w:rPr>
                <w:rFonts w:ascii="Arial" w:cs="Arial" w:eastAsia="Arial" w:hAnsi="Arial"/>
                <w:sz w:val="18"/>
                <w:szCs w:val="18"/>
                <w:color w:val="auto"/>
              </w:rPr>
              <w:t>Additions related to prior periods tax positions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8"/>
                <w:szCs w:val="18"/>
                <w:color w:val="auto"/>
              </w:rPr>
            </w:pPr>
          </w:p>
        </w:tc>
      </w:tr>
      <w:tr>
        <w:trPr>
          <w:trHeight w:val="216"/>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related to prior periods tax positions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ind w:left="120"/>
              <w:spacing w:after="0"/>
              <w:rPr>
                <w:sz w:val="20"/>
                <w:szCs w:val="20"/>
                <w:color w:val="auto"/>
              </w:rPr>
            </w:pPr>
            <w:r>
              <w:rPr>
                <w:rFonts w:ascii="Arial" w:cs="Arial" w:eastAsia="Arial" w:hAnsi="Arial"/>
                <w:sz w:val="18"/>
                <w:szCs w:val="18"/>
                <w:color w:val="auto"/>
              </w:rPr>
              <w:t>Additions related to current period tax positions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r>
      <w:tr>
        <w:trPr>
          <w:trHeight w:val="216"/>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due to lapse of applicable statute of limitations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6"/>
        </w:trPr>
        <w:tc>
          <w:tcPr>
            <w:tcW w:w="7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18"/>
                <w:szCs w:val="18"/>
                <w:color w:val="auto"/>
              </w:rPr>
            </w:pPr>
          </w:p>
        </w:tc>
      </w:tr>
      <w:tr>
        <w:trPr>
          <w:trHeight w:val="210"/>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22,395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policy is to recognize interest and penalties related to uncertain tax positions, if any, as a component of income tax expense. During the years ended December 31, 2019, 2018 and 2017, we recorded interest and penalties as a component of income tax expense of $0.2 million, $0.1 million and $0.3 million, respectively. We do not anticipate any significant changes to our unrecognized tax benefits during the next twelve months.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files U.S. federal, state and local income tax returns and income tax returns in various foreign jurisdictions, with statutes of limitation generally ranging from three to five years during which such tax returns may be audited by the relevant tax authorities. Those statutes could be extended due to NOL or tax credit carryforwards generated during these periods that are subsequently utilized in open tax periods. In general, tax authorities have the ability to adjust the NOL carryforward or tax credits for three years after utilization of that year’s tax attribute carryforward.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Income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basic net income (loss) per share is computed by dividing the net income (loss) by the number of weighted average common shares outstanding during the period. Our diluted net income (loss) per share is computed by dividing net income (loss) by the weighted average common shares outstanding during the period assuming potentially dilutive common shares of stock options, RSUs, PSUs and common shares issuable upon conversion of the 2018 Notes and 2020 Notes using the if-converted method. Common shares issuable upon conversion of the 2018 Notes and 2020 Notes were excluded from the diluted net income (loss) per share computation for all periods presented as their share effect was anti-dilutive.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8"/>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080" w:type="dxa"/>
            <w:vAlign w:val="bottom"/>
            <w:gridSpan w:val="4"/>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rPr>
              <w:t>Basic Net Income (Loss) Per Share</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Basic net income (loss)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446,906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109,493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(313,142)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212,383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Basic net income (loss) per share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Diluted Net Income (Loss) Per Share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Diluted net income (loss)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446,906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109,493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(313,142)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212,383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Dilutive stock options and awards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5"/>
              </w:rPr>
              <w:t>Weighted average shares used to compute diluted net income (loss) per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217,657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potential common shares were excluded from the calculation as their effect would be anti-dilutive: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9,349,889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8,255,992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12,585,213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Common shares issuable upon conversion of the 2018 Notes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149,375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issuable upon conversion of the 2020 Notes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w w:val="98"/>
              </w:rPr>
              <w:t>Total potential common shares excluded from diluted net income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9,718,828</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8,624,931</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13,103,527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(loss) per share computation</w:t>
            </w: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$11.7 million, $10.5 million and $8.9 million for the years ended December 31, 2019, 2018 and 2017, respectively. Included in the 2019, 2018 and 2017 defined contribution expense was $1.6 million, $1.4 million and $1.0 million, respectively, of expense related to matching contributions under the non-U.S. defined contribution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pension plans assumptions reflect the expected investment return and discount rate on plan assets and disability rate probabilities. The benefit obligation at December 31, 2019 for the plans was determined using a discount rate of 0.30% and rate of compensation increase of 2.25%. The 2019 net periodic benefit cost for the plans was determined using discount rates of 0.75%, rates of compensation increase of 2.25% and long-term expected return on plan assets of 0.75%. The benefit obligation at December 31, 2018 for the plans was determined using a discount rate of 0.75%, rate of compensation increase of 2.25% and long-term expected return on plan assets of 0.75%. The 2018 net periodic benefit</w:t>
      </w:r>
    </w:p>
    <w:p>
      <w:pPr>
        <w:sectPr>
          <w:pgSz w:w="11900" w:h="16838" w:orient="portrait"/>
          <w:cols w:equalWidth="0" w:num="1">
            <w:col w:w="9060"/>
          </w:cols>
          <w:pgMar w:left="1420" w:top="517"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for the plans was determined using discount rates of 0.75% to 1.00%, rates of compensation increase of 2.00% to 2.25% and long-term expected return on plan assets of 0.75%.</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Summarized information regarding changes in the obligations and plan assets, the funded status and the amounts recorded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46,038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37,584</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Employer service cost</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4,450</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Transfer of benefits net of payments from fund</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2,268</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from assets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Translation loss (gain)</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10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62,770</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46,038</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beginning of year</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24,191</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Transfer of benefits net of payments from fund</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Expenses paid from assets</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 (gain)</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r>
      <w:tr>
        <w:trPr>
          <w:trHeight w:val="21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end of year</w:t>
            </w:r>
          </w:p>
        </w:tc>
        <w:tc>
          <w:tcPr>
            <w:tcW w:w="10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38,662</w:t>
            </w:r>
          </w:p>
        </w:tc>
        <w:tc>
          <w:tcPr>
            <w:tcW w:w="1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30,368</w:t>
            </w:r>
          </w:p>
        </w:tc>
        <w:tc>
          <w:tcPr>
            <w:tcW w:w="180" w:type="dxa"/>
            <w:vAlign w:val="bottom"/>
            <w:tcBorders>
              <w:bottom w:val="single" w:sz="8" w:color="CCEEFF"/>
            </w:tcBorders>
          </w:tcPr>
          <w:p>
            <w:pPr>
              <w:spacing w:after="0"/>
              <w:rPr>
                <w:sz w:val="18"/>
                <w:szCs w:val="18"/>
                <w:color w:val="auto"/>
              </w:rPr>
            </w:pPr>
          </w:p>
        </w:tc>
      </w:tr>
      <w:tr>
        <w:trPr>
          <w:trHeight w:val="210"/>
        </w:trPr>
        <w:tc>
          <w:tcPr>
            <w:tcW w:w="4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Unfunded liability, end of year</w:t>
            </w:r>
          </w:p>
        </w:tc>
        <w:tc>
          <w:tcPr>
            <w:tcW w:w="1040" w:type="dxa"/>
            <w:vAlign w:val="bottom"/>
          </w:tcPr>
          <w:p>
            <w:pPr>
              <w:spacing w:after="0"/>
              <w:rPr>
                <w:sz w:val="18"/>
                <w:szCs w:val="18"/>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24,108</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15,670</w:t>
            </w:r>
          </w:p>
        </w:tc>
        <w:tc>
          <w:tcPr>
            <w:tcW w:w="18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unfunded liability is reported in other liabilities on the consolidated balance sheet as of December 31, 2019 and 2018. The accumulated benefit obligation is $52.9 million and $39.8 million as of December 31, 2019 and 2018,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5"/>
              </w:rPr>
              <w:t>Year Ended December 31,</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5,760</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16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changes in the plans assets and the benefit obligation that is recognized in accumulated other comprehensive loss were as follows, net of tax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beginning of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Plan change</w:t>
            </w:r>
          </w:p>
        </w:tc>
        <w:tc>
          <w:tcPr>
            <w:tcW w:w="3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prior service costs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tcPr>
          <w:p>
            <w:pPr>
              <w:spacing w:after="0"/>
              <w:rPr>
                <w:sz w:val="18"/>
                <w:szCs w:val="18"/>
                <w:color w:val="auto"/>
              </w:rPr>
            </w:pP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liability,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prior service cost for the pension plans that will be amortized from accumulated other comprehensive loss into net periodic benefit cost over the next fiscal year is $0.2 million. The actuarial loss for the pension plans that will be amortized from accumulated other comprehensive loss into net periodic benefit cost over the next fiscal year is $0.7 million.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contribute a total of $4.1 million to the pension plans in 2020. The following benefit payments, which reflect expected future service, as appropriate, are expected to be paid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8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2,361</w:t>
            </w:r>
          </w:p>
        </w:tc>
        <w:tc>
          <w:tcPr>
            <w:tcW w:w="18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2,293</w:t>
            </w:r>
          </w:p>
        </w:tc>
        <w:tc>
          <w:tcPr>
            <w:tcW w:w="18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EEFF"/>
          </w:tcPr>
          <w:p>
            <w:pPr>
              <w:spacing w:after="0"/>
              <w:rPr>
                <w:sz w:val="18"/>
                <w:szCs w:val="18"/>
                <w:color w:val="auto"/>
              </w:rPr>
            </w:pPr>
          </w:p>
        </w:tc>
      </w:tr>
      <w:tr>
        <w:trPr>
          <w:trHeight w:val="216"/>
        </w:trPr>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2025-2028</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w:t>
            </w:r>
          </w:p>
        </w:tc>
        <w:tc>
          <w:tcPr>
            <w:tcW w:w="180" w:type="dxa"/>
            <w:vAlign w:val="bottom"/>
            <w:tcBorders>
              <w:bottom w:val="single" w:sz="8" w:color="CCEEFF"/>
            </w:tcBorders>
          </w:tcPr>
          <w:p>
            <w:pPr>
              <w:spacing w:after="0"/>
              <w:rPr>
                <w:sz w:val="18"/>
                <w:szCs w:val="18"/>
                <w:color w:val="auto"/>
              </w:rPr>
            </w:pPr>
          </w:p>
        </w:tc>
      </w:tr>
      <w:tr>
        <w:trPr>
          <w:trHeight w:val="210"/>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non-cancelable minimum lease payments as of December 31, 2019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Operating Leases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Finance Leases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2,495</w:t>
            </w:r>
          </w:p>
        </w:tc>
        <w:tc>
          <w:tcPr>
            <w:tcW w:w="3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3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2,754</w:t>
            </w:r>
          </w:p>
        </w:tc>
        <w:tc>
          <w:tcPr>
            <w:tcW w:w="3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0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32,522</w:t>
            </w:r>
          </w:p>
        </w:tc>
        <w:tc>
          <w:tcPr>
            <w:tcW w:w="300" w:type="dxa"/>
            <w:vAlign w:val="bottom"/>
            <w:tcBorders>
              <w:bottom w:val="single" w:sz="8" w:color="CCEEFF"/>
            </w:tcBorders>
          </w:tcPr>
          <w:p>
            <w:pPr>
              <w:spacing w:after="0"/>
              <w:rPr>
                <w:sz w:val="18"/>
                <w:szCs w:val="18"/>
                <w:color w:val="auto"/>
              </w:rPr>
            </w:pP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22,219</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non-cancelable minimum lease payments as of December 31, 2018, prior to the adoption of ASC 842,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 Leases</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Financing Lease</w:t>
            </w:r>
            <w:r>
              <w:rPr>
                <w:rFonts w:ascii="Arial" w:cs="Arial" w:eastAsia="Arial" w:hAnsi="Arial"/>
                <w:sz w:val="21"/>
                <w:szCs w:val="21"/>
                <w:b w:val="1"/>
                <w:bCs w:val="1"/>
                <w:color w:val="auto"/>
                <w:vertAlign w:val="superscript"/>
              </w:rPr>
              <w:t>1</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2,793</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35,850</w:t>
            </w:r>
          </w:p>
        </w:tc>
        <w:tc>
          <w:tcPr>
            <w:tcW w:w="80" w:type="dxa"/>
            <w:vAlign w:val="bottom"/>
          </w:tcPr>
          <w:p>
            <w:pPr>
              <w:spacing w:after="0"/>
              <w:rPr>
                <w:sz w:val="18"/>
                <w:szCs w:val="18"/>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418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115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1"/>
        </w:trPr>
        <w:tc>
          <w:tcPr>
            <w:tcW w:w="4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2"/>
        <w:spacing w:after="0" w:line="207" w:lineRule="auto"/>
        <w:tabs>
          <w:tab w:leader="none" w:pos="159"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future minimum lease payments related to a lease where we were deemed, for accounting purposes, to be the owner of the building.</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underlying the DOJ inquiry was unsealed (“Complaint”), at which time we learned that a former employee whom we had terminated had made certain allegations relating to the programs described above. We then became aware that the DOJ had not intervened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and, to our knowledge, the DOJ has not intervened to date. We filed an answer to the Complaint on January 22, 2020, and the action is proceeding. We cannot predict the outcome or the timing of the ultimate resolution of the investigation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or reasonably estimate the possible range of loss, if any, that may result from these matters. Accordingly, no reserve has been made with respect to these matters in the 2019 financial statements.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operate in one operating business segment focused on the discovery, development and commercialization of proprietary therapeutics. Our chief operating decision-maker manages the operations of our company as a single operating segment. We do not operate in any material separate lines of business or separate business entities with respect to our products or product development.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year ended December 31, 2019, total revenues generated by subsidiaries in the United States was $2.1 billion and total revenues generated from subsidiaries in Europe was $90.0 million. During the year ended December 31, 2018, total revenues generated by subsidiaries in the United States was $1.8 billion and total revenues generated from subsidiaries in Europe was $79.9 million. During the year ended December 31, 2017, total revenues generated by subsidiaries in the United States was $1.5 billion and total revenues generated from subsidiaries in Europe was $66.9 million. As of December 31, 2019, property and equipment, net was approximately $261.7 million in the United States and approximately $109.9 million in Europe. As of December 31, 2018, property and equipment, net was approximately $252.5 million in the United States and approximately $67.3 million in Europe.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Interim Consolidated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Fiscal 2019 Quarter Ended</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2"/>
                <w:szCs w:val="12"/>
                <w:color w:val="auto"/>
              </w:rPr>
            </w:pPr>
          </w:p>
        </w:tc>
        <w:tc>
          <w:tcPr>
            <w:tcW w:w="11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Revenues</w:t>
            </w:r>
            <w:r>
              <w:rPr>
                <w:rFonts w:ascii="Arial" w:cs="Arial" w:eastAsia="Arial" w:hAnsi="Arial"/>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497,857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551,581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102,312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105,318</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128,271</w:t>
            </w:r>
          </w:p>
        </w:tc>
        <w:tc>
          <w:tcPr>
            <w:tcW w:w="2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used in computation of basic net income per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w w:val="90"/>
              </w:rPr>
              <w:t>Shares used in computation of diluted net income per share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217,061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217,483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217,791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218,542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3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116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Fiscal 2018 Quarter Ended</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2"/>
                <w:szCs w:val="12"/>
                <w:color w:val="auto"/>
              </w:rPr>
            </w:pPr>
          </w:p>
        </w:tc>
        <w:tc>
          <w:tcPr>
            <w:tcW w:w="11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Revenues</w:t>
            </w:r>
            <w:r>
              <w:rPr>
                <w:rFonts w:ascii="Arial" w:cs="Arial" w:eastAsia="Arial" w:hAnsi="Arial"/>
                <w:sz w:val="24"/>
                <w:szCs w:val="24"/>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449,683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(41,140)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52,394</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29,176</w:t>
            </w:r>
          </w:p>
        </w:tc>
        <w:tc>
          <w:tcPr>
            <w:tcW w:w="2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used in computation of basic net income (loss) per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w w:val="92"/>
              </w:rPr>
              <w:t>Shares used in computation of diluted net income (loss) per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211,681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215,964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216,042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jc w:val="both"/>
        <w:ind w:left="320" w:hanging="318"/>
        <w:spacing w:after="0" w:line="271"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quarters ended March 31, 2019, June 30, 2019, September 30, 2019 and December 31, 2019 include $396.2 million, $433.9 million, $454.0 million, and $490.8 million, respectively, of product revenues, net, relating to JAKAFI and ICLUSIG. The quarters ended March 31, 2019, June 30, 2019, September 30, 2019 and December 31, 2019 include $61.6 million, $76.0 million, $80.1 million and $88.6 million, respectively, of product royalty revenues related to the sale of JAKAVI and OLUMIANT outside the United States. In December 2018 and July 2019, we entered into collaborative research and license agreements with Innovent and Zai Lab, respectively. The quarters ended March 31, 2019, June 30, 2019, September 30, 2019 and December 31, 2019 include $40.0 million, $20.0 million, $17.5 million and $0.0 million, respectively, of milestone and contract revenues relating to these agreements.</w:t>
      </w:r>
    </w:p>
    <w:p>
      <w:pPr>
        <w:spacing w:after="0" w:line="178" w:lineRule="exact"/>
        <w:rPr>
          <w:rFonts w:ascii="Arial" w:cs="Arial" w:eastAsia="Arial" w:hAnsi="Arial"/>
          <w:sz w:val="17"/>
          <w:szCs w:val="17"/>
          <w:color w:val="auto"/>
        </w:rPr>
      </w:pPr>
    </w:p>
    <w:p>
      <w:pPr>
        <w:jc w:val="both"/>
        <w:ind w:left="320" w:hanging="318"/>
        <w:spacing w:after="0" w:line="271"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quarters ended March 31, 2018, June 30, 2018, September 30, 2018 and December 31, 2018 include $334.5 million, $365.5 million, $367.7 million, and $399.2 million, respectively, of product revenues, net, relating to JAKAFI and ICLUSIG. The quarters ended March 31, 2018, June 30, 2018, September 30, 2018 and December 31, 2018 include $47.7 million, $56.0 million, $61.9 million and $69.2 million, respectively, of product royalty revenues related to the sale of JAKAVI and OLUMIANT outside the United States. In November 2009 and December 2009, we entered into collaborative research and license agreements with Novartis and Lilly, respectively. The quarters ended March 31, 2018, June 30, 2018, September 30, 2018 and December 31, 2018 include $0.0 million, $100.0 million, $20.0 million and $60.0 million, respectively, of milestone and contract revenues relating to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terms of the agreement, we will receive exclusive commercialization rights outside of the United States, and MorphoSys and we will have co-commercialization rights in the United States, with respect to tafasitamab. MorphoSys will be responsible for leading the commercialization strategy and booking all revenue from sales of tafasitamab in the United States, and we and MorphoSys will both be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will be responsible for funding any independent development activities, and we will be responsible for funding development activities specific to our territory. All development costs related to the collaboration will be subject to a joint development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agreed to pay MorphoSys an upfront non-refundable payment of $750.0 million. MorphoSys will be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effectiveness of the agreement is conditioned on the early termination or expiration of the waiting period under the Hart-Scott-Rodino Antitrust Improvements Act of 1976 as well as clearance by the German and Austrian antitrust authorities; however, certain confidentiality and antitrust filing provisions became effective upon execution of the agreement.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under the collaboration agreement and pursuant to a related purchase agreement, we have agreed to purchase American Depositary Shares (“ADSs”), each representing 0.25 of an ordinary share of MorphoSys AG, for an aggregate purchase price of $150 million (such ADSs to be purchased, the “New ADSs”). Under the purchase agreement, we have agreed, subject to limited exceptions, not to sell or otherwise transfer any of the New ADSs for an 18-month period. Closing of the purchase of the New ADSs is subject to customary conditions, as well as the effectiveness of the collaboration agreement described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 term</w:t>
      </w:r>
      <w:r>
        <w:rPr>
          <w:rFonts w:ascii="Arial" w:cs="Arial" w:eastAsia="Arial" w:hAnsi="Arial"/>
          <w:sz w:val="16"/>
          <w:szCs w:val="16"/>
          <w:i w:val="1"/>
          <w:iCs w:val="1"/>
          <w:color w:val="auto"/>
        </w:rPr>
        <w:t xml:space="preserve"> </w:t>
      </w:r>
      <w:r>
        <w:rPr>
          <w:rFonts w:ascii="Arial" w:cs="Arial" w:eastAsia="Arial" w:hAnsi="Arial"/>
          <w:sz w:val="16"/>
          <w:szCs w:val="16"/>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their evaluation as of the end of the period covered by this Annual Report on Form 10-K,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were no change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defined in Rules 13a-15(f) and 15d-15(f) under the Exchange Act) for the quarter ended December 31, 2019, that materially affected or are reasonably likely to materially affect our internal control over financial reporting.</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Our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establishing and maintaining adequate internal control over financial reporting, as such term is defined in Exchange Act Rules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deteriorate. Our 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(2013</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framework).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2019. The effectiveness of our internal control over financial reporting as of December 31, 2019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259" w:firstLine="2279"/>
        <w:spacing w:after="0" w:line="50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Incyte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color w:val="auto"/>
        </w:rPr>
        <w:t>We have audited Incyte Corporation’s internal control over financial reporting as of December 31, 2019, based on criteria established in Internal Control—Integrated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2019, based on the COSO criteria.</w:t>
      </w:r>
    </w:p>
    <w:p>
      <w:pPr>
        <w:spacing w:after="0" w:line="80" w:lineRule="exact"/>
        <w:rPr>
          <w:sz w:val="20"/>
          <w:szCs w:val="20"/>
          <w:color w:val="auto"/>
        </w:rPr>
      </w:pPr>
    </w:p>
    <w:p>
      <w:pPr>
        <w:ind w:right="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Incyte Corporation as of December 31, 2019 and 2018, the related consolidated statements of operations, comprehensive income (loss), stockholders’ equity and cash flows for each of the three years in the period ended December 31, 2019, and the related notes and our report dated February 13, 2020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7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3" w:lineRule="exact"/>
        <w:rPr>
          <w:sz w:val="20"/>
          <w:szCs w:val="20"/>
          <w:color w:val="auto"/>
        </w:rPr>
      </w:pPr>
    </w:p>
    <w:p>
      <w:pPr>
        <w:jc w:val="both"/>
        <w:ind w:right="7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right="21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2020 Annual Meeting of Stockholders to be held on May 26, 2020 (the “Proxy Statement”). Certain information required by this item concerning executive officers is set forth in Part I of this Report under the caption “Information about our Executive Officers” and is incorporated herein by reference.</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Item 405 of Regulation S-K calls for disclosure of any known late filing or failure by an insider to file a report required by Section 16(a) of the Exchange Act. To the extent disclosure for delinquent reports is being made, it can be found under the caption “Delinquent Section 16(a) Reports” in the Proxy Statement and is incorporated herein by reference.</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have adopted a Code of Business Conduct and Ethics that applies to all of our officers and employees, including our Chief Executive Officer, Chief Financial Officer, Principal Accounting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Arial" w:cs="Arial" w:eastAsia="Arial" w:hAnsi="Arial"/>
          <w:sz w:val="17"/>
          <w:szCs w:val="17"/>
          <w:i w:val="1"/>
          <w:iCs w:val="1"/>
          <w:color w:val="auto"/>
        </w:rPr>
        <w:t>investor.incyte.com/corporate-governance</w:t>
      </w:r>
      <w:r>
        <w:rPr>
          <w:rFonts w:ascii="Arial" w:cs="Arial" w:eastAsia="Arial" w:hAnsi="Arial"/>
          <w:sz w:val="17"/>
          <w:szCs w:val="17"/>
          <w:color w:val="auto"/>
        </w:rPr>
        <w:t>. Our website address listed in the prior sentence and below is intended to be an</w:t>
      </w:r>
      <w:r>
        <w:rPr>
          <w:rFonts w:ascii="Arial" w:cs="Arial" w:eastAsia="Arial" w:hAnsi="Arial"/>
          <w:sz w:val="17"/>
          <w:szCs w:val="17"/>
          <w:i w:val="1"/>
          <w:iCs w:val="1"/>
          <w:color w:val="auto"/>
        </w:rPr>
        <w:t xml:space="preserve"> </w:t>
      </w:r>
      <w:r>
        <w:rPr>
          <w:rFonts w:ascii="Arial" w:cs="Arial" w:eastAsia="Arial" w:hAnsi="Arial"/>
          <w:sz w:val="17"/>
          <w:szCs w:val="17"/>
          <w:color w:val="auto"/>
        </w:rPr>
        <w:t>inactive, textual reference only. None of the materials on, or accessible through, our website is part of this report or is incorporated by reference herein.</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Arial" w:cs="Arial" w:eastAsia="Arial" w:hAnsi="Arial"/>
          <w:sz w:val="18"/>
          <w:szCs w:val="18"/>
          <w:i w:val="1"/>
          <w:iCs w:val="1"/>
          <w:color w:val="auto"/>
        </w:rPr>
        <w:t>www.incyte.com</w:t>
      </w:r>
      <w:r>
        <w:rPr>
          <w:rFonts w:ascii="Arial" w:cs="Arial" w:eastAsia="Arial" w:hAnsi="Arial"/>
          <w:sz w:val="18"/>
          <w:szCs w:val="18"/>
          <w:color w:val="auto"/>
        </w:rPr>
        <w:t xml:space="preserve"> within four business days following the date of such amendment or waiver.</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Board of Directors has appointed an Audit and Finance Committee of four directors, currently comprised of Mr. Paul J. Clancy, as Chairman, Mr. Paul A. Brooke, Ms. Wendy Dixon and Dr. Jacqualyn A. Fouse. The Board of Directors has also determined that Mr. Clancy, Mr. Brooke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“Compensation of Directors” and “Executive Compensation” contained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“Equity Compensation Plan Information” and “Security Ownership of Certain Beneficial Owners and Management” contained in the Proxy Statement.</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 contained in the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660" w:hanging="658"/>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29" w:lineRule="exact"/>
        <w:rPr>
          <w:rFonts w:ascii="Arial" w:cs="Arial" w:eastAsia="Arial" w:hAnsi="Arial"/>
          <w:sz w:val="18"/>
          <w:szCs w:val="18"/>
          <w:b w:val="1"/>
          <w:bCs w:val="1"/>
          <w:color w:val="auto"/>
        </w:rPr>
      </w:pPr>
    </w:p>
    <w:p>
      <w:pPr>
        <w:ind w:left="1320" w:hanging="643"/>
        <w:spacing w:after="0"/>
        <w:tabs>
          <w:tab w:leader="none" w:pos="13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Reference is made to the Index to Consolidated Financial Statements of Incyte Corporation under Item 8 of Part II hereof.</w:t>
      </w:r>
    </w:p>
    <w:p>
      <w:pPr>
        <w:spacing w:after="0" w:line="170" w:lineRule="exact"/>
        <w:rPr>
          <w:sz w:val="20"/>
          <w:szCs w:val="20"/>
          <w:color w:val="auto"/>
        </w:rPr>
      </w:pPr>
    </w:p>
    <w:p>
      <w:pPr>
        <w:ind w:left="1320" w:hanging="643"/>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81" w:lineRule="exact"/>
        <w:rPr>
          <w:sz w:val="20"/>
          <w:szCs w:val="20"/>
          <w:color w:val="auto"/>
        </w:rPr>
      </w:pPr>
    </w:p>
    <w:p>
      <w:pPr>
        <w:ind w:left="1320" w:hanging="643"/>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See Item 15(b) below. Each management contract or compensatory plan or arrangement required to be filed has been identified.</w:t>
      </w:r>
    </w:p>
    <w:p>
      <w:pPr>
        <w:spacing w:after="0" w:line="166" w:lineRule="exact"/>
        <w:rPr>
          <w:sz w:val="20"/>
          <w:szCs w:val="20"/>
          <w:color w:val="auto"/>
        </w:rPr>
      </w:pPr>
    </w:p>
    <w:p>
      <w:pPr>
        <w:ind w:left="660" w:hanging="658"/>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40" w:type="dxa"/>
            <w:vAlign w:val="bottom"/>
            <w:gridSpan w:val="10"/>
            <w:vMerge w:val="restart"/>
          </w:tcPr>
          <w:p>
            <w:pPr>
              <w:ind w:left="16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40"/>
              <w:spacing w:after="0" w:line="170" w:lineRule="exact"/>
              <w:rPr>
                <w:sz w:val="20"/>
                <w:szCs w:val="20"/>
                <w:color w:val="auto"/>
              </w:rPr>
            </w:pPr>
            <w:r>
              <w:rPr>
                <w:rFonts w:ascii="Arial" w:cs="Arial" w:eastAsia="Arial" w:hAnsi="Arial"/>
                <w:sz w:val="18"/>
                <w:szCs w:val="18"/>
                <w:color w:val="auto"/>
              </w:rPr>
              <w:t>3(i)</w:t>
            </w:r>
          </w:p>
        </w:tc>
        <w:tc>
          <w:tcPr>
            <w:tcW w:w="7700" w:type="dxa"/>
            <w:vAlign w:val="bottom"/>
            <w:tcBorders>
              <w:bottom w:val="single" w:sz="8" w:color="0000EE"/>
            </w:tcBorders>
            <w:gridSpan w:val="12"/>
          </w:tcPr>
          <w:p>
            <w:pPr>
              <w:spacing w:after="0" w:line="170"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Integrated copy of the Restated Certificate of Incorporation, as amended, of the Company (incorporated by</w:t>
              </w:r>
            </w:hyperlink>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reference to Exhibit 3(i) to the Company’s Annual Report on Form 10-K for the year ended December 31,</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2">
              <w:r>
                <w:rPr>
                  <w:rFonts w:ascii="Arial" w:cs="Arial" w:eastAsia="Arial" w:hAnsi="Arial"/>
                  <w:sz w:val="18"/>
                  <w:szCs w:val="18"/>
                  <w:color w:val="0000EE"/>
                  <w:w w:val="86"/>
                </w:rPr>
                <w:t>2009).</w:t>
              </w:r>
            </w:hyperlink>
          </w:p>
        </w:tc>
        <w:tc>
          <w:tcPr>
            <w:tcW w:w="2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40"/>
              <w:spacing w:after="0" w:line="196" w:lineRule="exact"/>
              <w:rPr>
                <w:sz w:val="20"/>
                <w:szCs w:val="20"/>
                <w:color w:val="auto"/>
              </w:rPr>
            </w:pPr>
            <w:r>
              <w:rPr>
                <w:rFonts w:ascii="Arial" w:cs="Arial" w:eastAsia="Arial" w:hAnsi="Arial"/>
                <w:sz w:val="18"/>
                <w:szCs w:val="18"/>
                <w:color w:val="auto"/>
              </w:rPr>
              <w:t>3(ii)</w:t>
            </w:r>
          </w:p>
        </w:tc>
        <w:tc>
          <w:tcPr>
            <w:tcW w:w="7880" w:type="dxa"/>
            <w:vAlign w:val="bottom"/>
            <w:gridSpan w:val="13"/>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Bylaws of the Company, as amended as of November 15, 2017 (incorporated by reference to Exhibit 3.1 to</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the Company’s Current Report on Form 8-K filed November 17, 2017).</w:t>
              </w:r>
            </w:hyperlink>
          </w:p>
        </w:tc>
        <w:tc>
          <w:tcPr>
            <w:tcW w:w="2540" w:type="dxa"/>
            <w:vAlign w:val="bottom"/>
            <w:tcBorders>
              <w:top w:val="single" w:sz="8" w:color="0000EE"/>
            </w:tcBorders>
            <w:gridSpan w:val="8"/>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40"/>
              <w:spacing w:after="0" w:line="196" w:lineRule="exact"/>
              <w:rPr>
                <w:sz w:val="20"/>
                <w:szCs w:val="20"/>
                <w:color w:val="auto"/>
              </w:rPr>
            </w:pPr>
            <w:r>
              <w:rPr>
                <w:rFonts w:ascii="Arial" w:cs="Arial" w:eastAsia="Arial" w:hAnsi="Arial"/>
                <w:sz w:val="18"/>
                <w:szCs w:val="18"/>
                <w:color w:val="auto"/>
              </w:rPr>
              <w:t>4.1</w:t>
            </w:r>
          </w:p>
        </w:tc>
        <w:tc>
          <w:tcPr>
            <w:tcW w:w="7880" w:type="dxa"/>
            <w:vAlign w:val="bottom"/>
            <w:gridSpan w:val="13"/>
          </w:tcPr>
          <w:p>
            <w:pPr>
              <w:spacing w:after="0" w:line="196"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Form of Common Stock Certificate (incorporated by reference to the exhibit of the same number to the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Company’s Annual Report on Form 10-K for the year ended December 31, 2002).</w:t>
              </w:r>
            </w:hyperlink>
          </w:p>
        </w:tc>
        <w:tc>
          <w:tcPr>
            <w:tcW w:w="1500" w:type="dxa"/>
            <w:vAlign w:val="bottom"/>
            <w:tcBorders>
              <w:top w:val="single" w:sz="8" w:color="0000EE"/>
            </w:tcBorders>
            <w:gridSpan w:val="2"/>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40"/>
              <w:spacing w:after="0" w:line="196" w:lineRule="exact"/>
              <w:rPr>
                <w:sz w:val="20"/>
                <w:szCs w:val="20"/>
                <w:color w:val="auto"/>
              </w:rPr>
            </w:pPr>
            <w:r>
              <w:rPr>
                <w:rFonts w:ascii="Arial" w:cs="Arial" w:eastAsia="Arial" w:hAnsi="Arial"/>
                <w:sz w:val="18"/>
                <w:szCs w:val="18"/>
                <w:color w:val="auto"/>
              </w:rPr>
              <w:t>4.2</w:t>
            </w:r>
          </w:p>
        </w:tc>
        <w:tc>
          <w:tcPr>
            <w:tcW w:w="7880" w:type="dxa"/>
            <w:vAlign w:val="bottom"/>
            <w:gridSpan w:val="13"/>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Indenture, dated as of November 14, 2013, between the Company and U.S. Bank National Association, as</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62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trustee (incorporated by reference to Exhibit 4.2 to the Company’s Current Report on Form 8-K filed</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November 14, 2013).</w:t>
              </w:r>
            </w:hyperlink>
          </w:p>
        </w:tc>
        <w:tc>
          <w:tcPr>
            <w:tcW w:w="5720" w:type="dxa"/>
            <w:vAlign w:val="bottom"/>
            <w:tcBorders>
              <w:top w:val="single" w:sz="8" w:color="0000EE"/>
            </w:tcBorders>
            <w:gridSpan w:val="3"/>
          </w:tcPr>
          <w:p>
            <w:pPr>
              <w:spacing w:after="0"/>
              <w:rPr>
                <w:sz w:val="17"/>
                <w:szCs w:val="17"/>
                <w:color w:val="auto"/>
              </w:rPr>
            </w:pPr>
          </w:p>
        </w:tc>
        <w:tc>
          <w:tcPr>
            <w:tcW w:w="6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40"/>
              <w:spacing w:after="0" w:line="196" w:lineRule="exact"/>
              <w:rPr>
                <w:sz w:val="20"/>
                <w:szCs w:val="20"/>
                <w:color w:val="auto"/>
              </w:rPr>
            </w:pPr>
            <w:r>
              <w:rPr>
                <w:rFonts w:ascii="Arial" w:cs="Arial" w:eastAsia="Arial" w:hAnsi="Arial"/>
                <w:sz w:val="18"/>
                <w:szCs w:val="18"/>
                <w:color w:val="auto"/>
              </w:rPr>
              <w:t>4.3*</w:t>
            </w:r>
          </w:p>
        </w:tc>
        <w:tc>
          <w:tcPr>
            <w:tcW w:w="7880" w:type="dxa"/>
            <w:vAlign w:val="bottom"/>
            <w:gridSpan w:val="13"/>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Registrant’s Securities Registered under Section 12 of the Securities Exchange Act of 1934.</w:t>
              </w:r>
            </w:hyperlink>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w:t>
            </w:r>
          </w:p>
        </w:tc>
        <w:tc>
          <w:tcPr>
            <w:tcW w:w="7680" w:type="dxa"/>
            <w:vAlign w:val="bottom"/>
            <w:tcBorders>
              <w:top w:val="single" w:sz="8" w:color="0000EE"/>
            </w:tcBorders>
            <w:gridSpan w:val="11"/>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Incyte Corporation Amended and Restated 2010 Stock Incentive Plan, as amended and restated March 18,</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9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2019 (incorporated by reference to Exhibit 10.1 to the Company’s Current Report on Form 8-K filed April</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5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30, 2019).</w:t>
              </w:r>
            </w:hyperlink>
          </w:p>
        </w:tc>
        <w:tc>
          <w:tcPr>
            <w:tcW w:w="3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80" w:type="dxa"/>
            <w:vAlign w:val="bottom"/>
          </w:tcPr>
          <w:p>
            <w:pPr>
              <w:spacing w:after="0"/>
              <w:rPr>
                <w:sz w:val="24"/>
                <w:szCs w:val="24"/>
                <w:color w:val="auto"/>
              </w:rPr>
            </w:pPr>
          </w:p>
        </w:tc>
        <w:tc>
          <w:tcPr>
            <w:tcW w:w="720" w:type="dxa"/>
            <w:vAlign w:val="bottom"/>
            <w:tcBorders>
              <w:top w:val="single" w:sz="8" w:color="0000EE"/>
            </w:tcBorders>
            <w:gridSpan w:val="2"/>
          </w:tcPr>
          <w:p>
            <w:pPr>
              <w:spacing w:after="0"/>
              <w:rPr>
                <w:sz w:val="24"/>
                <w:szCs w:val="24"/>
                <w:color w:val="auto"/>
              </w:rPr>
            </w:pPr>
          </w:p>
        </w:tc>
        <w:tc>
          <w:tcPr>
            <w:tcW w:w="4440" w:type="dxa"/>
            <w:vAlign w:val="bottom"/>
            <w:gridSpan w:val="2"/>
          </w:tcPr>
          <w:p>
            <w:pPr>
              <w:jc w:val="right"/>
              <w:ind w:right="1608"/>
              <w:spacing w:after="0"/>
              <w:rPr>
                <w:sz w:val="20"/>
                <w:szCs w:val="20"/>
                <w:color w:val="auto"/>
              </w:rPr>
            </w:pPr>
            <w:r>
              <w:rPr>
                <w:rFonts w:ascii="Arial" w:cs="Arial" w:eastAsia="Arial" w:hAnsi="Arial"/>
                <w:sz w:val="18"/>
                <w:szCs w:val="18"/>
                <w:color w:val="auto"/>
              </w:rPr>
              <w:t>122</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300" w:type="dxa"/>
            <w:vAlign w:val="bottom"/>
            <w:gridSpan w:val="29"/>
            <w:vMerge w:val="restart"/>
          </w:tcPr>
          <w:p>
            <w:pPr>
              <w:ind w:left="5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120"/>
              <w:spacing w:after="0" w:line="170" w:lineRule="exact"/>
              <w:rPr>
                <w:sz w:val="20"/>
                <w:szCs w:val="20"/>
                <w:color w:val="auto"/>
              </w:rPr>
            </w:pPr>
            <w:r>
              <w:rPr>
                <w:rFonts w:ascii="Arial" w:cs="Arial" w:eastAsia="Arial" w:hAnsi="Arial"/>
                <w:sz w:val="18"/>
                <w:szCs w:val="18"/>
                <w:color w:val="auto"/>
              </w:rPr>
              <w:t>10.2#</w:t>
            </w:r>
          </w:p>
        </w:tc>
        <w:tc>
          <w:tcPr>
            <w:tcW w:w="7260" w:type="dxa"/>
            <w:vAlign w:val="bottom"/>
            <w:tcBorders>
              <w:bottom w:val="single" w:sz="8" w:color="0000EE"/>
            </w:tcBorders>
            <w:gridSpan w:val="19"/>
          </w:tcPr>
          <w:p>
            <w:pPr>
              <w:spacing w:after="0" w:line="170"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Form of Stock Option Agreement for Executive Officers under the Incyte Corporation Amended and</w:t>
              </w:r>
            </w:hyperlink>
          </w:p>
        </w:tc>
        <w:tc>
          <w:tcPr>
            <w:tcW w:w="6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0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Restated 2010 Stock Incentive Plan, as amended (incorporated by reference to Exhibit 10.7 to the</w:t>
              </w:r>
            </w:hyperlink>
          </w:p>
        </w:tc>
        <w:tc>
          <w:tcPr>
            <w:tcW w:w="8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Company’s Quarterly Report on Form 10-Q for the quarter ended June 30, 2016).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10.3#</w:t>
            </w:r>
          </w:p>
        </w:tc>
        <w:tc>
          <w:tcPr>
            <w:tcW w:w="7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Form of Nonstatutory Stock Option Agreement under the 2010 Stock Incentive Plan (incorporated by</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reference to Exhibit 10.4 to the Company’s Quarterly Report on Form 10-Q for the quarter ended June 30,</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2014).</w:t>
              </w:r>
            </w:hyperlink>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10.4#</w:t>
            </w:r>
          </w:p>
        </w:tc>
        <w:tc>
          <w:tcPr>
            <w:tcW w:w="77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Form of Incentive Stock Option Agreement under the 2010 Stock Incentive Plan (incorporated by reference</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4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to Exhibit 10.5 to the Company’s Quarterly Report on Form 10-Q for the quarter ended June 30, 2014).</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10.5#</w:t>
            </w:r>
          </w:p>
        </w:tc>
        <w:tc>
          <w:tcPr>
            <w:tcW w:w="7880" w:type="dxa"/>
            <w:vAlign w:val="bottom"/>
            <w:gridSpan w:val="35"/>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Form of Nonstatutory Stock Option Agreement for Outside Directors under the 2010 Stock Incentive Plan</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640" w:type="dxa"/>
            <w:vAlign w:val="bottom"/>
            <w:tcBorders>
              <w:top w:val="single" w:sz="8" w:color="0000EE"/>
            </w:tcBorders>
            <w:gridSpan w:val="30"/>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(incorporated by reference to Exhibit 10.24 to the Company’s Annual Report on Form 10-K for the year</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ended December 31, 2013).</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10.6#</w:t>
            </w:r>
          </w:p>
        </w:tc>
        <w:tc>
          <w:tcPr>
            <w:tcW w:w="74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Form of Restricted Stock Unit Award Agreement under the 2010 Stock Incentive Plan (incorporated by</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reference to Exhibit 10.6 to the Company’s Quarterly Report on Form 10-Q for the quarter ended June 30,</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2014).</w:t>
              </w:r>
            </w:hyperlink>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10.7#</w:t>
            </w:r>
          </w:p>
        </w:tc>
        <w:tc>
          <w:tcPr>
            <w:tcW w:w="774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Form of Performance Share Award Agreement under the Amended and Restated 2010 Stock Incentive Plan</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(incorporated by reference to Exhibit 10.2 to the Company's Quarterly Report on Form 10-Q for the quarter</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ended June 30, 2018).</w:t>
              </w:r>
            </w:hyperlink>
          </w:p>
        </w:tc>
        <w:tc>
          <w:tcPr>
            <w:tcW w:w="63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10.8#</w:t>
            </w:r>
          </w:p>
        </w:tc>
        <w:tc>
          <w:tcPr>
            <w:tcW w:w="75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Form of Restricted Stock Unit Award Agreement for Outside Directors under the Amended and Restated</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2010 Stock Incentive Plan (incorporated by reference to Exhibit 10.1 to the Company’s Quarterly Report on</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Form 10-Q for the quarter ended June 30, 2019).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80" w:type="dxa"/>
            <w:vAlign w:val="bottom"/>
          </w:tcPr>
          <w:p>
            <w:pPr>
              <w:ind w:left="120"/>
              <w:spacing w:after="0"/>
              <w:rPr>
                <w:sz w:val="20"/>
                <w:szCs w:val="20"/>
                <w:color w:val="auto"/>
              </w:rPr>
            </w:pPr>
            <w:r>
              <w:rPr>
                <w:rFonts w:ascii="Arial" w:cs="Arial" w:eastAsia="Arial" w:hAnsi="Arial"/>
                <w:sz w:val="18"/>
                <w:szCs w:val="18"/>
                <w:color w:val="auto"/>
              </w:rPr>
              <w:t>10.9#</w:t>
            </w:r>
          </w:p>
        </w:tc>
        <w:tc>
          <w:tcPr>
            <w:tcW w:w="7880" w:type="dxa"/>
            <w:vAlign w:val="bottom"/>
            <w:gridSpan w:val="35"/>
          </w:tcPr>
          <w:p>
            <w:pPr>
              <w:spacing w:after="0"/>
              <w:rPr>
                <w:sz w:val="20"/>
                <w:szCs w:val="20"/>
                <w:color w:val="auto"/>
              </w:rPr>
            </w:pPr>
            <w:r>
              <w:rPr>
                <w:rFonts w:ascii="Arial" w:cs="Arial" w:eastAsia="Arial" w:hAnsi="Arial"/>
                <w:sz w:val="18"/>
                <w:szCs w:val="18"/>
                <w:color w:val="auto"/>
                <w:w w:val="99"/>
              </w:rPr>
              <w:t>Form of Indemnity Agreement between the Company and its directors and officers (incorporated by</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880" w:type="dxa"/>
            <w:vAlign w:val="bottom"/>
            <w:gridSpan w:val="35"/>
          </w:tcPr>
          <w:p>
            <w:pPr>
              <w:spacing w:after="0"/>
              <w:rPr>
                <w:sz w:val="20"/>
                <w:szCs w:val="20"/>
                <w:color w:val="auto"/>
              </w:rPr>
            </w:pPr>
            <w:r>
              <w:rPr>
                <w:rFonts w:ascii="Arial" w:cs="Arial" w:eastAsia="Arial" w:hAnsi="Arial"/>
                <w:sz w:val="18"/>
                <w:szCs w:val="18"/>
                <w:color w:val="auto"/>
                <w:w w:val="97"/>
              </w:rPr>
              <w:t>reference to Exhibit 10.5 to the Company’s Registration Statement on Form S-1 (File No. 33 68138)).</w:t>
            </w:r>
          </w:p>
        </w:tc>
        <w:tc>
          <w:tcPr>
            <w:tcW w:w="0" w:type="dxa"/>
            <w:vAlign w:val="bottom"/>
          </w:tcPr>
          <w:p>
            <w:pPr>
              <w:spacing w:after="0"/>
              <w:rPr>
                <w:sz w:val="1"/>
                <w:szCs w:val="1"/>
                <w:color w:val="auto"/>
              </w:rPr>
            </w:pPr>
          </w:p>
        </w:tc>
      </w:tr>
      <w:tr>
        <w:trPr>
          <w:trHeight w:val="190"/>
        </w:trPr>
        <w:tc>
          <w:tcPr>
            <w:tcW w:w="1180" w:type="dxa"/>
            <w:vAlign w:val="bottom"/>
          </w:tcPr>
          <w:p>
            <w:pPr>
              <w:ind w:left="120"/>
              <w:spacing w:after="0" w:line="190" w:lineRule="exact"/>
              <w:rPr>
                <w:sz w:val="20"/>
                <w:szCs w:val="20"/>
                <w:color w:val="auto"/>
              </w:rPr>
            </w:pPr>
            <w:r>
              <w:rPr>
                <w:rFonts w:ascii="Arial" w:cs="Arial" w:eastAsia="Arial" w:hAnsi="Arial"/>
                <w:sz w:val="18"/>
                <w:szCs w:val="18"/>
                <w:color w:val="auto"/>
              </w:rPr>
              <w:t>10.10#</w:t>
            </w:r>
          </w:p>
        </w:tc>
        <w:tc>
          <w:tcPr>
            <w:tcW w:w="7880" w:type="dxa"/>
            <w:vAlign w:val="bottom"/>
            <w:gridSpan w:val="35"/>
          </w:tcPr>
          <w:p>
            <w:pPr>
              <w:spacing w:after="0" w:line="190" w:lineRule="exact"/>
              <w:rPr>
                <w:rFonts w:ascii="Arial" w:cs="Arial" w:eastAsia="Arial" w:hAnsi="Arial"/>
                <w:sz w:val="18"/>
                <w:szCs w:val="18"/>
                <w:color w:val="0000EE"/>
                <w:w w:val="96"/>
              </w:rPr>
            </w:pPr>
            <w:hyperlink r:id="rId154">
              <w:r>
                <w:rPr>
                  <w:rFonts w:ascii="Arial" w:cs="Arial" w:eastAsia="Arial" w:hAnsi="Arial"/>
                  <w:sz w:val="18"/>
                  <w:szCs w:val="18"/>
                  <w:color w:val="0000EE"/>
                  <w:w w:val="96"/>
                </w:rPr>
                <w:t>1997 Employee Stock Purchase Plan of Incyte Corporation, as amended (incorporated by reference to</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Exhibit 10.2 to the Company’s Current Report on Form 8-K filed May 27, 2016).</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10.11#</w:t>
            </w:r>
          </w:p>
        </w:tc>
        <w:tc>
          <w:tcPr>
            <w:tcW w:w="76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Form of Employment Agreement between the Company and Barry P. Flannelly (effective as of August 11,</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6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2014)</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Christiana Stamoulis (effective as of February 11, 2019), Steven H. Stein (effective as of March 2,</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2015)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Vijay K. Iyengar (effective as of May 9, 2016), Maria E. Pasquale (effective as of April 9, 2018) and</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5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Dashyant Dhanak (effective as of December 10, 2018) (incorporated by reference to Exhibit 10.14 to the</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Company’s Annual Report on Form 10-K for the year ended December 31, 2012).</w:t>
              </w:r>
            </w:hyperlink>
          </w:p>
        </w:tc>
        <w:tc>
          <w:tcPr>
            <w:tcW w:w="19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10.12#</w:t>
            </w:r>
          </w:p>
        </w:tc>
        <w:tc>
          <w:tcPr>
            <w:tcW w:w="73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Form of Amended and Restated Employment Agreement, effective as of April 18, 2012, between the</w:t>
              </w:r>
            </w:hyperlink>
          </w:p>
        </w:tc>
        <w:tc>
          <w:tcPr>
            <w:tcW w:w="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0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Company and Paula J. Swain and Wenqing Yao (incorporated by reference to Exhibit 10.14 to the</w:t>
              </w:r>
            </w:hyperlink>
          </w:p>
        </w:tc>
        <w:tc>
          <w:tcPr>
            <w:tcW w:w="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Company’s Quarterly Report on Form 10-Q for the quarter ended March 31, 2012).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10.13#</w:t>
            </w:r>
          </w:p>
        </w:tc>
        <w:tc>
          <w:tcPr>
            <w:tcW w:w="71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Offer of Employment Letter, dated December 14, 2018, from the Company to Christiana Stamoulis</w:t>
              </w:r>
            </w:hyperlink>
          </w:p>
        </w:tc>
        <w:tc>
          <w:tcPr>
            <w:tcW w:w="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(incorporated by reference to Exhibit 10.2 to the Company’s Quarterly Report on Form 10-Q for the quarter</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ended March 31, 2019).</w:t>
              </w:r>
            </w:hyperlink>
          </w:p>
        </w:tc>
        <w:tc>
          <w:tcPr>
            <w:tcW w:w="61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10.14#</w:t>
            </w:r>
          </w:p>
        </w:tc>
        <w:tc>
          <w:tcPr>
            <w:tcW w:w="756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Amended and Restated Employment Agreement between the Company and Hervé Hoppenot, dated as of</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5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October 25, 2019 (incorporated by reference to Exhibit 10.3 to the Company’s Quarterly Report on Form</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10-Q for the quarter ended September 30, 2019).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10.15†</w:t>
            </w:r>
          </w:p>
        </w:tc>
        <w:tc>
          <w:tcPr>
            <w:tcW w:w="77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Collaboration and License Agreement entered into as of November 24, 2009, by and between the Company</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and Novartis International Pharmaceutical Ltd. (incorporated by reference to Exhibit 10.1 to the Company’s</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Quarterly Report on Form 10-Q for the quarter ended September 30, 2019).</w:t>
              </w:r>
            </w:hyperlink>
          </w:p>
        </w:tc>
        <w:tc>
          <w:tcPr>
            <w:tcW w:w="2320" w:type="dxa"/>
            <w:vAlign w:val="bottom"/>
            <w:tcBorders>
              <w:top w:val="single" w:sz="8" w:color="0000EE"/>
            </w:tcBorders>
            <w:gridSpan w:val="2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10.15.1†</w:t>
            </w:r>
          </w:p>
        </w:tc>
        <w:tc>
          <w:tcPr>
            <w:tcW w:w="70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Amendment, dated as of April 5, 2016, to Collaboration and License Agreement entered into as of</w:t>
              </w:r>
            </w:hyperlink>
          </w:p>
        </w:tc>
        <w:tc>
          <w:tcPr>
            <w:tcW w:w="8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November 24, 2009, by and between the Company and Novartis International Pharmaceutical Ltd.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720" w:type="dxa"/>
            <w:vAlign w:val="bottom"/>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3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(incorporated by reference to Exhibit 10.1.1 to the Company’s Quarterly Report on Form 10-Q for the</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60">
              <w:r>
                <w:rPr>
                  <w:rFonts w:ascii="Arial" w:cs="Arial" w:eastAsia="Arial" w:hAnsi="Arial"/>
                  <w:sz w:val="18"/>
                  <w:szCs w:val="18"/>
                  <w:color w:val="0000EE"/>
                  <w:w w:val="87"/>
                </w:rPr>
                <w:t>quarter ended September 30, 2019).</w:t>
              </w:r>
            </w:hyperlink>
          </w:p>
        </w:tc>
        <w:tc>
          <w:tcPr>
            <w:tcW w:w="53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10.16†</w:t>
            </w:r>
          </w:p>
        </w:tc>
        <w:tc>
          <w:tcPr>
            <w:tcW w:w="75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License, Development and Commercialization Agreement, entered into as of December 18, 2009, by and</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between the Company and Eli Lilly and Company (incorporated by reference to Exhibit 10.2 to the</w:t>
              </w:r>
            </w:hyperlink>
          </w:p>
        </w:tc>
        <w:tc>
          <w:tcPr>
            <w:tcW w:w="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Company’s Quarterly Report on Form 10-Q for the quarter ended September 30, 2019).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760" w:type="dxa"/>
            <w:vAlign w:val="bottom"/>
            <w:gridSpan w:val="10"/>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10.16.1†</w:t>
            </w:r>
          </w:p>
        </w:tc>
        <w:tc>
          <w:tcPr>
            <w:tcW w:w="7880" w:type="dxa"/>
            <w:vAlign w:val="bottom"/>
            <w:gridSpan w:val="35"/>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Amendment, dated June 22, 2010, to License, Development and Commercialization Agreement entered into</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as of December 18, 2009, by and between the Company and Eli Lilly and Company (incorporated by</w:t>
              </w:r>
            </w:hyperlink>
          </w:p>
        </w:tc>
        <w:tc>
          <w:tcPr>
            <w:tcW w:w="500" w:type="dxa"/>
            <w:vAlign w:val="bottom"/>
            <w:tcBorders>
              <w:top w:val="single" w:sz="8" w:color="0000EE"/>
            </w:tcBorders>
            <w:gridSpan w:val="1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5"/>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reference to Exhibit 10.2.1 to the Company’s Quarterly Report on Form 10-Q for the quarter ended</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September 30, 2019).</w:t>
              </w:r>
            </w:hyperlink>
          </w:p>
        </w:tc>
        <w:tc>
          <w:tcPr>
            <w:tcW w:w="7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300" w:type="dxa"/>
            <w:vAlign w:val="bottom"/>
            <w:gridSpan w:val="31"/>
            <w:vMerge w:val="restart"/>
          </w:tcPr>
          <w:p>
            <w:pPr>
              <w:ind w:left="5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120"/>
              <w:spacing w:after="0" w:line="170" w:lineRule="exact"/>
              <w:rPr>
                <w:sz w:val="20"/>
                <w:szCs w:val="20"/>
                <w:color w:val="auto"/>
              </w:rPr>
            </w:pPr>
            <w:r>
              <w:rPr>
                <w:rFonts w:ascii="Arial" w:cs="Arial" w:eastAsia="Arial" w:hAnsi="Arial"/>
                <w:sz w:val="18"/>
                <w:szCs w:val="18"/>
                <w:color w:val="auto"/>
              </w:rPr>
              <w:t>10.16.2†</w:t>
            </w:r>
          </w:p>
        </w:tc>
        <w:tc>
          <w:tcPr>
            <w:tcW w:w="7760" w:type="dxa"/>
            <w:vAlign w:val="bottom"/>
            <w:tcBorders>
              <w:bottom w:val="single" w:sz="8" w:color="0000EE"/>
            </w:tcBorders>
            <w:gridSpan w:val="35"/>
          </w:tcPr>
          <w:p>
            <w:pPr>
              <w:spacing w:after="0" w:line="170"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Third Amendment, entered into effective March 31, 2016, to License, Development and Commercialization</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8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Agreement entered into as of December 18, 2009, by and between the Company and Eli Lilly and Company</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3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(incorporated by reference to Exhibit 10.2.2 to the Company’s Quarterly Report on Form 10-Q for the</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64">
              <w:r>
                <w:rPr>
                  <w:rFonts w:ascii="Arial" w:cs="Arial" w:eastAsia="Arial" w:hAnsi="Arial"/>
                  <w:sz w:val="18"/>
                  <w:szCs w:val="18"/>
                  <w:color w:val="0000EE"/>
                  <w:w w:val="87"/>
                </w:rPr>
                <w:t>quarter ended September 30, 2019).</w:t>
              </w:r>
            </w:hyperlink>
          </w:p>
        </w:tc>
        <w:tc>
          <w:tcPr>
            <w:tcW w:w="53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10.16.3†</w:t>
            </w:r>
          </w:p>
        </w:tc>
        <w:tc>
          <w:tcPr>
            <w:tcW w:w="7880" w:type="dxa"/>
            <w:vAlign w:val="bottom"/>
            <w:gridSpan w:val="3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Fourth Amendment, entered into effective December 13, 2016, to License, Development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7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Commercialization Agreement entered into as of December 18, 2009, by and between the Company and Eli</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Lilly and Company (incorporated by reference to Exhibit 10.21.4 to Amendment No. 2 on Form 10-K/A to</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1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the Company’s Annual Report on Form 10-K for the year ended December 31, 2016).</w:t>
              </w:r>
            </w:hyperlink>
          </w:p>
        </w:tc>
        <w:tc>
          <w:tcPr>
            <w:tcW w:w="17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10.17†</w:t>
            </w:r>
          </w:p>
        </w:tc>
        <w:tc>
          <w:tcPr>
            <w:tcW w:w="76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License, Development and Commercialization Agreement, dated as of January 9, 2015, by and among the</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Company, Incyte Europe S.à.r.l. (a wholly owned subsidiary of the Company), Agenus Inc. and 4-Antibody</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7"/>
          </w:tcPr>
          <w:p>
            <w:pPr>
              <w:spacing w:after="0" w:line="196"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AG (incorporated by reference to Exhibit 10.1 to the Company’s Quarterly Report on Form 10-Q for the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quarter ended March 31, 2015).</w:t>
              </w:r>
            </w:hyperlink>
          </w:p>
        </w:tc>
        <w:tc>
          <w:tcPr>
            <w:tcW w:w="5220" w:type="dxa"/>
            <w:vAlign w:val="bottom"/>
            <w:tcBorders>
              <w:top w:val="single" w:sz="8" w:color="0000EE"/>
            </w:tcBorders>
            <w:gridSpan w:val="20"/>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60"/>
              <w:spacing w:after="0" w:line="196" w:lineRule="exact"/>
              <w:rPr>
                <w:sz w:val="20"/>
                <w:szCs w:val="20"/>
                <w:color w:val="auto"/>
              </w:rPr>
            </w:pPr>
            <w:r>
              <w:rPr>
                <w:rFonts w:ascii="Arial" w:cs="Arial" w:eastAsia="Arial" w:hAnsi="Arial"/>
                <w:sz w:val="18"/>
                <w:szCs w:val="18"/>
                <w:color w:val="auto"/>
              </w:rPr>
              <w:t>10.17.1†</w:t>
            </w:r>
          </w:p>
        </w:tc>
        <w:tc>
          <w:tcPr>
            <w:tcW w:w="7880" w:type="dxa"/>
            <w:vAlign w:val="bottom"/>
            <w:gridSpan w:val="37"/>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First Amendment, dated as of February 14, 2017, to License, Development and Commercialization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74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Agreement entered into as of January 9, 2015, by and among the Company, Incyte Europe S.à.r.l. (a wholly</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7"/>
          </w:tcPr>
          <w:p>
            <w:pPr>
              <w:spacing w:after="0" w:line="196" w:lineRule="exact"/>
              <w:rPr>
                <w:rFonts w:ascii="Arial" w:cs="Arial" w:eastAsia="Arial" w:hAnsi="Arial"/>
                <w:sz w:val="18"/>
                <w:szCs w:val="18"/>
                <w:color w:val="0000EE"/>
                <w:w w:val="99"/>
              </w:rPr>
            </w:pPr>
            <w:hyperlink r:id="rId167">
              <w:r>
                <w:rPr>
                  <w:rFonts w:ascii="Arial" w:cs="Arial" w:eastAsia="Arial" w:hAnsi="Arial"/>
                  <w:sz w:val="18"/>
                  <w:szCs w:val="18"/>
                  <w:color w:val="0000EE"/>
                  <w:w w:val="99"/>
                </w:rPr>
                <w:t>owned subsidiary of the Company), Agenus Inc. and Agenus Switzerland Inc. (f/k/a 4-Antibody AG)</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7"/>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(incorporated by reference to Exhibit 10.1 to the Company's Quarterly Report on Form 10-Q for the quarter</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ended March 31, 2017).</w:t>
              </w:r>
            </w:hyperlink>
          </w:p>
        </w:tc>
        <w:tc>
          <w:tcPr>
            <w:tcW w:w="6020" w:type="dxa"/>
            <w:vAlign w:val="bottom"/>
            <w:tcBorders>
              <w:top w:val="single" w:sz="8" w:color="0000EE"/>
            </w:tcBorders>
            <w:gridSpan w:val="31"/>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10.18†</w:t>
            </w:r>
          </w:p>
        </w:tc>
        <w:tc>
          <w:tcPr>
            <w:tcW w:w="7880" w:type="dxa"/>
            <w:vAlign w:val="bottom"/>
            <w:gridSpan w:val="37"/>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Amended and Restated Buy-In License Agreement, dated as of June 1, 2016, between ARIAD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9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Pharmaceuticals, Inc., ARIAD Pharmaceuticals (Europe) S.à.r.l. and the Company, as guarantor</w:t>
              </w:r>
            </w:hyperlink>
          </w:p>
        </w:tc>
        <w:tc>
          <w:tcPr>
            <w:tcW w:w="9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(incorporated by reference to Exhibit 10.3 to Amendment No. 1 on Form 10-Q/A to the Company’s</w:t>
              </w:r>
            </w:hyperlink>
          </w:p>
        </w:tc>
        <w:tc>
          <w:tcPr>
            <w:tcW w:w="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Quarterly Report on Form 10-Q for the quarter ended June 30, 2016).</w:t>
              </w:r>
            </w:hyperlink>
          </w:p>
        </w:tc>
        <w:tc>
          <w:tcPr>
            <w:tcW w:w="28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10.19†</w:t>
            </w:r>
          </w:p>
        </w:tc>
        <w:tc>
          <w:tcPr>
            <w:tcW w:w="77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Collaboration and License Agreement, dated December 20, 2016, by and between the Company and Merus</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72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N.V. (incorporated by reference to Exhibit 10.27 to Amendment No. 2 on Form 10-K/A to the Company’s</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Annual Report on Form 10-K for the year ended December 31, 2016).</w:t>
              </w:r>
            </w:hyperlink>
          </w:p>
        </w:tc>
        <w:tc>
          <w:tcPr>
            <w:tcW w:w="28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60"/>
              <w:spacing w:after="0" w:line="196" w:lineRule="exact"/>
              <w:rPr>
                <w:sz w:val="20"/>
                <w:szCs w:val="20"/>
                <w:color w:val="auto"/>
              </w:rPr>
            </w:pPr>
            <w:r>
              <w:rPr>
                <w:rFonts w:ascii="Arial" w:cs="Arial" w:eastAsia="Arial" w:hAnsi="Arial"/>
                <w:sz w:val="18"/>
                <w:szCs w:val="18"/>
                <w:color w:val="auto"/>
              </w:rPr>
              <w:t>10.20†</w:t>
            </w:r>
          </w:p>
        </w:tc>
        <w:tc>
          <w:tcPr>
            <w:tcW w:w="7880" w:type="dxa"/>
            <w:vAlign w:val="bottom"/>
            <w:gridSpan w:val="37"/>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Global Collaboration and License Agreement, dated October 24, 2017, by and between the Company and</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580" w:type="dxa"/>
            <w:vAlign w:val="bottom"/>
            <w:tcBorders>
              <w:top w:val="single" w:sz="8" w:color="0000EE"/>
            </w:tcBorders>
            <w:gridSpan w:val="27"/>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MacroGenics, Inc. (incorporated by reference to Exhibit 10.23 to the Company's Annual Report on Form</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10-K for the year ended December 31, 2017).</w:t>
              </w:r>
            </w:hyperlink>
          </w:p>
        </w:tc>
        <w:tc>
          <w:tcPr>
            <w:tcW w:w="4280" w:type="dxa"/>
            <w:vAlign w:val="bottom"/>
            <w:tcBorders>
              <w:top w:val="single" w:sz="8" w:color="0000EE"/>
            </w:tcBorders>
            <w:gridSpan w:val="19"/>
          </w:tcPr>
          <w:p>
            <w:pPr>
              <w:spacing w:after="0"/>
              <w:rPr>
                <w:sz w:val="17"/>
                <w:szCs w:val="17"/>
                <w:color w:val="auto"/>
              </w:rPr>
            </w:pP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60"/>
              <w:spacing w:after="0" w:line="196" w:lineRule="exact"/>
              <w:rPr>
                <w:sz w:val="20"/>
                <w:szCs w:val="20"/>
                <w:color w:val="auto"/>
              </w:rPr>
            </w:pPr>
            <w:r>
              <w:rPr>
                <w:rFonts w:ascii="Arial" w:cs="Arial" w:eastAsia="Arial" w:hAnsi="Arial"/>
                <w:sz w:val="18"/>
                <w:szCs w:val="18"/>
                <w:color w:val="auto"/>
              </w:rPr>
              <w:t>10.20.1†</w:t>
            </w:r>
          </w:p>
        </w:tc>
        <w:tc>
          <w:tcPr>
            <w:tcW w:w="7880" w:type="dxa"/>
            <w:vAlign w:val="bottom"/>
            <w:gridSpan w:val="37"/>
          </w:tcPr>
          <w:p>
            <w:pPr>
              <w:spacing w:after="0" w:line="19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Amendment No. 1, dated as of March 15, 2018, to Global Collaboration and License Agreement, dated</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420" w:type="dxa"/>
            <w:vAlign w:val="bottom"/>
            <w:tcBorders>
              <w:top w:val="single" w:sz="8" w:color="0000EE"/>
            </w:tcBorders>
            <w:gridSpan w:val="24"/>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October 24, 2017, by and between the Company and MacroGenics, Inc. (incorporated by reference to</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20" w:type="dxa"/>
            <w:vAlign w:val="bottom"/>
            <w:gridSpan w:val="8"/>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3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Exhibit 10.1 to the Company's Quarterly Report on Form 10-Q for the quarter ended March 31, 2018).</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10.21</w:t>
            </w:r>
          </w:p>
        </w:tc>
        <w:tc>
          <w:tcPr>
            <w:tcW w:w="7880" w:type="dxa"/>
            <w:vAlign w:val="bottom"/>
            <w:gridSpan w:val="3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Registration Rights Agreement, dated as of February 12, 2016, between the Company and 667, L.P., Baker</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Brothers Life Sciences, L.P. and 14159, L.P. (incorporated by reference to Exhibit 10.28 to the Company’s</w:t>
              </w:r>
            </w:hyperlink>
          </w:p>
        </w:tc>
        <w:tc>
          <w:tcPr>
            <w:tcW w:w="20" w:type="dxa"/>
            <w:vAlign w:val="bottom"/>
            <w:tcBorders>
              <w:top w:val="single" w:sz="8" w:color="0000EE"/>
            </w:tcBorders>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Annual Report on Form 10-K for the year ended December 31, 2015).</w:t>
              </w:r>
            </w:hyperlink>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21.1*</w:t>
            </w:r>
          </w:p>
        </w:tc>
        <w:tc>
          <w:tcPr>
            <w:tcW w:w="2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Subsidiaries of the Company.</w:t>
              </w:r>
            </w:hyperlink>
          </w:p>
        </w:tc>
        <w:tc>
          <w:tcPr>
            <w:tcW w:w="2920" w:type="dxa"/>
            <w:vAlign w:val="bottom"/>
            <w:tcBorders>
              <w:top w:val="single" w:sz="8" w:color="0000EE"/>
            </w:tcBorders>
            <w:gridSpan w:val="7"/>
          </w:tcPr>
          <w:p>
            <w:pPr>
              <w:spacing w:after="0"/>
              <w:rPr>
                <w:sz w:val="17"/>
                <w:szCs w:val="17"/>
                <w:color w:val="auto"/>
              </w:rPr>
            </w:pPr>
          </w:p>
        </w:tc>
        <w:tc>
          <w:tcPr>
            <w:tcW w:w="28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23.1*</w:t>
            </w:r>
          </w:p>
        </w:tc>
        <w:tc>
          <w:tcPr>
            <w:tcW w:w="5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Consent of Ernst &amp; Young LLP, Independent Registered Public Accounting Firm.</w:t>
              </w:r>
            </w:hyperlink>
          </w:p>
        </w:tc>
        <w:tc>
          <w:tcPr>
            <w:tcW w:w="20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24.1*</w:t>
            </w:r>
          </w:p>
        </w:tc>
        <w:tc>
          <w:tcPr>
            <w:tcW w:w="7880" w:type="dxa"/>
            <w:vAlign w:val="bottom"/>
            <w:gridSpan w:val="3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Power of Attorney.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1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31.1*</w:t>
            </w:r>
          </w:p>
        </w:tc>
        <w:tc>
          <w:tcPr>
            <w:tcW w:w="7880" w:type="dxa"/>
            <w:vAlign w:val="bottom"/>
            <w:gridSpan w:val="3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Rule 13a 14(a) Certification of the Chief Executive Officer.</w:t>
              </w:r>
            </w:hyperlink>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31.2*</w:t>
            </w:r>
          </w:p>
        </w:tc>
        <w:tc>
          <w:tcPr>
            <w:tcW w:w="4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Rule 13a 14(a) Certification of the Chief Financial Officer.</w:t>
              </w:r>
            </w:hyperlink>
          </w:p>
        </w:tc>
        <w:tc>
          <w:tcPr>
            <w:tcW w:w="40" w:type="dxa"/>
            <w:vAlign w:val="bottom"/>
            <w:tcBorders>
              <w:top w:val="single" w:sz="8" w:color="0000EE"/>
            </w:tcBorders>
          </w:tcPr>
          <w:p>
            <w:pPr>
              <w:spacing w:after="0"/>
              <w:rPr>
                <w:sz w:val="17"/>
                <w:szCs w:val="17"/>
                <w:color w:val="auto"/>
              </w:rPr>
            </w:pPr>
          </w:p>
        </w:tc>
        <w:tc>
          <w:tcPr>
            <w:tcW w:w="36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32.1**</w:t>
            </w:r>
          </w:p>
        </w:tc>
        <w:tc>
          <w:tcPr>
            <w:tcW w:w="76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Statement of the Chief Executive Officer under Section 906 of the Sarbanes Oxley Act of 2002 (18 U.S.C</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880" w:type="dxa"/>
            <w:vAlign w:val="bottom"/>
            <w:gridSpan w:val="37"/>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520" w:type="dxa"/>
            <w:vAlign w:val="bottom"/>
            <w:gridSpan w:val="25"/>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20"/>
              <w:spacing w:after="0" w:line="196" w:lineRule="exact"/>
              <w:rPr>
                <w:sz w:val="20"/>
                <w:szCs w:val="20"/>
                <w:color w:val="auto"/>
              </w:rPr>
            </w:pPr>
            <w:r>
              <w:rPr>
                <w:rFonts w:ascii="Arial" w:cs="Arial" w:eastAsia="Arial" w:hAnsi="Arial"/>
                <w:sz w:val="18"/>
                <w:szCs w:val="18"/>
                <w:color w:val="auto"/>
              </w:rPr>
              <w:t>32.2**</w:t>
            </w:r>
          </w:p>
        </w:tc>
        <w:tc>
          <w:tcPr>
            <w:tcW w:w="7880" w:type="dxa"/>
            <w:vAlign w:val="bottom"/>
            <w:gridSpan w:val="37"/>
          </w:tcPr>
          <w:p>
            <w:pPr>
              <w:spacing w:after="0" w:line="19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Statement of the Chief Financial Officer under Section 906 of the Sarbanes Oxley Act of 2002 (18 U.S.C</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75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Section 1350).</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4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80" w:type="dxa"/>
            <w:vAlign w:val="bottom"/>
          </w:tcPr>
          <w:p>
            <w:pPr>
              <w:ind w:left="60"/>
              <w:spacing w:after="0"/>
              <w:rPr>
                <w:sz w:val="20"/>
                <w:szCs w:val="20"/>
                <w:color w:val="auto"/>
              </w:rPr>
            </w:pPr>
            <w:r>
              <w:rPr>
                <w:rFonts w:ascii="Arial" w:cs="Arial" w:eastAsia="Arial" w:hAnsi="Arial"/>
                <w:sz w:val="18"/>
                <w:szCs w:val="18"/>
                <w:color w:val="auto"/>
              </w:rPr>
              <w:t>101</w:t>
            </w:r>
          </w:p>
        </w:tc>
        <w:tc>
          <w:tcPr>
            <w:tcW w:w="7880" w:type="dxa"/>
            <w:vAlign w:val="bottom"/>
            <w:gridSpan w:val="37"/>
          </w:tcPr>
          <w:p>
            <w:pPr>
              <w:spacing w:after="0"/>
              <w:rPr>
                <w:sz w:val="20"/>
                <w:szCs w:val="20"/>
                <w:color w:val="auto"/>
              </w:rPr>
            </w:pPr>
            <w:r>
              <w:rPr>
                <w:rFonts w:ascii="Arial" w:cs="Arial" w:eastAsia="Arial" w:hAnsi="Arial"/>
                <w:sz w:val="18"/>
                <w:szCs w:val="18"/>
                <w:color w:val="auto"/>
                <w:w w:val="91"/>
              </w:rPr>
              <w:t>XBRL Instance – the instance document does not appear in the Interactive Data File because its XBRL tags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7880" w:type="dxa"/>
            <w:vAlign w:val="bottom"/>
            <w:gridSpan w:val="37"/>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16"/>
        </w:trPr>
        <w:tc>
          <w:tcPr>
            <w:tcW w:w="1180" w:type="dxa"/>
            <w:vAlign w:val="bottom"/>
          </w:tcPr>
          <w:p>
            <w:pPr>
              <w:ind w:left="60"/>
              <w:spacing w:after="0"/>
              <w:rPr>
                <w:sz w:val="20"/>
                <w:szCs w:val="20"/>
                <w:color w:val="auto"/>
              </w:rPr>
            </w:pPr>
            <w:r>
              <w:rPr>
                <w:rFonts w:ascii="Arial" w:cs="Arial" w:eastAsia="Arial" w:hAnsi="Arial"/>
                <w:sz w:val="18"/>
                <w:szCs w:val="18"/>
                <w:color w:val="auto"/>
              </w:rPr>
              <w:t>101.INS*</w:t>
            </w:r>
          </w:p>
        </w:tc>
        <w:tc>
          <w:tcPr>
            <w:tcW w:w="7880" w:type="dxa"/>
            <w:vAlign w:val="bottom"/>
            <w:gridSpan w:val="3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80" w:type="dxa"/>
            <w:vAlign w:val="bottom"/>
          </w:tcPr>
          <w:p>
            <w:pPr>
              <w:ind w:left="60"/>
              <w:spacing w:after="0"/>
              <w:rPr>
                <w:sz w:val="20"/>
                <w:szCs w:val="20"/>
                <w:color w:val="auto"/>
              </w:rPr>
            </w:pPr>
            <w:r>
              <w:rPr>
                <w:rFonts w:ascii="Arial" w:cs="Arial" w:eastAsia="Arial" w:hAnsi="Arial"/>
                <w:sz w:val="18"/>
                <w:szCs w:val="18"/>
                <w:color w:val="auto"/>
              </w:rPr>
              <w:t>101.SCH*</w:t>
            </w:r>
          </w:p>
        </w:tc>
        <w:tc>
          <w:tcPr>
            <w:tcW w:w="7880" w:type="dxa"/>
            <w:vAlign w:val="bottom"/>
            <w:gridSpan w:val="3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80" w:type="dxa"/>
            <w:vAlign w:val="bottom"/>
          </w:tcPr>
          <w:p>
            <w:pPr>
              <w:ind w:left="60"/>
              <w:spacing w:after="0"/>
              <w:rPr>
                <w:sz w:val="20"/>
                <w:szCs w:val="20"/>
                <w:color w:val="auto"/>
              </w:rPr>
            </w:pPr>
            <w:r>
              <w:rPr>
                <w:rFonts w:ascii="Arial" w:cs="Arial" w:eastAsia="Arial" w:hAnsi="Arial"/>
                <w:sz w:val="18"/>
                <w:szCs w:val="18"/>
                <w:color w:val="auto"/>
              </w:rPr>
              <w:t>101.CAL*</w:t>
            </w:r>
          </w:p>
        </w:tc>
        <w:tc>
          <w:tcPr>
            <w:tcW w:w="7880" w:type="dxa"/>
            <w:vAlign w:val="bottom"/>
            <w:gridSpan w:val="3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80" w:type="dxa"/>
            <w:vAlign w:val="bottom"/>
          </w:tcPr>
          <w:p>
            <w:pPr>
              <w:ind w:left="60"/>
              <w:spacing w:after="0"/>
              <w:rPr>
                <w:sz w:val="20"/>
                <w:szCs w:val="20"/>
                <w:color w:val="auto"/>
              </w:rPr>
            </w:pPr>
            <w:r>
              <w:rPr>
                <w:rFonts w:ascii="Arial" w:cs="Arial" w:eastAsia="Arial" w:hAnsi="Arial"/>
                <w:sz w:val="18"/>
                <w:szCs w:val="18"/>
                <w:color w:val="auto"/>
              </w:rPr>
              <w:t>101.LAB*</w:t>
            </w:r>
          </w:p>
        </w:tc>
        <w:tc>
          <w:tcPr>
            <w:tcW w:w="7880" w:type="dxa"/>
            <w:vAlign w:val="bottom"/>
            <w:gridSpan w:val="3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180" w:type="dxa"/>
            <w:vAlign w:val="bottom"/>
          </w:tcPr>
          <w:p>
            <w:pPr>
              <w:ind w:left="60"/>
              <w:spacing w:after="0"/>
              <w:rPr>
                <w:sz w:val="20"/>
                <w:szCs w:val="20"/>
                <w:color w:val="auto"/>
              </w:rPr>
            </w:pPr>
            <w:r>
              <w:rPr>
                <w:rFonts w:ascii="Arial" w:cs="Arial" w:eastAsia="Arial" w:hAnsi="Arial"/>
                <w:sz w:val="18"/>
                <w:szCs w:val="18"/>
                <w:color w:val="auto"/>
              </w:rPr>
              <w:t>101.PRE*</w:t>
            </w:r>
          </w:p>
        </w:tc>
        <w:tc>
          <w:tcPr>
            <w:tcW w:w="7880" w:type="dxa"/>
            <w:vAlign w:val="bottom"/>
            <w:gridSpan w:val="37"/>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30"/>
        </w:trPr>
        <w:tc>
          <w:tcPr>
            <w:tcW w:w="1180" w:type="dxa"/>
            <w:vAlign w:val="bottom"/>
          </w:tcPr>
          <w:p>
            <w:pPr>
              <w:ind w:left="60"/>
              <w:spacing w:after="0"/>
              <w:rPr>
                <w:sz w:val="20"/>
                <w:szCs w:val="20"/>
                <w:color w:val="auto"/>
              </w:rPr>
            </w:pPr>
            <w:r>
              <w:rPr>
                <w:rFonts w:ascii="Arial" w:cs="Arial" w:eastAsia="Arial" w:hAnsi="Arial"/>
                <w:sz w:val="18"/>
                <w:szCs w:val="18"/>
                <w:color w:val="auto"/>
              </w:rPr>
              <w:t>101.DEF*</w:t>
            </w:r>
          </w:p>
        </w:tc>
        <w:tc>
          <w:tcPr>
            <w:tcW w:w="7880" w:type="dxa"/>
            <w:vAlign w:val="bottom"/>
            <w:gridSpan w:val="37"/>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ind w:left="1180" w:hanging="1112"/>
        <w:spacing w:after="0"/>
        <w:tabs>
          <w:tab w:leader="none" w:pos="11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4408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658"/>
        <w:spacing w:after="0" w:line="273"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70" w:lineRule="exact"/>
        <w:rPr>
          <w:sz w:val="20"/>
          <w:szCs w:val="20"/>
          <w:color w:val="auto"/>
        </w:rPr>
      </w:pPr>
    </w:p>
    <w:p>
      <w:pPr>
        <w:ind w:left="660" w:hanging="65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these agreements.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Copies of above exhibits not contained herein are available to any stockholder upon written request to: Investor Relations, Incyte Corporation, 1801 Augustine Cut-Off, Wilmington, DE 19803.</w:t>
      </w:r>
    </w:p>
    <w:p>
      <w:pPr>
        <w:spacing w:after="0" w:line="166" w:lineRule="exact"/>
        <w:rPr>
          <w:sz w:val="20"/>
          <w:szCs w:val="20"/>
          <w:color w:val="auto"/>
        </w:rPr>
      </w:pPr>
    </w:p>
    <w:p>
      <w:pPr>
        <w:ind w:left="660" w:right="5360" w:hanging="658"/>
        <w:spacing w:after="0" w:line="563" w:lineRule="auto"/>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and Schedules </w:t>
      </w:r>
      <w:r>
        <w:rPr>
          <w:rFonts w:ascii="Arial" w:cs="Arial" w:eastAsia="Arial" w:hAnsi="Arial"/>
          <w:sz w:val="16"/>
          <w:szCs w:val="16"/>
          <w:color w:val="auto"/>
        </w:rPr>
        <w:t>Reference is made to Item 15(a)(2) above.</w:t>
      </w:r>
    </w:p>
    <w:p>
      <w:pPr>
        <w:spacing w:after="0" w:line="1" w:lineRule="exact"/>
        <w:rPr>
          <w:sz w:val="20"/>
          <w:szCs w:val="20"/>
          <w:color w:val="auto"/>
        </w:rPr>
      </w:pPr>
    </w:p>
    <w:p>
      <w:pPr>
        <w:jc w:val="center"/>
        <w:ind w:right="6700"/>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Form 10-K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INCYTE CORPORATION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5715</wp:posOffset>
            </wp:positionV>
            <wp:extent cx="24441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Hervé Hoppenot</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Chairman, President, and 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Hervé Hoppenot, Christiana Stamoulis, and Maria E. Pasquale, and each of them, his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1"/>
              </w:rPr>
              <w:t>Chairman, President, and Chief Executive Officer (Principal</w:t>
            </w:r>
          </w:p>
        </w:tc>
        <w:tc>
          <w:tcPr>
            <w:tcW w:w="120" w:type="dxa"/>
            <w:vAlign w:val="bottom"/>
          </w:tcPr>
          <w:p>
            <w:pPr>
              <w:spacing w:after="0"/>
              <w:rPr>
                <w:sz w:val="18"/>
                <w:szCs w:val="18"/>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2"/>
              </w:rPr>
              <w:t>/s/ H</w:t>
            </w:r>
            <w:r>
              <w:rPr>
                <w:rFonts w:ascii="Arial" w:cs="Arial" w:eastAsia="Arial" w:hAnsi="Arial"/>
                <w:sz w:val="12"/>
                <w:szCs w:val="12"/>
                <w:color w:val="auto"/>
                <w:w w:val="92"/>
              </w:rPr>
              <w:t>ERVÉ</w:t>
            </w:r>
            <w:r>
              <w:rPr>
                <w:rFonts w:ascii="Arial" w:cs="Arial" w:eastAsia="Arial" w:hAnsi="Arial"/>
                <w:sz w:val="18"/>
                <w:szCs w:val="18"/>
                <w:color w:val="auto"/>
                <w:w w:val="92"/>
              </w:rPr>
              <w:t xml:space="preserve"> H</w:t>
            </w:r>
            <w:r>
              <w:rPr>
                <w:rFonts w:ascii="Arial" w:cs="Arial" w:eastAsia="Arial" w:hAnsi="Arial"/>
                <w:sz w:val="12"/>
                <w:szCs w:val="12"/>
                <w:color w:val="auto"/>
                <w:w w:val="92"/>
              </w:rPr>
              <w:t>OPPENOT</w:t>
            </w:r>
          </w:p>
        </w:tc>
        <w:tc>
          <w:tcPr>
            <w:tcW w:w="60" w:type="dxa"/>
            <w:vAlign w:val="bottom"/>
          </w:tcPr>
          <w:p>
            <w:pPr>
              <w:spacing w:after="0"/>
              <w:rPr>
                <w:sz w:val="10"/>
                <w:szCs w:val="10"/>
                <w:color w:val="auto"/>
              </w:rPr>
            </w:pPr>
          </w:p>
        </w:tc>
        <w:tc>
          <w:tcPr>
            <w:tcW w:w="4420" w:type="dxa"/>
            <w:vAlign w:val="bottom"/>
            <w:gridSpan w:val="2"/>
            <w:vMerge w:val="restart"/>
          </w:tcPr>
          <w:p>
            <w:pPr>
              <w:ind w:left="60"/>
              <w:spacing w:after="0"/>
              <w:rPr>
                <w:sz w:val="20"/>
                <w:szCs w:val="20"/>
                <w:color w:val="auto"/>
              </w:rPr>
            </w:pPr>
            <w:r>
              <w:rPr>
                <w:rFonts w:ascii="Arial" w:cs="Arial" w:eastAsia="Arial" w:hAnsi="Arial"/>
                <w:sz w:val="18"/>
                <w:szCs w:val="18"/>
                <w:color w:val="auto"/>
              </w:rPr>
              <w:t>Executive Officer) and Director</w:t>
            </w:r>
          </w:p>
        </w:tc>
        <w:tc>
          <w:tcPr>
            <w:tcW w:w="12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Hervé Hoppenot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w:t>
            </w:r>
            <w:r>
              <w:rPr>
                <w:rFonts w:ascii="Arial" w:cs="Arial" w:eastAsia="Arial" w:hAnsi="Arial"/>
                <w:sz w:val="12"/>
                <w:szCs w:val="12"/>
                <w:color w:val="auto"/>
                <w:w w:val="98"/>
              </w:rPr>
              <w:t>HRISTIANA</w:t>
            </w:r>
            <w:r>
              <w:rPr>
                <w:rFonts w:ascii="Arial" w:cs="Arial" w:eastAsia="Arial" w:hAnsi="Arial"/>
                <w:sz w:val="18"/>
                <w:szCs w:val="18"/>
                <w:color w:val="auto"/>
                <w:w w:val="98"/>
              </w:rPr>
              <w:t xml:space="preserve"> S</w:t>
            </w:r>
            <w:r>
              <w:rPr>
                <w:rFonts w:ascii="Arial" w:cs="Arial" w:eastAsia="Arial" w:hAnsi="Arial"/>
                <w:sz w:val="12"/>
                <w:szCs w:val="12"/>
                <w:color w:val="auto"/>
                <w:w w:val="98"/>
              </w:rPr>
              <w:t>TAMOULIS</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Chief Financial Officer (Principal Financial Officer)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Christiana Stamoulis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T</w:t>
            </w:r>
            <w:r>
              <w:rPr>
                <w:rFonts w:ascii="Arial" w:cs="Arial" w:eastAsia="Arial" w:hAnsi="Arial"/>
                <w:sz w:val="12"/>
                <w:szCs w:val="12"/>
                <w:color w:val="auto"/>
                <w:w w:val="95"/>
              </w:rPr>
              <w:t>ROWER</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VP, Finance (Principal Accounting Officer)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Paul Trower</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w:t>
            </w:r>
            <w:r>
              <w:rPr>
                <w:rFonts w:ascii="Arial" w:cs="Arial" w:eastAsia="Arial" w:hAnsi="Arial"/>
                <w:sz w:val="12"/>
                <w:szCs w:val="12"/>
                <w:color w:val="auto"/>
                <w:w w:val="96"/>
              </w:rPr>
              <w:t>ULIAN</w:t>
            </w:r>
            <w:r>
              <w:rPr>
                <w:rFonts w:ascii="Arial" w:cs="Arial" w:eastAsia="Arial" w:hAnsi="Arial"/>
                <w:sz w:val="18"/>
                <w:szCs w:val="18"/>
                <w:color w:val="auto"/>
                <w:w w:val="96"/>
              </w:rPr>
              <w:t xml:space="preserve"> C. B</w:t>
            </w:r>
            <w:r>
              <w:rPr>
                <w:rFonts w:ascii="Arial" w:cs="Arial" w:eastAsia="Arial" w:hAnsi="Arial"/>
                <w:sz w:val="12"/>
                <w:szCs w:val="12"/>
                <w:color w:val="auto"/>
                <w:w w:val="96"/>
              </w:rPr>
              <w:t>AKER</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Julian C. Baker</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w:t>
            </w:r>
            <w:r>
              <w:rPr>
                <w:rFonts w:ascii="Arial" w:cs="Arial" w:eastAsia="Arial" w:hAnsi="Arial"/>
                <w:sz w:val="12"/>
                <w:szCs w:val="12"/>
                <w:color w:val="auto"/>
                <w:w w:val="96"/>
              </w:rPr>
              <w:t>EAN</w:t>
            </w:r>
            <w:r>
              <w:rPr>
                <w:rFonts w:ascii="Arial" w:cs="Arial" w:eastAsia="Arial" w:hAnsi="Arial"/>
                <w:sz w:val="18"/>
                <w:szCs w:val="18"/>
                <w:color w:val="auto"/>
                <w:w w:val="96"/>
              </w:rPr>
              <w:t>-J</w:t>
            </w:r>
            <w:r>
              <w:rPr>
                <w:rFonts w:ascii="Arial" w:cs="Arial" w:eastAsia="Arial" w:hAnsi="Arial"/>
                <w:sz w:val="12"/>
                <w:szCs w:val="12"/>
                <w:color w:val="auto"/>
                <w:w w:val="96"/>
              </w:rPr>
              <w:t>ACQUES</w:t>
            </w:r>
            <w:r>
              <w:rPr>
                <w:rFonts w:ascii="Arial" w:cs="Arial" w:eastAsia="Arial" w:hAnsi="Arial"/>
                <w:sz w:val="18"/>
                <w:szCs w:val="18"/>
                <w:color w:val="auto"/>
                <w:w w:val="96"/>
              </w:rPr>
              <w:t xml:space="preserve"> B</w:t>
            </w:r>
            <w:r>
              <w:rPr>
                <w:rFonts w:ascii="Arial" w:cs="Arial" w:eastAsia="Arial" w:hAnsi="Arial"/>
                <w:sz w:val="12"/>
                <w:szCs w:val="12"/>
                <w:color w:val="auto"/>
                <w:w w:val="96"/>
              </w:rPr>
              <w:t>IENAIMÉ</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Jean-Jacques Bienaimé</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w:t>
            </w:r>
            <w:r>
              <w:rPr>
                <w:rFonts w:ascii="Arial" w:cs="Arial" w:eastAsia="Arial" w:hAnsi="Arial"/>
                <w:sz w:val="12"/>
                <w:szCs w:val="12"/>
                <w:color w:val="auto"/>
                <w:w w:val="95"/>
              </w:rPr>
              <w:t>AUL</w:t>
            </w:r>
            <w:r>
              <w:rPr>
                <w:rFonts w:ascii="Arial" w:cs="Arial" w:eastAsia="Arial" w:hAnsi="Arial"/>
                <w:sz w:val="18"/>
                <w:szCs w:val="18"/>
                <w:color w:val="auto"/>
                <w:w w:val="95"/>
              </w:rPr>
              <w:t xml:space="preserve"> A. B</w:t>
            </w:r>
            <w:r>
              <w:rPr>
                <w:rFonts w:ascii="Arial" w:cs="Arial" w:eastAsia="Arial" w:hAnsi="Arial"/>
                <w:sz w:val="12"/>
                <w:szCs w:val="12"/>
                <w:color w:val="auto"/>
                <w:w w:val="95"/>
              </w:rPr>
              <w:t>ROOKE</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Paul A. Brooke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P</w:t>
            </w:r>
            <w:r>
              <w:rPr>
                <w:rFonts w:ascii="Arial" w:cs="Arial" w:eastAsia="Arial" w:hAnsi="Arial"/>
                <w:sz w:val="12"/>
                <w:szCs w:val="12"/>
                <w:color w:val="auto"/>
                <w:w w:val="96"/>
              </w:rPr>
              <w:t>AUL</w:t>
            </w:r>
            <w:r>
              <w:rPr>
                <w:rFonts w:ascii="Arial" w:cs="Arial" w:eastAsia="Arial" w:hAnsi="Arial"/>
                <w:sz w:val="18"/>
                <w:szCs w:val="18"/>
                <w:color w:val="auto"/>
                <w:w w:val="96"/>
              </w:rPr>
              <w:t xml:space="preserve"> J. C</w:t>
            </w:r>
            <w:r>
              <w:rPr>
                <w:rFonts w:ascii="Arial" w:cs="Arial" w:eastAsia="Arial" w:hAnsi="Arial"/>
                <w:sz w:val="12"/>
                <w:szCs w:val="12"/>
                <w:color w:val="auto"/>
                <w:w w:val="96"/>
              </w:rPr>
              <w:t>LANCY</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Paul J. Clancy</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ENDY</w:t>
            </w:r>
            <w:r>
              <w:rPr>
                <w:rFonts w:ascii="Arial" w:cs="Arial" w:eastAsia="Arial" w:hAnsi="Arial"/>
                <w:sz w:val="18"/>
                <w:szCs w:val="18"/>
                <w:color w:val="auto"/>
                <w:w w:val="98"/>
              </w:rPr>
              <w:t xml:space="preserve"> L. D</w:t>
            </w:r>
            <w:r>
              <w:rPr>
                <w:rFonts w:ascii="Arial" w:cs="Arial" w:eastAsia="Arial" w:hAnsi="Arial"/>
                <w:sz w:val="12"/>
                <w:szCs w:val="12"/>
                <w:color w:val="auto"/>
                <w:w w:val="98"/>
              </w:rPr>
              <w:t>IXON</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4"/>
              </w:rPr>
              <w:t>Wendy L. Dixon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w:t>
            </w:r>
            <w:r>
              <w:rPr>
                <w:rFonts w:ascii="Arial" w:cs="Arial" w:eastAsia="Arial" w:hAnsi="Arial"/>
                <w:sz w:val="12"/>
                <w:szCs w:val="12"/>
                <w:color w:val="auto"/>
                <w:w w:val="95"/>
              </w:rPr>
              <w:t>ACQUALYN</w:t>
            </w:r>
            <w:r>
              <w:rPr>
                <w:rFonts w:ascii="Arial" w:cs="Arial" w:eastAsia="Arial" w:hAnsi="Arial"/>
                <w:sz w:val="18"/>
                <w:szCs w:val="18"/>
                <w:color w:val="auto"/>
                <w:w w:val="95"/>
              </w:rPr>
              <w:t xml:space="preserve"> A. F</w:t>
            </w:r>
            <w:r>
              <w:rPr>
                <w:rFonts w:ascii="Arial" w:cs="Arial" w:eastAsia="Arial" w:hAnsi="Arial"/>
                <w:sz w:val="12"/>
                <w:szCs w:val="12"/>
                <w:color w:val="auto"/>
                <w:w w:val="95"/>
              </w:rPr>
              <w:t>OUSE</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Jacqualyn A. Fouse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P</w:t>
            </w:r>
            <w:r>
              <w:rPr>
                <w:rFonts w:ascii="Arial" w:cs="Arial" w:eastAsia="Arial" w:hAnsi="Arial"/>
                <w:sz w:val="12"/>
                <w:szCs w:val="12"/>
                <w:color w:val="auto"/>
                <w:w w:val="96"/>
              </w:rPr>
              <w:t>AUL</w:t>
            </w:r>
            <w:r>
              <w:rPr>
                <w:rFonts w:ascii="Arial" w:cs="Arial" w:eastAsia="Arial" w:hAnsi="Arial"/>
                <w:sz w:val="18"/>
                <w:szCs w:val="18"/>
                <w:color w:val="auto"/>
                <w:w w:val="96"/>
              </w:rPr>
              <w:t xml:space="preserve"> A. F</w:t>
            </w:r>
            <w:r>
              <w:rPr>
                <w:rFonts w:ascii="Arial" w:cs="Arial" w:eastAsia="Arial" w:hAnsi="Arial"/>
                <w:sz w:val="12"/>
                <w:szCs w:val="12"/>
                <w:color w:val="auto"/>
                <w:w w:val="96"/>
              </w:rPr>
              <w:t>RIEDMAN</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Paul A. Friedman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w:t>
            </w:r>
            <w:r>
              <w:rPr>
                <w:rFonts w:ascii="Arial" w:cs="Arial" w:eastAsia="Arial" w:hAnsi="Arial"/>
                <w:sz w:val="12"/>
                <w:szCs w:val="12"/>
                <w:color w:val="auto"/>
                <w:w w:val="95"/>
              </w:rPr>
              <w:t>DMUND</w:t>
            </w:r>
            <w:r>
              <w:rPr>
                <w:rFonts w:ascii="Arial" w:cs="Arial" w:eastAsia="Arial" w:hAnsi="Arial"/>
                <w:sz w:val="18"/>
                <w:szCs w:val="18"/>
                <w:color w:val="auto"/>
                <w:w w:val="95"/>
              </w:rPr>
              <w:t xml:space="preserve"> P. H</w:t>
            </w:r>
            <w:r>
              <w:rPr>
                <w:rFonts w:ascii="Arial" w:cs="Arial" w:eastAsia="Arial" w:hAnsi="Arial"/>
                <w:sz w:val="12"/>
                <w:szCs w:val="12"/>
                <w:color w:val="auto"/>
                <w:w w:val="95"/>
              </w:rPr>
              <w:t>ARRIGAN</w:t>
            </w:r>
          </w:p>
        </w:tc>
        <w:tc>
          <w:tcPr>
            <w:tcW w:w="60" w:type="dxa"/>
            <w:vAlign w:val="bottom"/>
            <w:tcBorders>
              <w:bottom w:val="single" w:sz="8" w:color="auto"/>
            </w:tcBorders>
          </w:tcPr>
          <w:p>
            <w:pPr>
              <w:spacing w:after="0"/>
              <w:rPr>
                <w:sz w:val="24"/>
                <w:szCs w:val="24"/>
                <w:color w:val="auto"/>
              </w:rPr>
            </w:pPr>
          </w:p>
        </w:tc>
        <w:tc>
          <w:tcPr>
            <w:tcW w:w="442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Edmund P. Harrigan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8" w:name="page129"/>
    <w:bookmarkEnd w:id="128"/>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INCYTE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DESCRIPTION OF SECURITIES REGISTERED UNDER</w:t>
      </w:r>
    </w:p>
    <w:p>
      <w:pPr>
        <w:jc w:val="center"/>
        <w:ind w:right="-20"/>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128" w:lineRule="exact"/>
        <w:rPr>
          <w:sz w:val="20"/>
          <w:szCs w:val="20"/>
          <w:color w:val="auto"/>
        </w:rPr>
      </w:pPr>
    </w:p>
    <w:p>
      <w:pPr>
        <w:ind w:left="160" w:right="159" w:firstLine="648"/>
        <w:spacing w:after="0" w:line="239" w:lineRule="auto"/>
        <w:rPr>
          <w:sz w:val="20"/>
          <w:szCs w:val="20"/>
          <w:color w:val="auto"/>
        </w:rPr>
      </w:pPr>
      <w:r>
        <w:rPr>
          <w:rFonts w:ascii="Arial" w:cs="Arial" w:eastAsia="Arial" w:hAnsi="Arial"/>
          <w:sz w:val="16"/>
          <w:szCs w:val="16"/>
          <w:color w:val="auto"/>
        </w:rPr>
        <w:t>Incyte Corporation, a Delaware corporation (“we,” “us” or “our”) has one class of securities registered under Section 12 of the Securities Exchange Act of 1934: our common stock, $.001 par value per share. The general terms and provisions of our common stock are summarized below. This summary does not purport to be complete and is qualified by reference to our restated certificate of incorporation and our bylaws, each of which has been filed as an exhibit to our most recent Annual Report on Form 10-K filed with the Securities and Exchange Commission (“SEC”), as may be amended by a document filed with one of our periodic reports filed with the SEC subsequent to the date of that Annual Report. References to “we,” “us” and “our” in this document mean Incyte Corporation, a Delaware corporation.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160" w:right="179" w:firstLine="648"/>
        <w:spacing w:after="0" w:line="221" w:lineRule="auto"/>
        <w:rPr>
          <w:sz w:val="20"/>
          <w:szCs w:val="20"/>
          <w:color w:val="auto"/>
        </w:rPr>
      </w:pPr>
      <w:r>
        <w:rPr>
          <w:rFonts w:ascii="Arial" w:cs="Arial" w:eastAsia="Arial" w:hAnsi="Arial"/>
          <w:sz w:val="17"/>
          <w:szCs w:val="17"/>
          <w:color w:val="auto"/>
        </w:rPr>
        <w:t>We are authorized to issue 400,000,000 shares of common stock.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our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issued and outstanding shares of common stock are fully paid and nonassessable.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Provisions of Delaware Law and of the Charter and Bylaws</w:t>
      </w:r>
    </w:p>
    <w:p>
      <w:pPr>
        <w:spacing w:after="0" w:line="189" w:lineRule="exact"/>
        <w:rPr>
          <w:sz w:val="20"/>
          <w:szCs w:val="20"/>
          <w:color w:val="auto"/>
        </w:rPr>
      </w:pPr>
    </w:p>
    <w:p>
      <w:pPr>
        <w:ind w:left="160" w:right="299" w:firstLine="648"/>
        <w:spacing w:after="0" w:line="235" w:lineRule="auto"/>
        <w:rPr>
          <w:sz w:val="20"/>
          <w:szCs w:val="20"/>
          <w:color w:val="auto"/>
        </w:rPr>
      </w:pPr>
      <w:r>
        <w:rPr>
          <w:rFonts w:ascii="Arial" w:cs="Arial" w:eastAsia="Arial" w:hAnsi="Arial"/>
          <w:sz w:val="18"/>
          <w:szCs w:val="18"/>
          <w:color w:val="auto"/>
        </w:rPr>
        <w:t>The provisions of Delaware law, our restated certificate of incorporation and our bylaws described below may have the effect of delaying, deferring or discouraging another party from acquiring control of us.</w:t>
      </w:r>
    </w:p>
    <w:p>
      <w:pPr>
        <w:spacing w:after="0" w:line="162"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8"/>
          <w:szCs w:val="18"/>
          <w:i w:val="1"/>
          <w:iCs w:val="1"/>
          <w:color w:val="auto"/>
        </w:rPr>
        <w:t xml:space="preserve">Delaware Law. </w:t>
      </w:r>
      <w:r>
        <w:rPr>
          <w:rFonts w:ascii="Arial" w:cs="Arial" w:eastAsia="Arial" w:hAnsi="Arial"/>
          <w:sz w:val="18"/>
          <w:szCs w:val="18"/>
          <w:color w:val="auto"/>
        </w:rPr>
        <w:t>We are subject to the provisions of Section 203 of the General Corporation Law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regulating corporate 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122" w:lineRule="exact"/>
        <w:rPr>
          <w:sz w:val="20"/>
          <w:szCs w:val="20"/>
          <w:color w:val="auto"/>
        </w:rPr>
      </w:pPr>
    </w:p>
    <w:p>
      <w:pPr>
        <w:ind w:left="1180" w:right="339" w:hanging="381"/>
        <w:spacing w:after="0" w:line="289" w:lineRule="auto"/>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prior to the date of the transaction, the board of directors of the corporation approved either the business combination or the transaction that resulted in the stockholder becoming an interested stockholder;</w:t>
      </w:r>
    </w:p>
    <w:p>
      <w:pPr>
        <w:spacing w:after="0" w:line="83" w:lineRule="exact"/>
        <w:rPr>
          <w:rFonts w:ascii="Arial" w:cs="Arial" w:eastAsia="Arial" w:hAnsi="Arial"/>
          <w:sz w:val="16"/>
          <w:szCs w:val="16"/>
          <w:color w:val="auto"/>
        </w:rPr>
      </w:pPr>
    </w:p>
    <w:p>
      <w:pPr>
        <w:ind w:left="1180" w:right="159" w:hanging="381"/>
        <w:spacing w:after="0" w:line="241" w:lineRule="auto"/>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20" w:lineRule="exact"/>
        <w:rPr>
          <w:rFonts w:ascii="Arial" w:cs="Arial" w:eastAsia="Arial" w:hAnsi="Arial"/>
          <w:sz w:val="16"/>
          <w:szCs w:val="16"/>
          <w:color w:val="auto"/>
        </w:rPr>
      </w:pPr>
    </w:p>
    <w:p>
      <w:pPr>
        <w:ind w:left="1180" w:right="279" w:hanging="381"/>
        <w:spacing w:after="0" w:line="22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two-thirds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695960</wp:posOffset>
            </wp:positionV>
            <wp:extent cx="55486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29" w:name="page130"/>
    <w:bookmarkEnd w:id="129"/>
    <w:p>
      <w:pPr>
        <w:ind w:left="80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44" w:lineRule="exact"/>
        <w:rPr>
          <w:sz w:val="20"/>
          <w:szCs w:val="20"/>
          <w:color w:val="auto"/>
        </w:rPr>
      </w:pPr>
    </w:p>
    <w:p>
      <w:pPr>
        <w:ind w:left="1180" w:hanging="381"/>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44" w:lineRule="exact"/>
        <w:rPr>
          <w:rFonts w:ascii="Arial" w:cs="Arial" w:eastAsia="Arial" w:hAnsi="Arial"/>
          <w:sz w:val="18"/>
          <w:szCs w:val="18"/>
          <w:color w:val="auto"/>
        </w:rPr>
      </w:pPr>
    </w:p>
    <w:p>
      <w:pPr>
        <w:ind w:left="1180" w:right="179" w:hanging="381"/>
        <w:spacing w:after="0" w:line="235"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21" w:lineRule="exact"/>
        <w:rPr>
          <w:rFonts w:ascii="Arial" w:cs="Arial" w:eastAsia="Arial" w:hAnsi="Arial"/>
          <w:sz w:val="18"/>
          <w:szCs w:val="18"/>
          <w:color w:val="auto"/>
        </w:rPr>
      </w:pPr>
    </w:p>
    <w:p>
      <w:pPr>
        <w:ind w:left="1180" w:right="339" w:hanging="381"/>
        <w:spacing w:after="0" w:line="235"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21" w:lineRule="exact"/>
        <w:rPr>
          <w:rFonts w:ascii="Arial" w:cs="Arial" w:eastAsia="Arial" w:hAnsi="Arial"/>
          <w:sz w:val="18"/>
          <w:szCs w:val="18"/>
          <w:color w:val="auto"/>
        </w:rPr>
      </w:pPr>
    </w:p>
    <w:p>
      <w:pPr>
        <w:ind w:left="1180" w:right="419" w:hanging="381"/>
        <w:spacing w:after="0" w:line="289" w:lineRule="auto"/>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transaction involving the corporation that has the effect of increasing the proportionate share of the stock of any class or series of the corporation beneficially owned by the interested stockholder; or</w:t>
      </w:r>
    </w:p>
    <w:p>
      <w:pPr>
        <w:spacing w:after="0" w:line="83" w:lineRule="exact"/>
        <w:rPr>
          <w:rFonts w:ascii="Arial" w:cs="Arial" w:eastAsia="Arial" w:hAnsi="Arial"/>
          <w:sz w:val="16"/>
          <w:szCs w:val="16"/>
          <w:color w:val="auto"/>
        </w:rPr>
      </w:pPr>
    </w:p>
    <w:p>
      <w:pPr>
        <w:ind w:left="1180" w:right="179" w:hanging="381"/>
        <w:spacing w:after="0" w:line="235"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21" w:lineRule="exact"/>
        <w:rPr>
          <w:sz w:val="20"/>
          <w:szCs w:val="20"/>
          <w:color w:val="auto"/>
        </w:rPr>
      </w:pPr>
    </w:p>
    <w:p>
      <w:pPr>
        <w:ind w:left="160" w:right="419" w:firstLine="648"/>
        <w:spacing w:after="0" w:line="224"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3" w:lineRule="exact"/>
        <w:rPr>
          <w:sz w:val="20"/>
          <w:szCs w:val="20"/>
          <w:color w:val="auto"/>
        </w:rPr>
      </w:pPr>
    </w:p>
    <w:p>
      <w:pPr>
        <w:ind w:left="160" w:right="179" w:firstLine="648"/>
        <w:spacing w:after="0" w:line="249" w:lineRule="auto"/>
        <w:rPr>
          <w:sz w:val="20"/>
          <w:szCs w:val="20"/>
          <w:color w:val="auto"/>
        </w:rPr>
      </w:pPr>
      <w:r>
        <w:rPr>
          <w:rFonts w:ascii="Arial" w:cs="Arial" w:eastAsia="Arial" w:hAnsi="Arial"/>
          <w:sz w:val="16"/>
          <w:szCs w:val="16"/>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Charter and Bylaws. </w:t>
      </w:r>
      <w:r>
        <w:rPr>
          <w:rFonts w:ascii="Arial" w:cs="Arial" w:eastAsia="Arial" w:hAnsi="Arial"/>
          <w:sz w:val="18"/>
          <w:szCs w:val="18"/>
          <w:color w:val="auto"/>
        </w:rPr>
        <w:t>Our restated certificate of incorporation and bylaws include provisions that:</w:t>
      </w:r>
    </w:p>
    <w:p>
      <w:pPr>
        <w:spacing w:after="0" w:line="185" w:lineRule="exact"/>
        <w:rPr>
          <w:sz w:val="20"/>
          <w:szCs w:val="20"/>
          <w:color w:val="auto"/>
        </w:rPr>
      </w:pPr>
    </w:p>
    <w:p>
      <w:pPr>
        <w:ind w:left="1180" w:hanging="381"/>
        <w:spacing w:after="0"/>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specify that stockholders may not call special meetings of the stockholders or fill vacancies on the board;</w:t>
      </w:r>
    </w:p>
    <w:p>
      <w:pPr>
        <w:spacing w:after="0" w:line="167" w:lineRule="exact"/>
        <w:rPr>
          <w:rFonts w:ascii="Arial" w:cs="Arial" w:eastAsia="Arial" w:hAnsi="Arial"/>
          <w:sz w:val="16"/>
          <w:szCs w:val="16"/>
          <w:color w:val="auto"/>
        </w:rPr>
      </w:pPr>
    </w:p>
    <w:p>
      <w:pPr>
        <w:ind w:left="1180" w:right="219" w:hanging="381"/>
        <w:spacing w:after="0" w:line="22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stockholders, up to 5,000,000 shares of preferred stock in one or more series, with such designations, powers, preferences and other rights as our board of directors may authorize;</w:t>
      </w:r>
    </w:p>
    <w:p>
      <w:pPr>
        <w:spacing w:after="0" w:line="122" w:lineRule="exact"/>
        <w:rPr>
          <w:rFonts w:ascii="Arial" w:cs="Arial" w:eastAsia="Arial" w:hAnsi="Arial"/>
          <w:sz w:val="18"/>
          <w:szCs w:val="18"/>
          <w:color w:val="auto"/>
        </w:rPr>
      </w:pPr>
    </w:p>
    <w:p>
      <w:pPr>
        <w:ind w:left="1180" w:right="259" w:hanging="381"/>
        <w:spacing w:after="0" w:line="22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or special meeting of our stockholders, including proposed nominations of persons for election to our board of directors; and</w:t>
      </w:r>
    </w:p>
    <w:p>
      <w:pPr>
        <w:spacing w:after="0" w:line="122" w:lineRule="exact"/>
        <w:rPr>
          <w:rFonts w:ascii="Arial" w:cs="Arial" w:eastAsia="Arial" w:hAnsi="Arial"/>
          <w:sz w:val="18"/>
          <w:szCs w:val="18"/>
          <w:color w:val="auto"/>
        </w:rPr>
      </w:pPr>
    </w:p>
    <w:p>
      <w:pPr>
        <w:ind w:left="1180" w:right="179" w:hanging="381"/>
        <w:spacing w:after="0" w:line="22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indemnify officers and directors against losses that they may incur in investigations and legal proceedings resulting from their services to us, which may include services in connection with takeover defense measures.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transfer agent and registrar for our common stock is Computershare.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common stock is listed on The Nasdaq Global Select Market under the symbol “INCY.”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461010</wp:posOffset>
            </wp:positionV>
            <wp:extent cx="554863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2"/>
          </w:tcPr>
          <w:p>
            <w:pPr>
              <w:ind w:left="2500"/>
              <w:spacing w:after="0"/>
              <w:rPr>
                <w:sz w:val="20"/>
                <w:szCs w:val="20"/>
                <w:color w:val="auto"/>
              </w:rPr>
            </w:pPr>
            <w:r>
              <w:rPr>
                <w:rFonts w:ascii="Arial" w:cs="Arial" w:eastAsia="Arial" w:hAnsi="Arial"/>
                <w:sz w:val="18"/>
                <w:szCs w:val="18"/>
                <w:b w:val="1"/>
                <w:bCs w:val="1"/>
                <w:color w:val="auto"/>
                <w:w w:val="89"/>
              </w:rPr>
              <w:t>Exhibit 21.1</w:t>
            </w:r>
          </w:p>
        </w:tc>
      </w:tr>
      <w:tr>
        <w:trPr>
          <w:trHeight w:val="392"/>
        </w:trPr>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60" w:type="dxa"/>
            <w:vAlign w:val="bottom"/>
            <w:gridSpan w:val="4"/>
          </w:tcPr>
          <w:p>
            <w:pPr>
              <w:ind w:left="200"/>
              <w:spacing w:after="0"/>
              <w:rPr>
                <w:sz w:val="20"/>
                <w:szCs w:val="20"/>
                <w:color w:val="auto"/>
              </w:rPr>
            </w:pPr>
            <w:r>
              <w:rPr>
                <w:rFonts w:ascii="Arial" w:cs="Arial" w:eastAsia="Arial" w:hAnsi="Arial"/>
                <w:sz w:val="18"/>
                <w:szCs w:val="18"/>
                <w:b w:val="1"/>
                <w:bCs w:val="1"/>
                <w:color w:val="auto"/>
              </w:rPr>
              <w:t>SUBSIDIARIES</w:t>
            </w:r>
          </w:p>
        </w:tc>
      </w:tr>
      <w:tr>
        <w:trPr>
          <w:trHeight w:val="338"/>
        </w:trPr>
        <w:tc>
          <w:tcPr>
            <w:tcW w:w="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2"/>
          </w:tcPr>
          <w:p>
            <w:pPr>
              <w:ind w:left="780"/>
              <w:spacing w:after="0"/>
              <w:rPr>
                <w:sz w:val="20"/>
                <w:szCs w:val="20"/>
                <w:color w:val="auto"/>
              </w:rPr>
            </w:pPr>
            <w:r>
              <w:rPr>
                <w:rFonts w:ascii="Arial" w:cs="Arial" w:eastAsia="Arial" w:hAnsi="Arial"/>
                <w:sz w:val="14"/>
                <w:szCs w:val="14"/>
                <w:b w:val="1"/>
                <w:bCs w:val="1"/>
                <w:color w:val="auto"/>
              </w:rPr>
              <w:t>Jurisdiction of Incorporation</w:t>
            </w:r>
          </w:p>
        </w:tc>
      </w:tr>
      <w:tr>
        <w:trPr>
          <w:trHeight w:val="182"/>
        </w:trPr>
        <w:tc>
          <w:tcPr>
            <w:tcW w:w="80" w:type="dxa"/>
            <w:vAlign w:val="bottom"/>
          </w:tcPr>
          <w:p>
            <w:pPr>
              <w:spacing w:after="0"/>
              <w:rPr>
                <w:sz w:val="15"/>
                <w:szCs w:val="15"/>
                <w:color w:val="auto"/>
              </w:rPr>
            </w:pPr>
          </w:p>
        </w:tc>
        <w:tc>
          <w:tcPr>
            <w:tcW w:w="3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Incyte Biosciences Corporation</w:t>
            </w:r>
          </w:p>
        </w:tc>
        <w:tc>
          <w:tcPr>
            <w:tcW w:w="1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Delaware</w:t>
            </w:r>
          </w:p>
        </w:tc>
        <w:tc>
          <w:tcPr>
            <w:tcW w:w="8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Holdings Corporation</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Canada Corporation</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Canada</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International Holdings Corporation</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Research Institute LLC</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Mighty Oak Insurance Company</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International Holdings S.à 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Luxembourg</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International S.à 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Switzerland</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Austria GmbH</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Austria</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Denmark ApS</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Denmark</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Finland Oy</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Finland</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France</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France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Germany GmbH</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Germany</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Italy S.R.L.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Italy</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Israel Ltd</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Israel</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Distribution B.V.</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Netherlands</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Benelux B.V.</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Netherlands</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Norway AS</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Norway</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Iberia S.L.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Spain</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Nordic AB</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Sweden</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UK Ltd</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UK</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w w:val="94"/>
              </w:rPr>
              <w:t>Incyte Biosciences Technical Operations S.à 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Switzerland</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Australia Pty Ltd</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Australia</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Canada ULC</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Canada</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Japan G.K.</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Japan</w:t>
            </w:r>
          </w:p>
        </w:tc>
      </w:tr>
      <w:tr>
        <w:trPr>
          <w:trHeight w:val="230"/>
        </w:trPr>
        <w:tc>
          <w:tcPr>
            <w:tcW w:w="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Incyte Biosciences (Shanghai) Co., Ltd.</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912"/>
        </w:trPr>
        <w:tc>
          <w:tcPr>
            <w:tcW w:w="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right="2220" w:firstLine="2233"/>
        <w:spacing w:after="0" w:line="513"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660" w:hanging="333"/>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S-3 No. 333-229682) of Incyte Corporation,</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Statements (Form S-8 Nos. 333-91556, 333-125995, and 333-160006) pertaining to the 1993 Directors’ Stock Option Plan of Incyte Corporation,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Registration Statement (Form S-8 No. 333-160005) pertaining to the 1991 Stock Plan of Incyte Corporation,</w:t>
      </w:r>
    </w:p>
    <w:p>
      <w:pPr>
        <w:spacing w:after="0" w:line="196" w:lineRule="exact"/>
        <w:rPr>
          <w:rFonts w:ascii="Arial" w:cs="Arial" w:eastAsia="Arial" w:hAnsi="Arial"/>
          <w:sz w:val="17"/>
          <w:szCs w:val="17"/>
          <w:color w:val="auto"/>
        </w:rPr>
      </w:pPr>
    </w:p>
    <w:p>
      <w:pPr>
        <w:ind w:left="660" w:hanging="333"/>
        <w:spacing w:after="0" w:line="23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Statements (Form S-8 Nos. 333-174919 and 333-212102) pertaining to the Incyte Corporation 1997 Employee Stock Purchase Plan,</w:t>
      </w:r>
    </w:p>
    <w:p>
      <w:pPr>
        <w:spacing w:after="0" w:line="161"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Registration Statements (Form S-8 Nos. 333-174918, 333-182218, 333-189424, 333-197907, 333-212104, and 333-231129) pertaining to the Incyte Corporation Amended and Restated 2010 Stock Incentive Plan,</w:t>
      </w:r>
    </w:p>
    <w:p>
      <w:pPr>
        <w:spacing w:after="0" w:line="146" w:lineRule="exact"/>
        <w:rPr>
          <w:rFonts w:ascii="Arial" w:cs="Arial" w:eastAsia="Arial" w:hAnsi="Arial"/>
          <w:sz w:val="17"/>
          <w:szCs w:val="17"/>
          <w:color w:val="auto"/>
        </w:rPr>
      </w:pPr>
    </w:p>
    <w:p>
      <w:pPr>
        <w:ind w:left="660" w:hanging="333"/>
        <w:spacing w:after="0" w:line="23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333-193333) pertaining to the 2014 Restricted Stock Unit Award Agreement between Incyte Corporation and Hervé Hoppenot;</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of our reports dated February 13, 2020, with respect to the consolidated financial statements of Incyte Corporation and the effectiveness of internal control over financial reporting of Incyte Corporation, included in this Annual Report (Form 10-K) of Incyte Corporation for the year ended December 31, 2019.</w:t>
      </w:r>
    </w:p>
    <w:p>
      <w:pPr>
        <w:spacing w:after="0" w:line="3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Ernst &amp; Young LLP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579120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Incyte Corporation;</w:t>
      </w:r>
    </w:p>
    <w:p>
      <w:pPr>
        <w:spacing w:after="0" w:line="184"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520" w:hanging="517"/>
        <w:spacing w:after="0" w:line="194" w:lineRule="exact"/>
        <w:tabs>
          <w:tab w:leader="none" w:pos="52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jc w:val="both"/>
        <w:ind w:left="1040" w:hanging="519"/>
        <w:spacing w:after="0" w:line="219" w:lineRule="auto"/>
        <w:tabs>
          <w:tab w:leader="none" w:pos="10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040" w:hanging="519"/>
        <w:spacing w:after="0" w:line="235" w:lineRule="auto"/>
        <w:tabs>
          <w:tab w:leader="none" w:pos="10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1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Christiana Stamoulis,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Incyte Corporation;</w:t>
      </w:r>
    </w:p>
    <w:p>
      <w:pPr>
        <w:spacing w:after="0" w:line="184"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520" w:hanging="517"/>
        <w:spacing w:after="0" w:line="194" w:lineRule="exact"/>
        <w:tabs>
          <w:tab w:leader="none" w:pos="5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jc w:val="both"/>
        <w:ind w:left="1040" w:hanging="519"/>
        <w:spacing w:after="0" w:line="219" w:lineRule="auto"/>
        <w:tabs>
          <w:tab w:leader="none" w:pos="10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040" w:hanging="519"/>
        <w:spacing w:after="0" w:line="235" w:lineRule="auto"/>
        <w:tabs>
          <w:tab w:leader="none" w:pos="10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Christiana Stamoulis</w:t>
      </w:r>
    </w:p>
    <w:p>
      <w:pPr>
        <w:spacing w:after="0" w:line="1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Christiana Stamoulis</w:t>
      </w:r>
    </w:p>
    <w:p>
      <w:pPr>
        <w:ind w:left="45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9" w:lineRule="exact"/>
        <w:rPr>
          <w:sz w:val="20"/>
          <w:szCs w:val="20"/>
          <w:color w:val="auto"/>
        </w:rPr>
      </w:pPr>
    </w:p>
    <w:p>
      <w:pPr>
        <w:jc w:val="both"/>
        <w:ind w:firstLine="648"/>
        <w:spacing w:after="0" w:line="181" w:lineRule="exact"/>
        <w:rPr>
          <w:sz w:val="20"/>
          <w:szCs w:val="20"/>
          <w:color w:val="auto"/>
        </w:rPr>
      </w:pPr>
      <w:r>
        <w:rPr>
          <w:rFonts w:ascii="Arial" w:cs="Arial" w:eastAsia="Arial" w:hAnsi="Arial"/>
          <w:sz w:val="17"/>
          <w:szCs w:val="17"/>
          <w:color w:val="auto"/>
        </w:rPr>
        <w:t>With reference to the Annual Report of Incyte Corporation (the “Company”)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2019, as filed with the Securities and Exchange Commission on the date hereof (the “Report”), I, Hervé Hoppenot, Chief Executive Officer of the Company, certify, for the purposes of 18 U.S.C. § 1350, as adopted pursuant to</w:t>
      </w:r>
    </w:p>
    <w:p>
      <w:pPr>
        <w:ind w:left="140" w:hanging="137"/>
        <w:spacing w:after="0" w:line="207" w:lineRule="exact"/>
        <w:tabs>
          <w:tab w:leader="none" w:pos="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8"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Hervé Hoppenot</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Hervé Hoppenot</w:t>
      </w:r>
    </w:p>
    <w:p>
      <w:pPr>
        <w:ind w:left="4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4620"/>
        <w:spacing w:after="0"/>
        <w:rPr>
          <w:sz w:val="20"/>
          <w:szCs w:val="20"/>
          <w:color w:val="auto"/>
        </w:rPr>
      </w:pPr>
      <w:r>
        <w:rPr>
          <w:rFonts w:ascii="Arial" w:cs="Arial" w:eastAsia="Arial" w:hAnsi="Arial"/>
          <w:sz w:val="18"/>
          <w:szCs w:val="18"/>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9" w:lineRule="exact"/>
        <w:rPr>
          <w:sz w:val="20"/>
          <w:szCs w:val="20"/>
          <w:color w:val="auto"/>
        </w:rPr>
      </w:pPr>
    </w:p>
    <w:p>
      <w:pPr>
        <w:jc w:val="both"/>
        <w:ind w:firstLine="648"/>
        <w:spacing w:after="0" w:line="181" w:lineRule="exact"/>
        <w:rPr>
          <w:sz w:val="20"/>
          <w:szCs w:val="20"/>
          <w:color w:val="auto"/>
        </w:rPr>
      </w:pPr>
      <w:r>
        <w:rPr>
          <w:rFonts w:ascii="Arial" w:cs="Arial" w:eastAsia="Arial" w:hAnsi="Arial"/>
          <w:sz w:val="16"/>
          <w:szCs w:val="16"/>
          <w:color w:val="auto"/>
        </w:rPr>
        <w:t>With reference to the Annual Report of Incyte Corporation (the “Company”)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2019, as filed with the Securities and Exchange Commission on the date hereof (the “Report”), I, Christiana Stamoulis, Chief Financial Officer of the Company, certify, for the purposes of 18 U.S.C. § 1350, as adopted pursuant to</w:t>
      </w:r>
    </w:p>
    <w:p>
      <w:pPr>
        <w:spacing w:after="0" w:line="2" w:lineRule="exact"/>
        <w:rPr>
          <w:sz w:val="20"/>
          <w:szCs w:val="20"/>
          <w:color w:val="auto"/>
        </w:rPr>
      </w:pPr>
    </w:p>
    <w:p>
      <w:pPr>
        <w:ind w:left="140" w:hanging="137"/>
        <w:spacing w:after="0" w:line="207" w:lineRule="exact"/>
        <w:tabs>
          <w:tab w:leader="none" w:pos="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8"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Christiana Stamoulis</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Christiana Stamoulis</w:t>
      </w:r>
    </w:p>
    <w:p>
      <w:pPr>
        <w:ind w:left="4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4620"/>
        <w:spacing w:after="0"/>
        <w:rPr>
          <w:sz w:val="20"/>
          <w:szCs w:val="20"/>
          <w:color w:val="auto"/>
        </w:rPr>
      </w:pPr>
      <w:r>
        <w:rPr>
          <w:rFonts w:ascii="Arial" w:cs="Arial" w:eastAsia="Arial" w:hAnsi="Arial"/>
          <w:sz w:val="18"/>
          <w:szCs w:val="18"/>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3"/>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endash "/>
      <w:numFmt w:val="bullet"/>
      <w:start w:val="1"/>
    </w:lvl>
  </w:abstractNum>
  <w:abstractNum w:abstractNumId="35">
    <w:nsid w:val="7A6D8D3C"/>
    <w:multiLevelType w:val="hybridMultilevel"/>
    <w:lvl w:ilvl="0">
      <w:lvlJc w:val="left"/>
      <w:lvlText w:val="(%1)"/>
      <w:numFmt w:val="lowerRoman"/>
      <w:start w:val="4"/>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lowerLetter"/>
      <w:start w:val="1"/>
    </w:lvl>
    <w:lvl w:ilvl="1">
      <w:lvlJc w:val="left"/>
      <w:lvlText w:val="(%2)"/>
      <w:numFmt w:val="decimal"/>
      <w:start w:val="1"/>
    </w:lvl>
  </w:abstractNum>
  <w:abstractNum w:abstractNumId="40">
    <w:nsid w:val="7644A45C"/>
    <w:multiLevelType w:val="hybridMultilevel"/>
    <w:lvl w:ilvl="0">
      <w:lvlJc w:val="left"/>
      <w:lvlText w:val="(%1)"/>
      <w:numFmt w:val="decimal"/>
      <w:start w:val="2"/>
    </w:lvl>
  </w:abstractNum>
  <w:abstractNum w:abstractNumId="41">
    <w:nsid w:val="32FFF902"/>
    <w:multiLevelType w:val="hybridMultilevel"/>
    <w:lvl w:ilvl="0">
      <w:lvlJc w:val="left"/>
      <w:lvlText w:val="(%1)"/>
      <w:numFmt w:val="decimal"/>
      <w:start w:val="3"/>
    </w:lvl>
  </w:abstractNum>
  <w:abstractNum w:abstractNumId="42">
    <w:nsid w:val="684A481A"/>
    <w:multiLevelType w:val="hybridMultilevel"/>
    <w:lvl w:ilvl="0">
      <w:lvlJc w:val="left"/>
      <w:lvlText w:val="(%1)"/>
      <w:numFmt w:val="lowerLetter"/>
      <w:start w:val="2"/>
    </w:lvl>
  </w:abstractNum>
  <w:abstractNum w:abstractNumId="43">
    <w:nsid w:val="579478FE"/>
    <w:multiLevelType w:val="hybridMultilevel"/>
    <w:lvl w:ilvl="0">
      <w:lvlJc w:val="left"/>
      <w:lvlText w:val="*"/>
      <w:numFmt w:val="bullet"/>
      <w:start w:val="1"/>
    </w:lvl>
    <w:lvl w:ilvl="1">
      <w:lvlJc w:val="left"/>
      <w:lvlText w:val="%2"/>
      <w:numFmt w:val="decimal"/>
      <w:start w:val="104"/>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Letter"/>
      <w:start w:val="3"/>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
      <w:numFmt w:val="bullet"/>
      <w:start w:val="1"/>
    </w:lvl>
    <w:lvl w:ilvl="1">
      <w:lvlJc w:val="left"/>
      <w:lvlText w:val="(%2)"/>
      <w:numFmt w:val="decimal"/>
      <w:start w:val="1"/>
    </w:lvl>
  </w:abstractNum>
  <w:abstractNum w:abstractNumId="54">
    <w:nsid w:val="23F9C13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3"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42" Type="http://schemas.openxmlformats.org/officeDocument/2006/relationships/hyperlink" Target="http://www.sec.gov/Archives/edgar/data/879169/000104746910001834/a2196849zex-3_i.htm" TargetMode="External"/><Relationship Id="rId143" Type="http://schemas.openxmlformats.org/officeDocument/2006/relationships/hyperlink" Target="http://www.sec.gov/Archives/edgar/data/879169/000110465917069305/a17-27253_1ex3d1.htm" TargetMode="External"/><Relationship Id="rId144" Type="http://schemas.openxmlformats.org/officeDocument/2006/relationships/hyperlink" Target="http://www.sec.gov/Archives/edgar/data/879169/000102140803005282/dex41.htm" TargetMode="External"/><Relationship Id="rId145" Type="http://schemas.openxmlformats.org/officeDocument/2006/relationships/hyperlink" Target="http://www.sec.gov/Archives/edgar/data/879169/000110465913084848/a13-23674_2ex4d2.htm" TargetMode="External"/><Relationship Id="rId146" Type="http://schemas.openxmlformats.org/officeDocument/2006/relationships/hyperlink" Target="http://www.sec.gov/Archives/edgar/data/879169/000110465919025327/a19-8991_1ex10d1.htm" TargetMode="External"/><Relationship Id="rId147" Type="http://schemas.openxmlformats.org/officeDocument/2006/relationships/hyperlink" Target="http://www.sec.gov/Archives/edgar/data/879169/000155837016007827/incy-20160630ex10787799c.htm" TargetMode="External"/><Relationship Id="rId148" Type="http://schemas.openxmlformats.org/officeDocument/2006/relationships/hyperlink" Target="http://www.sec.gov/Archives/edgar/data/879169/000110465914055475/a14-14041_1ex10d4.htm" TargetMode="External"/><Relationship Id="rId149" Type="http://schemas.openxmlformats.org/officeDocument/2006/relationships/hyperlink" Target="http://www.sec.gov/Archives/edgar/data/879169/000110465914055475/a14-14041_1ex10d5.htm" TargetMode="External"/><Relationship Id="rId150" Type="http://schemas.openxmlformats.org/officeDocument/2006/relationships/hyperlink" Target="http://www.sec.gov/Archives/edgar/data/879169/000104746914001174/a2218324zex-10_24.htm" TargetMode="External"/><Relationship Id="rId151" Type="http://schemas.openxmlformats.org/officeDocument/2006/relationships/hyperlink" Target="http://www.sec.gov/Archives/edgar/data/879169/000110465914055475/a14-14041_1ex10d6.htm" TargetMode="External"/><Relationship Id="rId152" Type="http://schemas.openxmlformats.org/officeDocument/2006/relationships/hyperlink" Target="http://www.sec.gov/Archives/edgar/data/879169/000155837018005974/incy-20180630ex1021c1278.htm" TargetMode="External"/><Relationship Id="rId153" Type="http://schemas.openxmlformats.org/officeDocument/2006/relationships/hyperlink" Target="http://www.sec.gov/Archives/edgar/data/879169/000155837019006550/incy-20190630ex101dc8f47.htm" TargetMode="External"/><Relationship Id="rId154" Type="http://schemas.openxmlformats.org/officeDocument/2006/relationships/hyperlink" Target="http://www.sec.gov/Archives/edgar/data/879169/000110465916124047/a16-12293_1ex10d2.htm" TargetMode="External"/><Relationship Id="rId155" Type="http://schemas.openxmlformats.org/officeDocument/2006/relationships/hyperlink" Target="http://www.sec.gov/Archives/edgar/data/879169/000104746913001393/a2212845zex-10_14.htm" TargetMode="External"/><Relationship Id="rId156" Type="http://schemas.openxmlformats.org/officeDocument/2006/relationships/hyperlink" Target="http://www.sec.gov/Archives/edgar/data/879169/000110465912029092/a12-6693_1ex10d14.htm" TargetMode="External"/><Relationship Id="rId157" Type="http://schemas.openxmlformats.org/officeDocument/2006/relationships/hyperlink" Target="http://www.sec.gov/Archives/edgar/data/879169/000155837019003610/incy-20190331ex102573f77.htm" TargetMode="External"/><Relationship Id="rId158" Type="http://schemas.openxmlformats.org/officeDocument/2006/relationships/hyperlink" Target="http://www.sec.gov/Archives/edgar/data/879169/000155837019009326/incy-20190930ex10388737b.htm" TargetMode="External"/><Relationship Id="rId159" Type="http://schemas.openxmlformats.org/officeDocument/2006/relationships/hyperlink" Target="http://www.sec.gov/Archives/edgar/data/879169/000155837019009326/incy-20190930ex101e8f74d.htm" TargetMode="External"/><Relationship Id="rId160" Type="http://schemas.openxmlformats.org/officeDocument/2006/relationships/hyperlink" Target="http://www.sec.gov/Archives/edgar/data/879169/000155837019009326/incy-20190930ex10117002c.htm" TargetMode="External"/><Relationship Id="rId161" Type="http://schemas.openxmlformats.org/officeDocument/2006/relationships/hyperlink" Target="http://www.sec.gov/Archives/edgar/data/879169/000155837019009326/incy-20190930ex1020eebfd.htm" TargetMode="External"/><Relationship Id="rId162" Type="http://schemas.openxmlformats.org/officeDocument/2006/relationships/hyperlink" Target="http://www.sec.gov/Archives/edgar/data/879169/000155837019009326/incy-20190930ex1021f3558.htm" TargetMode="External"/><Relationship Id="rId164" Type="http://schemas.openxmlformats.org/officeDocument/2006/relationships/hyperlink" Target="http://www.sec.gov/Archives/edgar/data/879169/000155837019009326/incy-20190930ex10225e24a.htm" TargetMode="External"/><Relationship Id="rId165" Type="http://schemas.openxmlformats.org/officeDocument/2006/relationships/hyperlink" Target="http://www.sec.gov/Archives/edgar/data/879169/000110465917043033/a17-15971_1ex10d21d4.htm" TargetMode="External"/><Relationship Id="rId166" Type="http://schemas.openxmlformats.org/officeDocument/2006/relationships/hyperlink" Target="http://www.sec.gov/Archives/edgar/data/879169/000110465915032614/a15-7158_1ex10d1.htm" TargetMode="External"/><Relationship Id="rId167" Type="http://schemas.openxmlformats.org/officeDocument/2006/relationships/hyperlink" Target="http://www.sec.gov/Archives/edgar/data/879169/000155837017003529/incy-20170331ex1018c8960.htm" TargetMode="External"/><Relationship Id="rId168" Type="http://schemas.openxmlformats.org/officeDocument/2006/relationships/hyperlink" Target="http://www.sec.gov/Archives/edgar/data/879169/000110465917009266/a17-3826_1ex10d3.htm" TargetMode="External"/><Relationship Id="rId169" Type="http://schemas.openxmlformats.org/officeDocument/2006/relationships/hyperlink" Target="http://www.sec.gov/Archives/edgar/data/879169/000110465917043033/a17-15971_1ex10d27.htm" TargetMode="External"/><Relationship Id="rId170" Type="http://schemas.openxmlformats.org/officeDocument/2006/relationships/hyperlink" Target="http://www.sec.gov/Archives/edgar/data/879169/000155837018000722/incy-20171231ex10239cab7.htm" TargetMode="External"/><Relationship Id="rId171" Type="http://schemas.openxmlformats.org/officeDocument/2006/relationships/hyperlink" Target="http://www.sec.gov/Archives/edgar/data/879169/000155837018003642/incy-20180331ex10150c35f.htm" TargetMode="External"/><Relationship Id="rId172" Type="http://schemas.openxmlformats.org/officeDocument/2006/relationships/hyperlink" Target="http://www.sec.gov/Archives/edgar/data/879169/000155837016003196/incy-20151231ex10283b05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2020-02-13T16:20:00Z</dcterms:created>
  <dcterms:modified xsi:type="dcterms:W3CDTF">2020-02-13T16:20:00Z</dcterms:modified>
</cp:coreProperties>
</file>