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right="2800"/>
        <w:spacing w:after="0" w:line="454"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The number of outstanding shares of the registrant’s Common Stock, $.001 par value, was 192,598,027 as of July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-59690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-34925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60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(Loss)</w:t>
            </w:r>
          </w:p>
        </w:tc>
        <w:tc>
          <w:tcPr>
            <w:tcW w:w="31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3.</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4.</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5.</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4"/>
          </w:tcPr>
          <w:p>
            <w:pPr>
              <w:jc w:val="center"/>
              <w:ind w:left="3092"/>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3,213,376</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$464,272 and $442,816 as of June 30, 2024 and December 31,</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 respectively; allowance for credit losses $0 as of June 30, 2024 and December 31, 2023)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442,667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 term equity investments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743,557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182,830</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4,645,402</w:t>
            </w: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187,716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206,965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751,513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631,886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52,107</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4,661,803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148,174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935,569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38,422</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1,240,379</w:t>
            </w: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173,578</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1,664,744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1,592,270</w:t>
            </w:r>
          </w:p>
        </w:tc>
        <w:tc>
          <w:tcPr>
            <w:tcW w:w="0" w:type="dxa"/>
            <w:vAlign w:val="bottom"/>
          </w:tcPr>
          <w:p>
            <w:pPr>
              <w:spacing w:after="0"/>
              <w:rPr>
                <w:sz w:val="1"/>
                <w:szCs w:val="1"/>
                <w:color w:val="auto"/>
              </w:rPr>
            </w:pPr>
          </w:p>
        </w:tc>
      </w:tr>
      <w:tr>
        <w:trPr>
          <w:trHeight w:val="88"/>
        </w:trPr>
        <w:tc>
          <w:tcPr>
            <w:tcW w:w="8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180" w:type="dxa"/>
            <w:vAlign w:val="bottom"/>
          </w:tcPr>
          <w:p>
            <w:pPr>
              <w:ind w:left="260"/>
              <w:spacing w:after="0" w:line="159" w:lineRule="exact"/>
              <w:rPr>
                <w:sz w:val="20"/>
                <w:szCs w:val="20"/>
                <w:color w:val="auto"/>
              </w:rPr>
            </w:pPr>
            <w:r>
              <w:rPr>
                <w:rFonts w:ascii="Times New Roman" w:cs="Times New Roman" w:eastAsia="Times New Roman" w:hAnsi="Times New Roman"/>
                <w:sz w:val="16"/>
                <w:szCs w:val="16"/>
                <w:color w:val="auto"/>
              </w:rPr>
              <w:t>Common stock, $0.001 par value; 400,000,000 shares authorized; 191,572,449 and 224,286,862 shares issued and</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5,016,122</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(1,380,446)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2,997,059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4,661,803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2023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38"/>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906,566</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827,005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1,636,489</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1,520,242</w:t>
            </w:r>
          </w:p>
        </w:tc>
      </w:tr>
      <w:tr>
        <w:trPr>
          <w:trHeight w:val="22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243,041</w:t>
            </w: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1,763,283</w:t>
            </w:r>
          </w:p>
        </w:tc>
      </w:tr>
      <w:tr>
        <w:trPr>
          <w:trHeight w:val="245"/>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2"/>
        </w:trPr>
        <w:tc>
          <w:tcPr>
            <w:tcW w:w="504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125,148</w:t>
            </w:r>
          </w:p>
        </w:tc>
      </w:tr>
      <w:tr>
        <w:trPr>
          <w:trHeight w:val="22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1,138,380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807,391</w:t>
            </w: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599,535</w:t>
            </w:r>
          </w:p>
        </w:tc>
      </w:tr>
      <w:tr>
        <w:trPr>
          <w:trHeight w:val="172"/>
        </w:trPr>
        <w:tc>
          <w:tcPr>
            <w:tcW w:w="50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Loss on change in fair value of acquisition-related contingent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8"/>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18"/>
        </w:trPr>
        <w:tc>
          <w:tcPr>
            <w:tcW w:w="5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1,521,889</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2,310,880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1,544,733</w:t>
            </w:r>
          </w:p>
        </w:tc>
      </w:tr>
      <w:tr>
        <w:trPr>
          <w:trHeight w:val="245"/>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(478,130)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on equity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36,493</w:t>
            </w:r>
          </w:p>
        </w:tc>
      </w:tr>
      <w:tr>
        <w:trPr>
          <w:trHeight w:val="21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329,460</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104,209</w:t>
            </w:r>
          </w:p>
        </w:tc>
      </w:tr>
      <w:tr>
        <w:trPr>
          <w:trHeight w:val="243"/>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218,175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223,104</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218,175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225,541</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225,251</w:t>
            </w:r>
          </w:p>
        </w:tc>
      </w:tr>
      <w:tr>
        <w:trPr>
          <w:trHeight w:val="265"/>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r>
      <w:tr>
        <w:trPr>
          <w:trHeight w:val="225"/>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25"/>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w:t>
            </w:r>
          </w:p>
        </w:tc>
      </w:tr>
      <w:tr>
        <w:trPr>
          <w:trHeight w:val="265"/>
        </w:trPr>
        <w:tc>
          <w:tcPr>
            <w:tcW w:w="45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4480" w:type="dxa"/>
        <w:tblCellMar>
          <w:top w:w="0" w:type="dxa"/>
          <w:left w:w="0" w:type="dxa"/>
          <w:bottom w:w="0" w:type="dxa"/>
          <w:right w:w="0" w:type="dxa"/>
        </w:tblCellMar>
      </w:tblPr>
      <w:tr>
        <w:trPr>
          <w:trHeight w:val="172"/>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80" w:type="dxa"/>
            <w:vAlign w:val="bottom"/>
          </w:tcPr>
          <w:p>
            <w:pPr>
              <w:jc w:val="center"/>
              <w:ind w:left="29"/>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vMerge w:val="continue"/>
          </w:tcPr>
          <w:p>
            <w:pPr>
              <w:spacing w:after="0"/>
              <w:rPr>
                <w:sz w:val="13"/>
                <w:szCs w:val="13"/>
                <w:color w:val="auto"/>
              </w:rPr>
            </w:pPr>
          </w:p>
        </w:tc>
        <w:tc>
          <w:tcPr>
            <w:tcW w:w="1020" w:type="dxa"/>
            <w:vAlign w:val="bottom"/>
          </w:tcPr>
          <w:p>
            <w:pPr>
              <w:jc w:val="center"/>
              <w:ind w:left="109"/>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316,997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291,735 shares of Common Stock under the ESPP</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1,345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-2355215</wp:posOffset>
            </wp:positionV>
            <wp:extent cx="713486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-1943100</wp:posOffset>
            </wp:positionV>
            <wp:extent cx="71348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-991870</wp:posOffset>
            </wp:positionV>
            <wp:extent cx="713486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-579755</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-310515</wp:posOffset>
            </wp:positionV>
            <wp:extent cx="71348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-1673860</wp:posOffset>
            </wp:positionV>
            <wp:extent cx="7134860" cy="16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5,016,122</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r>
      <w:tr>
        <w:trPr>
          <w:trHeight w:val="62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(5,697)</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59,781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5,070,286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5,394,271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3"/>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13,792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56,637</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56,637</w:t>
            </w:r>
          </w:p>
        </w:tc>
      </w:tr>
      <w:tr>
        <w:trPr>
          <w:trHeight w:val="21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(758,061)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(2,023,872)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4,382,734</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(1,380,446)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2,997,059</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-33020</wp:posOffset>
            </wp:positionV>
            <wp:extent cx="858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-175895</wp:posOffset>
            </wp:positionV>
            <wp:extent cx="858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-1505585</wp:posOffset>
            </wp:positionV>
            <wp:extent cx="8585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9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40" w:type="dxa"/>
            <w:vAlign w:val="bottom"/>
            <w:vMerge w:val="continue"/>
          </w:tcPr>
          <w:p>
            <w:pPr>
              <w:spacing w:after="0"/>
              <w:rPr>
                <w:sz w:val="12"/>
                <w:szCs w:val="12"/>
                <w:color w:val="auto"/>
              </w:rPr>
            </w:pPr>
          </w:p>
        </w:tc>
        <w:tc>
          <w:tcPr>
            <w:tcW w:w="1160" w:type="dxa"/>
            <w:vAlign w:val="bottom"/>
          </w:tcPr>
          <w:p>
            <w:pPr>
              <w:jc w:val="center"/>
              <w:ind w:left="249"/>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313,995 shares of Common Stock upon exercise of</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1,073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59,093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216,168 shares of Common Stock under the ESPP</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1,282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-2052320</wp:posOffset>
            </wp:positionV>
            <wp:extent cx="7134860" cy="23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-1682115</wp:posOffset>
            </wp:positionV>
            <wp:extent cx="71348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23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-1412875</wp:posOffset>
            </wp:positionV>
            <wp:extent cx="7134860" cy="16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4,792,041</w:t>
            </w:r>
          </w:p>
        </w:tc>
        <w:tc>
          <w:tcPr>
            <w:tcW w:w="4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(437,214)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4,370,119</w:t>
            </w:r>
          </w:p>
        </w:tc>
      </w:tr>
      <w:tr>
        <w:trPr>
          <w:trHeight w:val="529"/>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11,235</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53,558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21,703</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4,856,914</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(415,511)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4,462,568</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13,704</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54,928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4,925,626</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(211,963)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4,740,692</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-1244600</wp:posOffset>
            </wp:positionV>
            <wp:extent cx="8585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107,899</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(61,864)</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and unrealized gain on equity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25"/>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(53,436)</w:t>
            </w:r>
          </w:p>
        </w:tc>
      </w:tr>
      <w:tr>
        <w:trPr>
          <w:trHeight w:val="225"/>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(122,008)</w:t>
            </w:r>
          </w:p>
        </w:tc>
      </w:tr>
      <w:tr>
        <w:trPr>
          <w:trHeight w:val="225"/>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r>
      <w:tr>
        <w:trPr>
          <w:trHeight w:val="218"/>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200,923</w:t>
            </w:r>
          </w:p>
        </w:tc>
      </w:tr>
      <w:tr>
        <w:trPr>
          <w:trHeight w:val="205"/>
        </w:trPr>
        <w:tc>
          <w:tcPr>
            <w:tcW w:w="8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equity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150,487</w:t>
            </w:r>
          </w:p>
        </w:tc>
      </w:tr>
      <w:tr>
        <w:trPr>
          <w:trHeight w:val="218"/>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w:t>
            </w:r>
          </w:p>
        </w:tc>
      </w:tr>
      <w:tr>
        <w:trPr>
          <w:trHeight w:val="205"/>
        </w:trPr>
        <w:tc>
          <w:tcPr>
            <w:tcW w:w="8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withholdings related to restricted and performance share vesting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r>
      <w:tr>
        <w:trPr>
          <w:trHeight w:val="218"/>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2,953,120</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3,132,842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excise tax on repurchase of common stock</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Our operations are treated as one operating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2024, the condensed consolidated statements of operations, comprehensive income (loss), and stockholders’ equity for the three and six months ended June 30, 2024 and 2023, and the condensed consolidated statements of cash flows for the six months ended June 30, 2024 and 2023,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2023 has been derived from our audited consolidated financial statements.</w:t>
      </w:r>
    </w:p>
    <w:p>
      <w:pPr>
        <w:spacing w:after="0" w:line="187"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 (the “SEC”).</w:t>
      </w:r>
    </w:p>
    <w:p>
      <w:pPr>
        <w:spacing w:after="0" w:line="15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2023.</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 issued Release Nos. 33-11275;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to require public companies to provide certain climate-related information in their registration statements and annual reports. The compliance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1,262,353</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56,772</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44,047</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1,520,242</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167,140</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954,610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1,924,648</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1,763,283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3"/>
                <w:szCs w:val="13"/>
                <w:color w:val="auto"/>
              </w:rPr>
            </w:pPr>
          </w:p>
        </w:tc>
        <w:tc>
          <w:tcPr>
            <w:tcW w:w="12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464,272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462,207</w:t>
            </w:r>
          </w:p>
        </w:tc>
        <w:tc>
          <w:tcPr>
            <w:tcW w:w="0" w:type="dxa"/>
            <w:vAlign w:val="bottom"/>
          </w:tcPr>
          <w:p>
            <w:pPr>
              <w:spacing w:after="0"/>
              <w:rPr>
                <w:sz w:val="1"/>
                <w:szCs w:val="1"/>
                <w:color w:val="auto"/>
              </w:rPr>
            </w:pPr>
          </w:p>
        </w:tc>
      </w:tr>
      <w:tr>
        <w:trPr>
          <w:trHeight w:val="265"/>
        </w:trPr>
        <w:tc>
          <w:tcPr>
            <w:tcW w:w="380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889"/>
        </w:trPr>
        <w:tc>
          <w:tcPr>
            <w:tcW w:w="3800" w:type="dxa"/>
            <w:vAlign w:val="bottom"/>
          </w:tcPr>
          <w:p>
            <w:pPr>
              <w:spacing w:after="0"/>
              <w:rPr>
                <w:sz w:val="24"/>
                <w:szCs w:val="24"/>
                <w:color w:val="auto"/>
              </w:rPr>
            </w:pPr>
          </w:p>
        </w:tc>
        <w:tc>
          <w:tcPr>
            <w:tcW w:w="28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As of June 30, 2024 and December 31, 2023, the available-for-sale debt securities were held in U.S.-government 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 Additionally, we have short term equity investments, which we intended to sell within one year, classified as Level 1 that were valued using their respective closing stock prices on The Nasdaq Stock Market.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June 30, 2024 and December 31, 2023,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six months ended June 30, 2024.</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12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20" w:type="dxa"/>
            <w:vAlign w:val="bottom"/>
          </w:tcPr>
          <w:p>
            <w:pPr>
              <w:spacing w:after="0"/>
              <w:rPr>
                <w:sz w:val="16"/>
                <w:szCs w:val="16"/>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987,293</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462,207</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69,875</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29,668</w:t>
            </w:r>
          </w:p>
        </w:tc>
      </w:tr>
      <w:tr>
        <w:trPr>
          <w:trHeight w:val="243"/>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6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3,213,376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3,401,092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3,843,759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3"/>
              <w:spacing w:after="0" w:line="128"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3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2024 and December 31, 2023 included a discount rate of 10% and updated projections of future net revenues of ICLUSIG in the European Union and other countries for the approved third line treatment. The change in fair value of the contingent consideration during the three and six months ended June 30, 2024 was due primarily to fluctuations in foreign currency exchange rates impacting future revenue projections of ICLUSIG and the passage of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or any additional milestone payments earned in the previous quarter. At June 30, 2024 and December 31, 2023, contingent consideration earned but not yet paid was $8.9 million and $10.3 million, respectively, and was included in accrued and other current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18% and 20% of the accounts receivable balance as of June 30, 2024 and December 31, 2023, respectively. For further information relating to these collaboration and license agreements, refer to Note 8.</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Product Revenues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Revenues for the</w:t>
            </w:r>
          </w:p>
        </w:tc>
      </w:tr>
      <w:tr>
        <w:trPr>
          <w:trHeight w:val="186"/>
        </w:trPr>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3"/>
          </w:tcPr>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92"/>
        </w:trPr>
        <w:tc>
          <w:tcPr>
            <w:tcW w:w="4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E and F comprised, in aggregate, 52% and 48% of the accounts receivable balance as of June 30, 2024 and December 31, 2023,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We assessed our collaborative and customer receivable assets as of June 30, 2024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June 30, 2024 and December 31, 2023, we had no allowance for doubtful accounts.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February 5, 2024, we entered into a purchase agreement with MorphoSys AG and MorphoSys US Inc., a wholly-owned subsidiary of MorphoSys AG (together with MorphoSys AG, “MorphoSys”), under which we gained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will recognize revenue and costs for all U.S. commercialization and clinical development and MorphoSys will no longer be eligible to receive future milestone, profit split and royalty payments under the now-terminated 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18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Under the purchase agreement, we have also become the successor to MorphoSys under its collaboration and license agreement with Xencor, Inc. (“Xencor”), pursuant to which Xencor granted MorphoSys an exclusive, worldwide license, including the right to sublicense under certain conditions, for tafasitamab. Xencor is entitled to receive up to $186.5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("Escient")</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Escient’s lead molecule, EP262, is a first-in-class oral Mas-related G protein-coupled receptor X2 (MRGPRX2) antagonist that has the potential to treat a broad range of inflammatory disorders. We accounted for the Escient transaction as an asset acquisition under U.S. GAAP because EP262 represents substantially all of the fair value of the gross assets acquired.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related compensation expense of $31.5 million associated with the accelerated vesting for certain Escient stock awards in connection with the acquisition on our condensed consolidated statements of operations for the quarter ended June 30, 2024.</w:t>
      </w:r>
    </w:p>
    <w:p>
      <w:pPr>
        <w:spacing w:after="0" w:line="18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allocation of the remaining U.S. GAAP consideration, net of compensation expense, across the net assets acquired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9"/>
        </w:trPr>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U.S. GAAP Consideration (net of compensation expense)</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753,511</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In-process research and development (“IPR&amp;D”) assets are related to acquired clinical-stage product candidates: lead candidate, EP262, and secondary candidate, EP547. The fair value of IPR&amp;D assets was based on the present value of future discounted cash flows, which was based on significant estimates. These estimates included the number of potential patients and market prices of future product candidates,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EP262 and EP547 was $644.8 million and $34.6 million, respectively. As both acquired IPR&amp;D assets do not have an alternative future use at the acquisition date, we recognized the full amount of $679.4 million as research and development expenses on our condensed consolidated statement of operations for the three and six months ended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269,937</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June 30, 2024, $100.7 million of inventory was classified as current on the condensed consolidated balance sheet as we expect this inventory to be consumed for commercial use within the next twelve months. At June 30, 2024, $255.3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June 30, 2024, inventory with approximately $34.9 million of product costs incurred prior to regulatory approval had not yet been sold. We expect to sell the pre-commercialization inventory over the next 5 to 27 months and, as a result, cost of product revenues will reflect a lower average per unit cost of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June 30, 2024, we have recognized and received, in the aggregate, $157.0 million for the achievement of development milestones, $345.0 million for the achievement of regulatory milestones, and $200.0 million for the achievement of sales milestones.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six months ended June 30, 2024, such royalties on net sales within the United States totaled $34.6 million and $57.6 million, respectively, and were reflected in cost of product revenues on the condensed consolidated statements of operations. During the three and six months ended June 30, 2023, such royalties on net sales within the United States totaled $33.5 million and $56.9 million, respectively, and were reflected in cost of product revenues on the condensed consolidated statements of operations. At June 30, 2024 and December 31, 2023, $433.2 million and $375.6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Product royalty revenue related to Novartis net sales of JAKAVI outside of the United States for the three and six months ended June 30, 2024 was $99.3 million and $188.9 million, respectively. Product royalty revenue related to Novartis net sales of JAKAVI outside of the United States for the three and six months ended June 30, 2023 was $90.4 million and $167.1 million, respectively. Product royalty revenue related to Novartis net sales of TABRECTA worldwide for the three and six months ended June 30, 2024 was $5.3 million and $10.5 million, respectively. Product royalty revenue related to Novartis net sales of TABRECTA worldwide for the three and six months ended June 30, 2023 was $4.8 million and $9.0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June 30, 2024,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and six months ended June 30, 2024 was $31.7 million and $62.3 million, respectively. Product royalty revenue related to Lilly net sales of OLUMIANT outside of the United States for the three and six months ended June 30, 2023 was $32.0 million and $66.2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w:t>
      </w:r>
    </w:p>
    <w:p>
      <w:pPr>
        <w:spacing w:after="0" w:line="178"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Since the inception of the agreement through June 30, 2024, we have paid Agenus milestones totaling $30.0 million, and Agenus is eligible to receive up to an additional $500.0 million in future contingent development, regulatory and commercialization milestones across all programs in the collaboration.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As of June 30, 2024, we held an investment of approximately 0.6 million shares of Agenus Inc. common stock, which reflects a one-for-twenty reverse stock split effected by Agenus Inc. in April 2024. The fair market value of our equity investment in Agenus Inc. at June 30, 2024 and December 31, 2023 was $10.1 million and $10.0 million, respectively. For the three and six months ended June 30, 2024, we recorded an unrealized gain of $3.1 million and $0.1 million, respectively, based on the change in fair value of Agenus Inc.’s common stock during the respective periods. For the three and six months ended June 30, 2023, we recorded an unrealized gain of $0.9 million and an unrealized loss of $9.7 million, respectively, based on the change in fair value of Agenus Inc.’s common stock during the respective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the inception of the agreement through June 30, 2024, we have paid and expensed Merus milestones totaling $10.0 million.</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During the second quarter of 2024, we sold approximately 3.0 million of Merus' common shares for proceeds of $160.6 million. As of June 30, 2024, we held an investment of approximately 1.0 million common shares. The fair market value of our equity investment in Merus at June 30, 2024 and December 31, 2023 was $59.6 million and $110.1 million, respectively. For the three and six months ended June 30, 2024, we recorded realized and unrealized gains of $40.0 million and $110.2 million, respectively, based on the sale of shares and change in fair value of remaining Merus’ common shares during the respective periods. For the three and six months ended June 30, 2023, we recorded an unrealized gain of $28.2 million and $38.6 million, respectively, based on the change in fair value of Merus’ common shares during the respective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June 30, 2024, and is being amortized through cost of product revenues over the estimated useful life of 13.5 years.</w:t>
      </w:r>
    </w:p>
    <w:p>
      <w:pPr>
        <w:spacing w:after="0" w:line="159"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Since the inception of the agreement, inclusive of the July 2022 amendment to the agreement, through June 30, 2024, we have paid MacroGenics developmental and regulatory milestones totaling $115.0 million. On July 24, 2024, the parties further amended the agreement, with Incyte agreeing to pay MacroGenics $100.0 million now in exchange for MacroGenics’ agreement to waive future milestones for squamous cell anal cancer and non-small cell lung cancer.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w:t>
      </w:r>
    </w:p>
    <w:p>
      <w:pPr>
        <w:spacing w:after="0" w:line="16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2024 also included $13.2 million and $25.3 million, respectively, of development costs incurred pursuant to the MacroGenics agreement. Research and development expenses for the three and six months ended June 30, 2023 also included $12.1 million and $29.9 million, respectively, of development costs incurred pursuant to the MacroGenics agreement. At June 30, 2024 and December 31, 2023, a total of $0.6 million and $0.3 million of such costs were included in accrued and other liabilities on the condensed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6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During May 2024, as part of the Novartis tender offer for MorphoSys' outstanding shares, we sold all of our 3.6 million American Depository Shares, each representing 0.25 of an ordinary share of MorphoSys AG, for proceeds of $66.6 million. The fair market value of our equity investment in MorphoSys AG as of June 30, 2024 and December 31, 2023 was $0.0 million and $35.9 million, respectively. For the three and six months ended June 30, 2024, we recorded realized and unrealized gains of $0.8 million and $30.7 million, respectively, based on the sale of shares and change in fair value of MorphoSys AG's ordinary shares during the respective periods. For the three and six months ended June 30, 2023, we recorded an unrealized gain of $12.7 million and $14.1 million, respectively, based on the change in fair value of MorphoSys AG's ordinary shares during the respective periods.</w:t>
      </w:r>
    </w:p>
    <w:p>
      <w:pPr>
        <w:spacing w:after="0" w:line="185"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condensed consolidated statement of operations. As described in Note 6, subsequent to the asset acquisition, we will recognize revenue and costs for all commercialization and clinical development of tafasitamab in the United States. Our 50% share of the United States profit or loss for the commercialization of tafasitamab for the three and six months ended June 30, 2023 was a profit of $0.5 million and $1.9 million, respectively, and is recorded as (Profit) and loss sharing under collaboration agreements on the condensed consolidated statement of operations. Research and development expenses for the period from January 1, 2024 to the asset acquisition on February 5, 2024, includes $10.7 million, related to our 55% share of the co-development costs for tafasitamab. Research and development expenses for the three and six months ended June 30, 2023, includes $20.3 million and $45.5 million, respectively, related to our 55% share of the co-development costs for tafasitamab. At June 30, 2024 and December 31, 2023, $0.0 million and $18.8 million, respectively, was included in accrued and other liabilities on the condensed consolidated balance sheets for amounts due to MorphoSys under the former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June 30, 2024, we have made payments of $117.0 million to Syndax, which were previously recorded in research and development expense.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June 30, 2024, we held an investment of approximately 1.4 million shares of Syndax common stock. The fair market value of our long term investment in Syndax as of June 30, 2024 and December 31, 2023 was $29.2 million and $30.7 million. For the three and six months ended June 30, 2024, we recorded an unrealized loss of $4.6 million and $1.5 million, respectively, based on the change in fair value of Syndax’s common stock during the respective periods. For the three and six months ended June 30, 2023, we recorded an unrealized loss of $0.2 million and $6.4 million, respectively, based on the change in fair value of Syndax’s common stock during the respective periods.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2024, includes $4.7 million and $11.8 million, respectively, related to our 55% share of the co-development costs for axatilimab. Research and development expenses for the three and six months ended June 30, 2023, includes $6.2 million and $11.8 million, respectively, related to our 55% share of the co-development costs for axatilimab. At June 30, 2024 and December 31, 2023, $2.6 million and $1.8 million, respectively, was included in accrued and other liabilities on the condensed consolidated balance sheet for amounts due to Syndax under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during the first quarter of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147,570</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584,755</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r>
      <w:tr>
        <w:trPr>
          <w:trHeight w:val="218"/>
        </w:trPr>
        <w:tc>
          <w:tcPr>
            <w:tcW w:w="8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751,513</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As of June 30, 2024 we capitalized $4.9 million of land and recorded approximately $43.8 million of construction in progress relating to the office buildings and parking garages.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r>
      <w:tr>
        <w:trPr>
          <w:trHeight w:val="25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279,914</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r>
      <w:tr>
        <w:trPr>
          <w:trHeight w:val="24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w:t>
            </w:r>
          </w:p>
        </w:tc>
      </w:tr>
      <w:tr>
        <w:trPr>
          <w:trHeight w:val="25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935,569</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04"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restricted stock units (“RSUs”) and performance shares (“PSUs”).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In January 2024, our Board of Directors adopted the Incyte Corporation 2024 Inducement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“2024 Inducement Plan”). In reliance on Nasdaq Marketplace Rule 5635(c)(4), stockholder approval was not obtained. A total of 1,000,000 shares of common stock are reserved for issuance pursuant to the 2024 Inducement Plan.</w:t>
      </w:r>
    </w:p>
    <w:p>
      <w:pPr>
        <w:spacing w:after="0" w:line="17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Share Repurchase and Modified "Dutch Auction" Tender Offer. </w:t>
      </w:r>
      <w:r>
        <w:rPr>
          <w:rFonts w:ascii="Times New Roman" w:cs="Times New Roman" w:eastAsia="Times New Roman" w:hAnsi="Times New Roman"/>
          <w:sz w:val="17"/>
          <w:szCs w:val="17"/>
          <w:color w:val="auto"/>
        </w:rPr>
        <w:t>On May 13, 2024 we announced that our Board of Directors approved a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or a lower amount depending on the number of shares that are properly tendered and not properly withdrawn. On June 13, 2024 we completed the tender offer and repurchased 27,866,666 shares at a price of $60.00 per share for an aggregate price of approximately $1.672 billion, excluding fees and related expenses, pursuant to the tender offer which expired at 12:00 midnight, at the end of the day, New York City time on June 10, 2024.</w:t>
      </w:r>
    </w:p>
    <w:p>
      <w:pPr>
        <w:spacing w:after="0" w:line="17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is determined and paid in the tender offer. On June 26, 2024, we repurchased 5,459,183 shares at a price of $60.00 per share for an aggregate price of approximately $328.0 million pursuant to the terms of the stock purchase agreement with the Baker Entities.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 total of 33,325,849 common shares were repurchased during June 2024 at a price of $60.00 for an aggregate purchase price of approximately $2.0 billion. We incurred $24.3 million in fees and expenses associated with the share repurchase, which included $19.2 million for excise taxes on share repurchases in accordance with the Inflation Reduction Act of 2022. We currently expect to pay the excise tax in the second quarter of 2025. These costs were recognized within (Accumulated deficit) retained earnings on the condensed consolidated balance sheet during the three months ended June 30, 2024 as costs to repurchase the Company’s common stock. The purchased shares were cancelled and ceased to be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recorded $56.6 million and $116.4 million of stock compensation expense on our condensed consolidated statements of operations for the three and six months ended June 30, 2024, respectively. We recorded $54.5 million and $107.9 million of stock compensation expense on our condensed consolidated statements of operations for the three and six months ended June 30, 2023, respectively. Stock compensation expense included within our condensed consolidated statements of operations included research and development expense of $34.5 million, $71.3 million, $32.8 million and $63.8 million for the three and six months ended June 30, 2024 and 2023, respectively. Stock compensation expense included within our condensed consolidated statements of operations also included selling, general and administrative expense of $21.7 million, $44.1 million, $20.9 million and $42.5 million for the three and six months ended June 30, 2024 and 2023, respectively. Stock compensation expense included within our condensed consolidated statements of operations also included cost of product revenues of $0.4 million, $1.0 million, $0.8 million and $1.6 million, respectively, for the three and six months ended June 30, 2024 and 2023.</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as described in Note 6, as part of the Escient acquisition, during the three and six months ended June 30, 2024, we recognized related compensation expense of $31.5 million associated with the accelerated vesting for certain Escient stock awards in connection with the acquisition on our condensed consolidated statements of operations.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9"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2460" w:type="dxa"/>
            <w:vAlign w:val="bottom"/>
            <w:tcBorders>
              <w:top w:val="single" w:sz="8" w:color="auto"/>
              <w:bottom w:val="single" w:sz="8" w:color="auto"/>
            </w:tcBorders>
            <w:gridSpan w:val="2"/>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80" w:type="dxa"/>
            <w:vAlign w:val="bottom"/>
            <w:tcBorders>
              <w:top w:val="single" w:sz="8" w:color="auto"/>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top w:val="single" w:sz="8" w:color="auto"/>
              <w:bottom w:val="single" w:sz="8" w:color="auto"/>
            </w:tcBorders>
            <w:gridSpan w:val="2"/>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tcBorders>
              <w:top w:val="single" w:sz="8" w:color="auto"/>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6780" w:space="1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25"/>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172"/>
        </w:trPr>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14.08</w:t>
            </w:r>
          </w:p>
        </w:tc>
      </w:tr>
    </w:tbl>
    <w:p>
      <w:pPr>
        <w:spacing w:after="0" w:line="2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(198,243)</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12,942,495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annual stock option grants generally have a 10-year term and vest over four years, with 25% vesting after one year and the remainder vesting in 36 equal monthly installments.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7,080,132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six months ended June 30, 2024 we recorded $3.5 million and $6.9 million, respectively, of stock compensation expense for PSUs on our condensed consolidated statements of operations. For the three and six months ended June 30, 2023 we recorded $2.7 million and $9.2 million of stock compensation expense for PSUs on our condensed consolidated statements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Each RSU and PSU grant reduces the available share pool by 2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10,815,026</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 - 2024 Inducement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(1,560,390)</w:t>
            </w:r>
          </w:p>
        </w:tc>
      </w:tr>
      <w:tr>
        <w:trPr>
          <w:trHeight w:val="246"/>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443,403</w:t>
            </w:r>
          </w:p>
        </w:tc>
      </w:tr>
      <w:tr>
        <w:trPr>
          <w:trHeight w:val="27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10,698,039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June 30, 2024, was $24.1 million, which is expected to be recognized over the weighted average period of approximately 1.0 years. Total compensation cost of RSUs granted but not yet vested, as of June 30, 2024, was $165.1 million, which is expected to be recognized over the weighted average period of approximately 1.4 years. Total compensation cost of PSUs granted but not yet vested, as of June 30, 2024, was $10.1 million, which is expected to be recognized over the weighted average period of 1.0 years, should the underlying performance conditions be deemed probable of achievement.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19" w:lineRule="exact"/>
        <w:rPr>
          <w:sz w:val="20"/>
          <w:szCs w:val="20"/>
          <w:color w:val="auto"/>
        </w:rPr>
      </w:pPr>
    </w:p>
    <w:p>
      <w:pPr>
        <w:ind w:right="660" w:firstLine="636"/>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June 30, 2024 and 2023, we recorded the following provisions for income taxes and effective tax rates as compared to our income before provision for income taxes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(389,777)</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(153,618)</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329,460</w:t>
            </w:r>
          </w:p>
        </w:tc>
      </w:tr>
      <w:tr>
        <w:trPr>
          <w:trHeight w:val="24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54,824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121,435</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104,209</w:t>
            </w:r>
          </w:p>
        </w:tc>
      </w:tr>
      <w:tr>
        <w:trPr>
          <w:trHeight w:val="271"/>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bl>
    <w:p>
      <w:pPr>
        <w:spacing w:after="0" w:line="2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2024 was higher than the U.S. statutory rate primarily due to non-deductible charges of $710.9 million associated with the Escient acquisition. Our effective tax rate for the three and six months ended June 30, 2023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 The effective tax rate for the three and six months ended June 30, 2024 was unfavorable as compared to the prior year period primarily due to the non-deductible charges associated with the Escient acquisition.</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described in Note 6, as part of the Escient acquisition, we recorded $44.8 million of deferred tax assets predominately related to net operating losses and capitalized researched and development costs.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$19.3 million during the six months ended June 30, 2024. This movement was primarily driven by increases related to prior period tax positions of $7.5 million, increases related to acquired reserves of $8.8 million, and $3.0 million of interest and penalties. We accrue interest and penalties related to unrecognized tax benefits as a component of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2020. We are currently under U.S. federal audit for tax year 2021.</w:t>
      </w:r>
    </w:p>
    <w:p>
      <w:pPr>
        <w:spacing w:after="0" w:line="16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The Organization for Economic Cooperation and Development Pillar 2 guidelines, which were supported by over 130 countries worldwide, are designed to impose a 15% global minimum tax on adjusted financial results. Certain aspects of Pillar 2 took effect on January 1, 2024, while other aspects go into effect on January 1, 2025. We are evaluating the potential impact of Pillar 2 on our business, as many of the countries in which we operate are enacting legislation implementing Pillar 2. Although many aspects of Pillar 2 remain to be clarified, at this time there are no material impacts on our effective tax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Income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(loss) income per share was calculated as follows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(loss)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225,251</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5"/>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218,175</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223,104</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3"/>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8"/>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(loss)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225,251</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218,175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223,104</w:t>
            </w:r>
          </w:p>
        </w:tc>
      </w:tr>
      <w:tr>
        <w:trPr>
          <w:trHeight w:val="225"/>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00"/>
        </w:trPr>
        <w:tc>
          <w:tcPr>
            <w:tcW w:w="5020" w:type="dxa"/>
            <w:vAlign w:val="bottom"/>
            <w:tcBorders>
              <w:top w:val="single" w:sz="8" w:color="CCEEFF"/>
            </w:tcBorders>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Weighted average shares used to compute diluted net (loss) income</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218,175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221,329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225,541</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43"/>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All stock options and stock awards were excluded from the diluted share calculation for the three and six months ended June 30, 2024 because their effect would have been anti-dilutive, as we were in a net loss position. The potential common shares that were excluded from the diluted net (loss) income per share computation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180" w:type="dxa"/>
            <w:vAlign w:val="bottom"/>
            <w:gridSpan w:val="3"/>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center"/>
              <w:ind w:left="845"/>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92"/>
        </w:trPr>
        <w:tc>
          <w:tcPr>
            <w:tcW w:w="50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4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16,067,125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12,806,418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16,148,294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10,781,677</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2024 was $5.2 million and $10.6 million, respectively. Defined contribution expense for the three and six months ended June 30, 2023 was $4.0 million and $9.6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Interest income and other, net on the condensed consolidated statements of operations. We expect to contribute a total of $10.0 million to the pension plans in 2024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June 30, 2024 and December 31, 2023, we had no outstanding borrowings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June 30, 2024, we have accrued approximately $91.1 million within accrued and other current liabilities on the condensed consolidated balance sheet, relating to the incremental rebates that would be owed were OPZELURA considered a line extension of JAKAFI. The impact on OPZELURA gross to net deductions for the quarter ending June 30, 2024 is approximately 6.8%.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addition, as described in Note 8, we have an outstanding contractual dispute with Novartis relating to royalties on JAKAFI net sales within the United States.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six months ended June 30, 2024 should be read in conjunction with the unaudited condensed consolidated financial statements and notes to those statements included elsewhere in this Quarterly Report on Form 10-Q and our audited consolidated financial statements as of and for the year ended December 31, 2023 included in our Annual Report on Form 10-K for the year ended December 31, 2023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8" w:lineRule="exact"/>
        <w:rPr>
          <w:sz w:val="20"/>
          <w:szCs w:val="20"/>
          <w:color w:val="auto"/>
        </w:rPr>
      </w:pPr>
    </w:p>
    <w:p>
      <w:pPr>
        <w:jc w:val="both"/>
        <w:ind w:left="960" w:hanging="318"/>
        <w:spacing w:after="0" w:line="24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and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right="2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JAKAVI, OLUMIANT, TABRECTA and the drug candidates licensed from us;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8" w:lineRule="exact"/>
        <w:rPr>
          <w:sz w:val="20"/>
          <w:szCs w:val="20"/>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short term equity investments and long term equity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five approved products, which are JAKAFI (ruxolitinib), MONJUVI (tafasitamab-cxix)/MINJUVI (tafasitamab), PEMAZYRE (pemigatinib), ICLUSIG (ponatinib) and ZYNYZ (retifanlimab-dlwr),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8"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 dissimilar stem cells or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7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7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and as a result,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(NMPA) of the People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fibroblast growth receptor 2 (FGFR2) fusion or rearrangement as confirmed by a validated diagnostic test that has progressed after at least one prior line of systemic 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and INCB00928 (Zilurgisertib) in patients with MF are ongoing with data presented demonstrating early signals of clinical activity of both agents in monotherapy and in combination with ruxolitinib. Additional discovery and development initiatives are also ongoing with two Phase 1 studies in INCA33989 (mCALR) and INCB160058 (JAK2V617Fi), both of which hold the potential to be disease modifying therapeutics and address significant unmet need in MF, PV and ET.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22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Plans are underway to initiate two combination trials with axatilimab in cGVHD in 2024, including a randomized Phase 2 combination trial with ruxolitinib and a randomized Phase 3 combination trial with steroids, both directed at treating patients with cGVHD in earlier lines of therapy.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INCA33989 (mCALR)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American Society of Hematology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 placebo-controlled Phase 3 trial (inMIND) of tafasitamab added to lenalidomide plus rituximab (R</w:t>
      </w:r>
      <w:r>
        <w:rPr>
          <w:rFonts w:ascii="Times New Roman" w:cs="Times New Roman" w:eastAsia="Times New Roman" w:hAnsi="Times New Roman"/>
          <w:sz w:val="8"/>
          <w:szCs w:val="8"/>
          <w:color w:val="auto"/>
        </w:rPr>
        <w:t>2</w:t>
      </w:r>
      <w:r>
        <w:rPr>
          <w:rFonts w:ascii="Times New Roman" w:cs="Times New Roman" w:eastAsia="Times New Roman" w:hAnsi="Times New Roman"/>
          <w:sz w:val="18"/>
          <w:szCs w:val="18"/>
          <w:color w:val="auto"/>
        </w:rPr>
        <w:t>) in patients with relapsed or refractory follicular or marginal zone lymphomas is ongoing.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Pemigatinib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initiated the FIGHT clinical program to evaluate pemigatinib across a spectrum of cancers that are driven by FGF/FGFR alterations. The program initially included three Phase 2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3 study in first-line cholangiocarcinoma. FIGHT-207, a solid tumor-agnostic trial evaluating pemigatinib in patients with driver-alterations of FGF/FGFR, is now closed to recruitment.</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July 2024, we announced positive topline results from both the two Phase 3 clinical studies evaluating retifanlimab, a humanized monoclonal antibody targeting programmed cell death receptor-1 (PD-1), in squamous cell anal carcinoma (SCAC) and non-small cell lung cancer (NSCLC). The phase 3 study in SCAC met its primary endpoint of progression free survival while the Phase 3 study in NSCLC meet its primary endpoint of overall survival. The safety analysis from both studies showed retifanlimab was generally well-tolerated with no new safety signals observed. We plan to share the full datasets from both studies in the second half of 2024. POD1UM-303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822325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3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8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800" w:type="dxa"/>
            <w:vAlign w:val="bottom"/>
            <w:shd w:val="clear" w:color="auto" w:fill="CCEEFF"/>
          </w:tcPr>
          <w:p>
            <w:pPr>
              <w:spacing w:after="0"/>
              <w:rPr>
                <w:sz w:val="19"/>
                <w:szCs w:val="19"/>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zilurgisertib</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ALK2i)</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20"/>
        </w:trPr>
        <w:tc>
          <w:tcPr>
            <w:tcW w:w="344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Axatilimab (anti-CSF-1R)</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Chronic GVHD: Pivotal Phase 2 (third-line plus therapy) (AGAVE-201); BLA under review in the</w:t>
            </w:r>
          </w:p>
        </w:tc>
      </w:tr>
      <w:tr>
        <w:trPr>
          <w:trHeight w:val="231"/>
        </w:trPr>
        <w:tc>
          <w:tcPr>
            <w:tcW w:w="344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Chronic GVHD: Phase 2 in preparation</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Chronic GVHD: Phase 3 in preparation</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INCA33989</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(mCALR)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INCB160058</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Pemigatinib (PEMAZYRE)</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Myeloid/lymphoid neoplasms (MLN): approved in the U.S. and Japan</w:t>
            </w:r>
          </w:p>
        </w:tc>
      </w:tr>
      <w:tr>
        <w:trPr>
          <w:trHeight w:val="25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Cholangiocarcinoma (CCA): Phase 3 (FIGHT-302)</w:t>
            </w: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1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10"/>
        </w:trPr>
        <w:tc>
          <w:tcPr>
            <w:tcW w:w="3440" w:type="dxa"/>
            <w:vAlign w:val="bottom"/>
          </w:tcPr>
          <w:p>
            <w:pPr>
              <w:spacing w:after="0"/>
              <w:rPr>
                <w:sz w:val="18"/>
                <w:szCs w:val="18"/>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Relapsed or refractory follicular lymphoma (FL) and relapsed or refractory marginal zone lymphoma</w:t>
            </w:r>
          </w:p>
        </w:tc>
      </w:tr>
      <w:tr>
        <w:trPr>
          <w:trHeight w:val="233"/>
        </w:trPr>
        <w:tc>
          <w:tcPr>
            <w:tcW w:w="344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(MZL):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2"/>
                <w:szCs w:val="22"/>
                <w:b w:val="1"/>
                <w:bCs w:val="1"/>
                <w:color w:val="auto"/>
                <w:vertAlign w:val="superscript"/>
              </w:rPr>
              <w:t>2</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Merkel cell carcinoma (MCC): approved in the U.S. and Europe</w:t>
            </w: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12"/>
        </w:trPr>
        <w:tc>
          <w:tcPr>
            <w:tcW w:w="3440" w:type="dxa"/>
            <w:vAlign w:val="bottom"/>
            <w:shd w:val="clear" w:color="auto" w:fill="CCEEFF"/>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Solid tumors with Amplification/ Overexpression of CCNE1: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Advanced metastatic solid tumors with a KRAS G12D mutation: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INCA33890</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Advanced or metastatic solid tumors: Phase 1</w:t>
            </w:r>
          </w:p>
        </w:tc>
      </w:tr>
      <w:tr>
        <w:trPr>
          <w:trHeight w:val="26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(TGFßR2×PD-1)</w:t>
            </w:r>
            <w:r>
              <w:rPr>
                <w:rFonts w:ascii="Times New Roman" w:cs="Times New Roman" w:eastAsia="Times New Roman" w:hAnsi="Times New Roman"/>
                <w:sz w:val="22"/>
                <w:szCs w:val="22"/>
                <w:b w:val="1"/>
                <w:bCs w:val="1"/>
                <w:color w:val="auto"/>
                <w:vertAlign w:val="superscript"/>
              </w:rPr>
              <w:t>3</w:t>
            </w:r>
          </w:p>
        </w:tc>
        <w:tc>
          <w:tcPr>
            <w:tcW w:w="7800" w:type="dxa"/>
            <w:vAlign w:val="bottom"/>
            <w:tcBorders>
              <w:bottom w:val="single" w:sz="8" w:color="auto"/>
            </w:tcBorders>
          </w:tcPr>
          <w:p>
            <w:pPr>
              <w:spacing w:after="0"/>
              <w:rPr>
                <w:sz w:val="22"/>
                <w:szCs w:val="22"/>
                <w:color w:val="auto"/>
              </w:rPr>
            </w:pPr>
          </w:p>
        </w:tc>
      </w:tr>
    </w:tbl>
    <w:p>
      <w:pPr>
        <w:spacing w:after="0" w:line="41" w:lineRule="exact"/>
        <w:rPr>
          <w:sz w:val="20"/>
          <w:szCs w:val="20"/>
          <w:color w:val="auto"/>
        </w:rPr>
      </w:pPr>
    </w:p>
    <w:p>
      <w:pPr>
        <w:ind w:left="160" w:hanging="154"/>
        <w:spacing w:after="0"/>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Clinical development of axatilimab in GVHD conducted in collaboration with Syndax Pharmaceuticals.</w:t>
      </w: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21"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In July 2024, we announced a strategic review of our pipeline with an increased focus on high potential impact programs. We will discontinue further development of both oral, small molecule PD-L1 inhibitors, as well as LAG-3 monoclonal antibody, TIM-3 monoclonal antibody and LAG-3xPD-1 bispecific.</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2023, we presented data at the American Association for Cancer Research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(PR) across multiple tumor types including ovarian cancer patients with CCNE1 amplification and/or over expression. The safety data seen during this disclosure aligns with CDK2 mechanism of action. Additional data from this trial is anticipated in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(KRASG12D)</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A Phase 1 study evaluating INCB161734 (KRASG12D) was initiated in the first quarter of 2024. INCB161734 is a potent, selective and orally bioavailable KRAS G12D inhibitor and, as highlighted at AACR in April 2024, has shown excellent efficacy in several preclinical models. With no currently approved G12D-targeting agents, INCB161734 could address an important patient need as the KRASG12D mutation is found in 40% of pancreatic ductal adenocarcinoma, 15% of colorectal cancers, and 5% of non-small cell lung cancers. Data from the ongoing Phase 1 study is expected in 2025.</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 Data from the ongoing Phase 1 study is expected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Incyte’s IAI efforts also include numerous clinical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 Incyte’s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approval of OPZELURA was based on data from two randomized, double-blind, vehicle-controlled Phase 3 studies (TRuE-AD1 and TRuE-AD</w:t>
      </w:r>
    </w:p>
    <w:p>
      <w:pPr>
        <w:spacing w:after="0" w:line="36" w:lineRule="exact"/>
        <w:rPr>
          <w:sz w:val="20"/>
          <w:szCs w:val="20"/>
          <w:color w:val="auto"/>
        </w:rPr>
      </w:pPr>
    </w:p>
    <w:p>
      <w:pPr>
        <w:jc w:val="both"/>
        <w:ind w:firstLine="6"/>
        <w:spacing w:after="0" w:line="246" w:lineRule="auto"/>
        <w:tabs>
          <w:tab w:leader="none" w:pos="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January 2024, we received approval in France to promote and distribute OPZELURA for vitiligo under a process called “Accès Direct.” This process is intended to allow for early access to a therapy while a final price is negotiated.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achieved full reimbursement for OPZELURA in Spain and Italy at the end of the second quarter 2024 and in France in July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spacing w:after="0" w:line="14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announced positive topline results from a randomized controlled Phase 2 study evaluating ruxolitinib cream in Hidradenitis Suppurativa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expected to initiate in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(formerly INCB54707), which is an oral small molecule selective JAK1 inhibitor. Povorcitinib is undergoing evaluation in patients with hidradenitis suppurativa (HS), nonsegmental vitiligo, prurigo nodularis (PN), asthma and chronic spontaneous urticaria (CSU).</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7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8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and safety of povorcitinib in participants with PN had met its primary endpoint. A Phase 3 study in PN is expected to initiate in 2024.</w:t>
      </w:r>
    </w:p>
    <w:p>
      <w:pPr>
        <w:spacing w:after="0" w:line="160" w:lineRule="exact"/>
        <w:rPr>
          <w:sz w:val="20"/>
          <w:szCs w:val="20"/>
          <w:color w:val="auto"/>
        </w:rPr>
      </w:pPr>
    </w:p>
    <w:p>
      <w:pPr>
        <w:jc w:val="both"/>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uncontrolled asthma and in chronic spontaneous urticaria.</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INCB000262 (EP262) (MRGPRX2) &amp; INCB000547 (EP547) (MRGPRX4)</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more fully described in Note 6 to the Condensed Consolidated Financial Statements, in May 2024, we acquired Escient Pharmaceuticals, Inc. (“Escient”). Escient is a clinical-stage drug discovery and development company advancing novel small molecule therapeutics for systemic immune and neuro-immune disorders. Escient’s clinical development portfolio includes EP262, a first-in-class, potent, highly selective, once-daily small molecule antagonist of Mas-related G protein-coupled receptor (MRGPRX2) and EP547, a first-in-class oral MRGPRX4 antagonist.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MRGPRX2 is a specific, novel mechanism for blocking mast cell activation, independent from IgE, and has been a high priority target to add to our IAI pipeline. EP262 is a first-in-class medicine that entered the clinic in January 2023 and is currently being evaluated in the clinic. In the Phase 1 healthy volunteer study, EP262 was well-tolerated, had low inter-patient PK variability and achieved exposures well above predicted efficacious levels. EP262 is currently in a phase 1b open label study in chronic inducible urticaria (CIndU) and in two randomized phase 2 studies in chronic spontaneous urticaria (CSU) and atopic dermatitis (AD) with data for all three studies expected by early 2025.</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EP547 is a potent and highly-selective antagonist of MRGPRX4. MRGPRX4 is expressed on neurons in the dorsal root ganglia and specifically activated by bile acids that are increased in cholestatic patients. Initial evaluation is being conducted in cholestatic pruritus with clinical proof-of-concept for cholestatic pruritus associated with primary biliary cholangitis (PBC) and primary sclerosing cholangitis (PSC), anticipated by early 2025.</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Indication expansion opportunities for both EP262 and EP547 are under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2"/>
                <w:szCs w:val="22"/>
                <w:b w:val="1"/>
                <w:bCs w:val="1"/>
                <w:color w:val="auto"/>
                <w:vertAlign w:val="superscript"/>
              </w:rPr>
              <w:t>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3 pediatric study (TRuE-AD3)</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Approved in the U.S. and Europe</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Lichen planus: Phase 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Lichen sclerosus: Phase 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2; Phase 3 expected to initiate in 2025</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cream + UVB</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2</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phototherapy)</w:t>
            </w:r>
          </w:p>
        </w:tc>
        <w:tc>
          <w:tcPr>
            <w:tcW w:w="8520" w:type="dxa"/>
            <w:vAlign w:val="bottom"/>
          </w:tcPr>
          <w:p>
            <w:pPr>
              <w:spacing w:after="0"/>
              <w:rPr>
                <w:sz w:val="20"/>
                <w:szCs w:val="20"/>
                <w:color w:val="auto"/>
              </w:rPr>
            </w:pPr>
          </w:p>
        </w:tc>
      </w:tr>
      <w:tr>
        <w:trPr>
          <w:trHeight w:val="26"/>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expected to initiate in 2024</w:t>
            </w:r>
          </w:p>
        </w:tc>
      </w:tr>
      <w:tr>
        <w:trPr>
          <w:trHeight w:val="212"/>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INCB000262 (EP262)</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1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(MRGPRX2)</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inducible urticaria: Phase 1b</w:t>
            </w:r>
          </w:p>
        </w:tc>
      </w:tr>
      <w:tr>
        <w:trPr>
          <w:trHeight w:val="231"/>
        </w:trPr>
        <w:tc>
          <w:tcPr>
            <w:tcW w:w="2720" w:type="dxa"/>
            <w:vAlign w:val="bottom"/>
          </w:tcPr>
          <w:p>
            <w:pPr>
              <w:spacing w:after="0"/>
              <w:rPr>
                <w:sz w:val="20"/>
                <w:szCs w:val="20"/>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Atopic dermatitis: Phase 2a</w:t>
            </w:r>
          </w:p>
        </w:tc>
      </w:tr>
      <w:tr>
        <w:trPr>
          <w:trHeight w:val="25"/>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INCB000547 (EP547)</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Cholestatic pruritus: Phase 2a</w:t>
            </w:r>
          </w:p>
        </w:tc>
      </w:tr>
      <w:tr>
        <w:trPr>
          <w:trHeight w:val="23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(MRGPRX4)</w:t>
            </w:r>
          </w:p>
        </w:tc>
        <w:tc>
          <w:tcPr>
            <w:tcW w:w="8520" w:type="dxa"/>
            <w:vAlign w:val="bottom"/>
            <w:tcBorders>
              <w:bottom w:val="single" w:sz="8" w:color="CCEEFF"/>
            </w:tcBorders>
            <w:shd w:val="clear" w:color="auto" w:fill="CCEEFF"/>
          </w:tcPr>
          <w:p>
            <w:pPr>
              <w:spacing w:after="0"/>
              <w:rPr>
                <w:sz w:val="20"/>
                <w:szCs w:val="20"/>
                <w:color w:val="auto"/>
              </w:rPr>
            </w:pP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1</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(anti-IL-15Rβ)</w:t>
            </w:r>
          </w:p>
        </w:tc>
        <w:tc>
          <w:tcPr>
            <w:tcW w:w="8520" w:type="dxa"/>
            <w:vAlign w:val="bottom"/>
          </w:tcPr>
          <w:p>
            <w:pPr>
              <w:spacing w:after="0"/>
              <w:rPr>
                <w:sz w:val="20"/>
                <w:szCs w:val="20"/>
                <w:color w:val="auto"/>
              </w:rPr>
            </w:pPr>
          </w:p>
        </w:tc>
      </w:tr>
      <w:tr>
        <w:trPr>
          <w:trHeight w:val="25"/>
        </w:trPr>
        <w:tc>
          <w:tcPr>
            <w:tcW w:w="272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bl>
    <w:p>
      <w:pPr>
        <w:spacing w:after="0" w:line="74" w:lineRule="exact"/>
        <w:rPr>
          <w:sz w:val="20"/>
          <w:szCs w:val="20"/>
          <w:color w:val="auto"/>
        </w:rPr>
      </w:pPr>
    </w:p>
    <w:p>
      <w:pPr>
        <w:ind w:firstLine="6"/>
        <w:spacing w:after="0" w:line="225" w:lineRule="auto"/>
        <w:tabs>
          <w:tab w:leader="none" w:pos="15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Other IAI</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IAI Program</w:t>
            </w:r>
          </w:p>
        </w:tc>
        <w:tc>
          <w:tcPr>
            <w:tcW w:w="9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21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9060" w:type="dxa"/>
            <w:vAlign w:val="bottom"/>
            <w:shd w:val="clear" w:color="auto" w:fill="CCEEFF"/>
          </w:tcPr>
          <w:p>
            <w:pPr>
              <w:ind w:left="680"/>
              <w:spacing w:after="0" w:line="185"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5"/>
        </w:trPr>
        <w:tc>
          <w:tcPr>
            <w:tcW w:w="2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9060" w:type="dxa"/>
            <w:vAlign w:val="bottom"/>
            <w:tcBorders>
              <w:bottom w:val="single" w:sz="8" w:color="auto"/>
            </w:tcBorders>
            <w:shd w:val="clear" w:color="auto" w:fill="CCEEFF"/>
          </w:tcPr>
          <w:p>
            <w:pPr>
              <w:spacing w:after="0"/>
              <w:rPr>
                <w:sz w:val="19"/>
                <w:szCs w:val="19"/>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COVID-19. </w:t>
      </w:r>
      <w:r>
        <w:rPr>
          <w:rFonts w:ascii="Times New Roman" w:cs="Times New Roman" w:eastAsia="Times New Roman" w:hAnsi="Times New Roman"/>
          <w:sz w:val="17"/>
          <w:szCs w:val="17"/>
          <w:color w:val="auto"/>
        </w:rPr>
        <w:t>In May 2020, we amended our agreement with Lilly to enable Lilly to commercialize baricitinib for the treatment of COVID-19.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2"/>
                <w:szCs w:val="22"/>
                <w:b w:val="1"/>
                <w:bCs w:val="1"/>
                <w:color w:val="auto"/>
                <w:vertAlign w:val="superscript"/>
              </w:rPr>
              <w:t>1</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18"/>
        </w:trPr>
        <w:tc>
          <w:tcPr>
            <w:tcW w:w="23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2"/>
                <w:szCs w:val="22"/>
                <w:b w:val="1"/>
                <w:bCs w:val="1"/>
                <w:color w:val="auto"/>
                <w:vertAlign w:val="superscript"/>
              </w:rPr>
              <w:t>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5"/>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2"/>
                <w:szCs w:val="22"/>
                <w:b w:val="1"/>
                <w:bCs w:val="1"/>
                <w:color w:val="auto"/>
                <w:vertAlign w:val="superscript"/>
              </w:rPr>
              <w:t>3</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888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Ruxolitinib (Jakavi) licensed to Novartis outside of the United States for use in hematology and oncology excluding topical administration.</w:t>
      </w:r>
    </w:p>
    <w:p>
      <w:pPr>
        <w:ind w:firstLine="6"/>
        <w:spacing w:after="0" w:line="221" w:lineRule="auto"/>
        <w:tabs>
          <w:tab w:leader="none" w:pos="159"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(Olumiant) licensed to Lilly: approved as Olumiant in multiple territories globally for certain patients with moderate-to-severe rheumatoid arthritis; approved as Olumiant in EU and Japan for certain patients with atopic dermatitis.</w:t>
      </w:r>
    </w:p>
    <w:p>
      <w:pPr>
        <w:ind w:left="140" w:hanging="134"/>
        <w:spacing w:after="0" w:line="192" w:lineRule="auto"/>
        <w:tabs>
          <w:tab w:leader="none" w:pos="1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(Tabrecta) licensed to Novartis.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at Note 8 of Notes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Holdings Limited (CMSHL), through a wholly-owned dermatology medical aesthetic subsidiary CMS Skinhealth, for the development and commercialization of povorcitinib, a selective oral JAK1 inhibitor, to research, develop, register and commercialize in mainland China, Hong Kong, Macau, Taiwan and certain countries in Southeast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SNDX-6352 (axatilimab), Syndax’s anti-CSF-1R monoclonal antibody. Axatilimab was granted Orphan Drug Designation by the FDA in March 2021 for the treatment of chronic GVHD and again in April 2021 for the treatment of idiopathic pulmonary fibrosis. Under the terms of this agreement, we received exclusive commercialization rights to axatilimab outside of the United States, and co-commercialization rights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2023. There have been no significant changes to our critical accounting policies or estimates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16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Securities and Exchange Commission (SEC) issued Release Nos. 33-11275; 34-99678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to require public companies to provide certain climate-related information in their registration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The compliance dates 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recorded net loss of $444.6 million and basic and diluted net loss per share of $2.04 for the three months ended June 30, 2024, as compared to net income of $203.5 million and basic net income per share of $0.91 and diluted net income per share of $0.90 in the corresponding period in 2023. We recorded net loss of $275.1 million and basic and diluted net loss per share of $1.24 for the six months ended June 30, 2024, as compared to net income of $225.3 million and basic net income per share of $1.01 and diluted net income per share of $1.00 in the corresponding period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1"/>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The increase in JAKAFI product revenues for the three months ended June 30, 2024 as compared to the corresponding period in 2023 was comprised of a volume increase of $17.2 million and a price increase of $6.4 million. The increase in JAKAFI net product revenues for the six months ended June 30, 2024 as compared to the corresponding period in 2023 reflected a price increase of $17.2 million, subject to a volume decrease of $1.8 million. The increase for the three months ended June 30, 2024 as compared to the corresponding period in 2023 was primarily driven by an increase in paid demand across all indications. For the six months ended June 30, 2024 as compared to the corresponding period in 2023, the increase in net product revenues due to the increase in paid demand was offset by higher channel inventory levels at the end of the second quarter of 2023 versus the second quarter of 2024.</w:t>
      </w:r>
    </w:p>
    <w:p>
      <w:pPr>
        <w:spacing w:after="0" w:line="16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OPZELURA net product revenues for the three months ended June 30, 2024 as compared to the corresponding period in 2023 was comprised of a volume increase of $36.4 million and a price increase of $5.1 million. The increase in OPZELURA net product revenues for the six months ended June 30, 2024 as compared to the corresponding period in 2023 was comprised of a volume increase of $63.2 million and a price increase of $7.4 million. The increase in OPZELURA net product revenues for the three and six months ended June 30, 2024 was driven by continued growth in new patient starts and refills and approximately $11.0 million of net product revenues in the second quarter of 2024 were from Europe.</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increase in MINJUVI/MONJUVI net product revenues for the three and six months ended June 30, 2024 was driven by the acquisition completed in February 2024, under which we gained exclusive global rights to tafasitamab marketed in the United States as MONJUVI (tafasitamab-cxix). Refer to Note 6 of Notes to the Condensed Consolidated Financial Statements for further information related to the acquisition.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3"/>
                <w:szCs w:val="13"/>
                <w:color w:val="auto"/>
              </w:rPr>
            </w:pPr>
          </w:p>
        </w:tc>
        <w:tc>
          <w:tcPr>
            <w:tcW w:w="124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308,938</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749,364</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(581,429)</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(123,959)</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309,074</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356,545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June 30, 2024, we have accrued approximately $91.1 million within accrued and other current liabilities on the condensed consolidated balance sheet, relating to the incremental rebates that would be owed were OPZELURA considered a line extension of JAKAFI. The impact on OPZELURA gross to net deductions for the quarter ending June 30, 2024 is approximately 6.8%.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Product royalty revenues on commercial sales of PEMAZYRE by Innovent are based on net sales of licensed products in licensed territories as provided by Innovent.</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milestone and contract revenues for the six months ended June 30, 2024, was derived from a $25.0 million upfront payment received during the first quarter of 2024 upon our transfer of functional intellectual property to CMSHL.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and six months ended June 30, 2024 as compared to the same periods in 2023 was primarily due to growth in net product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5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IPR&amp;D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r>
      <w:tr>
        <w:trPr>
          <w:trHeight w:val="24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six months ended June 30, 2024 as compared to the corresponding period in 2023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three months ended June 30, 2024, we recognized compensation expense in research and development of $11.3 million associated with the accelerated vesting for certain Escient stock awards in connection with the acquisition on our condensed consolidated statements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Research and development expenses for the three and six months ended June 30, 2024 also include the $679.4 million of expense related to the acquired in-process research and development assets as part of the Escient acquisition, as described in Note 6 to the Condensed Consolidated Financial Statements. The increase in clinical research and outside services expense for the three months ended June 30, 2024 as compared to the corresponding period in 2023, was primarily due to continued investment in our late stage development assets and timing of certain expenses. Research and development expenses include upfront and milestone expenses related to our collaborative agreements of $0.4 million and $1.4 million, respectively, for the three and six months ended June 30, 2024. Research and development expenses include upfront and milestone expenses related to our collaborative agreements of $7.0 million and $9.7 million, respectively, for the three and six months ended June 30, 2023. Research and development expenses for the three and six months ended June 30, 2024 and 2023 were net of $4.2 million, $21.3 million, $25.1 million and $25.7 million, respectively, of costs reimbursed by our collaborative partners.</w:t>
      </w:r>
    </w:p>
    <w:p>
      <w:pPr>
        <w:spacing w:after="0" w:line="17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8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tcPr>
          <w:p>
            <w:pPr>
              <w:spacing w:after="0"/>
              <w:rPr>
                <w:sz w:val="13"/>
                <w:szCs w:val="13"/>
                <w:color w:val="auto"/>
              </w:rPr>
            </w:pPr>
          </w:p>
        </w:tc>
      </w:tr>
      <w:tr>
        <w:trPr>
          <w:trHeight w:val="186"/>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4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r>
      <w:tr>
        <w:trPr>
          <w:trHeight w:val="27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and six months ended June 30, 2024 as compared to the corresponding period in 2023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three months ended June 30, 2024, we recognized compensation expense in selling, general and administrative expenses of $20.2 million associated with the accelerated vesting for certain Escient stock awards in connection with the acquisition on our condensed consolidated statements of operations. The decrease in other contract services and outside costs for the three months ended June 30, 2024, as compared to the corresponding period in 2023, was primarily due to the timing of consumer marketing activities and of certain other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on change in fair value of acquisition-related contingent consideration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six months ended June 30, 2024 was a loss of $0.9 million and $0.4 million, respectively, which is recorded in loss on change in fair value of acquisition-related contingent consideration on the condensed consolidated statements of operations. The loss on change in fair value of the acquisition-related contingent consideration for the three and six months ended June 30, 2023 was $8.4 million and $14.6 million, respectively, which is recorded in loss on change in fair value of acquisition-related contingent consideration on the condensed consolidated statements of operations. The change in fair value of the contingent consideration during the three and six months ended June 30, 2024 was due primarily to fluctuations in foreign currency exchange rates impacting future revenue projections of ICLUSIG and the passage of time. The change in fair value of the contingent consideration during the three and six months ended June 30, 2023 was due primarily to the passage of time.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(Profit) and loss sharing under collaboration agreements</w:t>
      </w:r>
    </w:p>
    <w:p>
      <w:pPr>
        <w:spacing w:after="0" w:line="21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Under the former collaboration and license agreement with MorphoSys, which was executed in March 2020 and continued through February 5, 2024 as described further in Note 6 of Notes to the Condensed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(profit) and loss sharing under collaboration agreements on the condensed consolidated statement of operations. For the three and six months ended June 30, 2023, our 50% share of the profits for tafasitamab was $0.5 million and $1.9 million, respectively, as recorded in (profit) and loss sharing under collaboration agreements on the condensed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 and other, net</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Interest income and other, net for the three and six months ended June 30, 2024 was $49.8 million and $94.5 million, respectively. Interest income and other, net for the three and six months ended June 30, 2023 was $42.7 million and $75.5 million, respectively. The increase in Interest income and other, net for the three and six months ended June 30, 2024 primarily relates to an increase in interest earned on our cash equivalents and marketable securities generally due to higher interest rates.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Realized and unrealized gain on equity investments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Realized and unrealized gains and losses on equity investments will fluctuate from period to period, based on sales of securities and the change in fair value of the securities we hold in our publicly held collaboration partners. The following table provides a summary of those realized and unrealized gains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gridSpan w:val="4"/>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190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5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51"/>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 on equity investments</w:t>
            </w:r>
          </w:p>
        </w:tc>
        <w:tc>
          <w:tcPr>
            <w:tcW w:w="190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84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7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2024 was $54.8 million and $121.4 million, respectively. The provision for income taxes for the three and six months ended June 30, 2023 was $74.1 million and $104.2 million, respectively.</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2024 was higher than the U.S. statutory rate primarily due to the non-deductible charges of $710.9 million associated with the Escient acquisition. Our effective tax rate for the three and six months ended June 30, 2023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June 30, 2024, we had available cash, cash equivalents and marketable securities of $1.4 billion. Our cash and marketable securities balances are primarily held in a variety of interest-bearing instruments, including money market accounts and U.S. government debt securities. Additionally, we had short term equity investments of $69.9 million as of June 30, 2024. Available cash is invested in accordance with our investment policy’s primary objectives of liquidity, safety of principal and diversity of investments.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$356.8 million and net cash provided by operating activities for the six months ended June 30, 2023 was $200.9 million. The decrease in cash provided by operating activities was due primarily to the Escient acquisition and changes in working capital.</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sales of equity investments. Net cash provided by investing activities was $140.7 million for the six months ended June 30, 2024, which primarily represented sales of equity investments of $227.3 million and sale and maturities of marketable securities of $182.6 million, offset in part by purchases of marketable securities of $204.1 million, and capital expenditures of $63.7 million. Net cash used in investing activities was $36.0 million for the six months ended June 30, 2023, which represented purchases of marketable securities of $152.3 million, payments for intangible assets of $15.0 million, and capital expenditures of $19.2 million, offset in part by the sales and maturities of marketable securities of $150.5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was $2.01 billion for the six months ended June 30, 2024 and was primarily driven by expenditures associated with the share repurchase of $2.00 billion. Net cash provided by financing activities was $16.9 million for the six months ended June 30, 2023, primarily representing proceeds from the issuance of common stock under our stock plans, offset in part by cash paid to ARIAD/Takeda for contingent consideration.</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2021, we entered into a $500.0 million, revolving credit and guaranty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June 30, 2024, we had no outstanding borrowings and were in compliance with all covenants under this facility.</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Due to the full utilization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2024, marketable securities were $462.2 million. Due to the nature of these investments, if market interest rates were to increase immediately and uniformly by 10% from levels as of June 30, 2024, the decline in fair value would not be material.</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we have short term equity investments of $69.9 million as of June 30, 2024. To the extent that we continue to hold strategic equity investments in publicly traded companies, we expect that due to the volatility of the stock price of biotechnology companies, our Realized and unrealized gain (loss) on equity investments will fluctuate in future periods based on increases or decreases in the fair value of our strategic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June 30, 2024,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and ZYNYZ and our exclusive licensees sell OLUMIANT and TABRECTA, we anticipate that JAKAFI product sales will continue to contribute a significant percentage of our total revenues over the next several years.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8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6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2023 for additional information regarding the effects of competition. If we are unable to compete successfully, our commercial opportunities will be reduced and our business, results of operations and financial conditions may be materially harmed.</w:t>
      </w:r>
    </w:p>
    <w:p>
      <w:pPr>
        <w:spacing w:after="0" w:line="198"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June 2028. To date, to our knowledge, the FDA has taken no action with respect to this ANDA. Subsequently, we received a notice letter in February 2024 challenging the patent covering ruxolitinib composition of matter and its use, which expires in June 2028.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respect to deuterated ruxolitinib, in January 2018 the Patent Trial and Appeal Board (PTAB) of United States Patent and Trademark Office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denied a petition challenging our patent covering deuterated ruxolitinib analogs. The PTAB subsequently denied the petitioner’s request for rehearing in May 2018, a decision that was upheld by the United States Court of Appeals for the Federal Circuit. Nevertheless, the petitioner still has the right separately to challenge the validity of our patent in federal court.</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 In September 2023, we received a notice letter regarding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9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9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7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and OPZELURA,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drug candidates or drug products, whether through conditions affecting the cost and availability of raw materials, such as inflation, decreases in available manufacturing capacity, or otherwise, would adversely affect our results of operations.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67" w:lineRule="exact"/>
        <w:rPr>
          <w:sz w:val="20"/>
          <w:szCs w:val="20"/>
          <w:color w:val="auto"/>
        </w:rPr>
      </w:pPr>
    </w:p>
    <w:p>
      <w:pPr>
        <w:jc w:val="both"/>
        <w:ind w:left="960" w:hanging="318"/>
        <w:spacing w:after="0" w:line="259"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operations, future revenues and financial condition and increase our costs and expenses.</w:t>
      </w:r>
    </w:p>
    <w:p>
      <w:pPr>
        <w:spacing w:after="0" w:line="221"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and ZYNYZ,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short term equity investments and long term equity investments are subject to risks that could adversely affect our overall financial position.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short-term instruments, money market funds,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backed-funds and Treasury securities, which are investment grade and historically have been highly liquid and carried relatively low risk.</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short and long term equity investments could adversely affect our financial position on the consolidated balance sheets and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Times New Roman" w:cs="Times New Roman" w:eastAsia="Times New Roman" w:hAnsi="Times New Roman"/>
          <w:sz w:val="18"/>
          <w:szCs w:val="18"/>
          <w:color w:val="222222"/>
        </w:rPr>
        <w:t>the European Union member states agreed to implement in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domestic tax laws a 15% global minimum tax on the profits of large multinational enterprises with a target effective date for fiscal years beginning on or after December 31, 2023. Although </w:t>
      </w:r>
      <w:r>
        <w:rPr>
          <w:rFonts w:ascii="Times New Roman" w:cs="Times New Roman" w:eastAsia="Times New Roman" w:hAnsi="Times New Roman"/>
          <w:sz w:val="18"/>
          <w:szCs w:val="18"/>
          <w:color w:val="000000"/>
        </w:rPr>
        <w:t>we continue to evaluate and assess the potential impact of the recent U.S. legislation and BEPS 2.0 on us, the minimum tax</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We derived a substantial portion of our revenues for the year ended December 31, 2023 and the six months ended June 30, 2024 from JAKAVI and OLUMIANT product royalties and, in prior periods, we derived a substantial portion of our revenues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attacks by third parties are of ever-increasing sophistication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our purchases of shares of our common stock during the quarter ended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4"/>
        </w:trPr>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1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1940" w:type="dxa"/>
            <w:vAlign w:val="bottom"/>
          </w:tcPr>
          <w:p>
            <w:pPr>
              <w:jc w:val="center"/>
              <w:ind w:right="39"/>
              <w:spacing w:after="0" w:line="144"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93"/>
        </w:trPr>
        <w:tc>
          <w:tcPr>
            <w:tcW w:w="2400" w:type="dxa"/>
            <w:vAlign w:val="bottom"/>
            <w:gridSpan w:val="2"/>
            <w:vMerge w:val="continue"/>
          </w:tcPr>
          <w:p>
            <w:pPr>
              <w:spacing w:after="0"/>
              <w:rPr>
                <w:sz w:val="16"/>
                <w:szCs w:val="16"/>
                <w:color w:val="auto"/>
              </w:rPr>
            </w:pPr>
          </w:p>
        </w:tc>
        <w:tc>
          <w:tcPr>
            <w:tcW w:w="206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6"/>
                <w:szCs w:val="16"/>
                <w:color w:val="auto"/>
              </w:rPr>
            </w:pPr>
          </w:p>
        </w:tc>
        <w:tc>
          <w:tcPr>
            <w:tcW w:w="19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71"/>
        </w:trPr>
        <w:tc>
          <w:tcPr>
            <w:tcW w:w="230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April 1, 2024 through April 30,</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4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color w:val="auto"/>
                <w:w w:val="97"/>
              </w:rPr>
              <w:t>May 1, 2024 through May 31,</w:t>
            </w: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400" w:type="dxa"/>
            <w:vAlign w:val="bottom"/>
            <w:gridSpan w:val="2"/>
            <w:shd w:val="clear" w:color="auto" w:fill="CCEEFF"/>
          </w:tcPr>
          <w:p>
            <w:pPr>
              <w:jc w:val="center"/>
              <w:ind w:right="80"/>
              <w:spacing w:after="0" w:line="172" w:lineRule="exact"/>
              <w:rPr>
                <w:sz w:val="20"/>
                <w:szCs w:val="20"/>
                <w:color w:val="auto"/>
              </w:rPr>
            </w:pPr>
            <w:r>
              <w:rPr>
                <w:rFonts w:ascii="Times New Roman" w:cs="Times New Roman" w:eastAsia="Times New Roman" w:hAnsi="Times New Roman"/>
                <w:sz w:val="18"/>
                <w:szCs w:val="18"/>
                <w:color w:val="auto"/>
                <w:w w:val="97"/>
              </w:rPr>
              <w:t>June 1, 2024 through June 30,</w:t>
            </w:r>
          </w:p>
        </w:tc>
        <w:tc>
          <w:tcPr>
            <w:tcW w:w="2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33,325,849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33,325,849</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6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6"/>
        <w:spacing w:after="0" w:line="252" w:lineRule="auto"/>
        <w:tabs>
          <w:tab w:leader="none" w:pos="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includes: (i) 27,866,666 shares repurchased at a price of $60.00 per share for an aggregate price of approximately $1.672 billion pursuant to a modified “Dutch auction” tender offer which expired at 12:00 midnight, at the end of the day, New York City time on June 10, 2024 and (ii) 5,459,183 shares repurchased at a price of $60.00 per share for an aggregate price of approximately $328.0 million pursuant to the terms of a separate stock purchase agreement between us and Julian C. Baker (a member of our Board of Directors), Felix J. Baker, and entities affiliated with Julian C. and Felix J. Baker, including funds advised by Baker Bros. Advisors LP, which closed on June 26,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9" w:lineRule="auto"/>
        <w:tabs>
          <w:tab w:leader="none" w:pos="8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the following officers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Chief Accounting Officer, adopted a trading plan on June 13, 2024 providing for the sale of up to an aggregate of 954 shares of our common stock until June 13, 2025.</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Jonathan Dickinson, our Executive Vice President and General Manager, Europe, adopted a trading plan on June 13, 2024 providing for the sale of up to an aggregate of 9,462 shares of our common stock until June 13, 2025.</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780" w:type="dxa"/>
            <w:vAlign w:val="bottom"/>
            <w:tcBorders>
              <w:top w:val="single" w:sz="8" w:color="auto"/>
            </w:tcBorders>
            <w:gridSpan w:val="7"/>
          </w:tcPr>
          <w:p>
            <w:pPr>
              <w:spacing w:after="0" w:line="198" w:lineRule="exact"/>
              <w:rPr>
                <w:sz w:val="20"/>
                <w:szCs w:val="20"/>
                <w:color w:val="auto"/>
              </w:rPr>
            </w:pPr>
            <w:r>
              <w:rPr>
                <w:rFonts w:ascii="Times New Roman" w:cs="Times New Roman" w:eastAsia="Times New Roman" w:hAnsi="Times New Roman"/>
                <w:sz w:val="18"/>
                <w:szCs w:val="18"/>
                <w:color w:val="0000FF"/>
              </w:rPr>
              <w:t>Amendment No. 2, dated as of June 28, 2024, to Revolving Credit and Guaranty Agreement dated as of August 18, 2021 among the</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5"/>
          </w:tcPr>
          <w:p>
            <w:pPr>
              <w:spacing w:after="0" w:line="179" w:lineRule="exact"/>
              <w:rPr>
                <w:sz w:val="20"/>
                <w:szCs w:val="20"/>
                <w:color w:val="auto"/>
              </w:rPr>
            </w:pPr>
            <w:r>
              <w:rPr>
                <w:rFonts w:ascii="Times New Roman" w:cs="Times New Roman" w:eastAsia="Times New Roman" w:hAnsi="Times New Roman"/>
                <w:sz w:val="18"/>
                <w:szCs w:val="18"/>
                <w:color w:val="0000FF"/>
                <w:w w:val="97"/>
              </w:rPr>
              <w:t>Company, the guarantors party thereto, the lenders party thereto, and JPMorgan Chase Bank, N.A., as Administrative Agent.</w:t>
            </w:r>
          </w:p>
        </w:tc>
        <w:tc>
          <w:tcPr>
            <w:tcW w:w="9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3"/>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50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30,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HERVÉ HOPPENOT</w:t>
            </w:r>
          </w:p>
        </w:tc>
      </w:tr>
      <w:tr>
        <w:trPr>
          <w:trHeight w:val="239"/>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Hervé Hoppenot</w:t>
            </w:r>
          </w:p>
        </w:tc>
      </w:tr>
      <w:tr>
        <w:trPr>
          <w:trHeight w:val="252"/>
        </w:trPr>
        <w:tc>
          <w:tcPr>
            <w:tcW w:w="3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30,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239"/>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Christiana Stamoulis</w:t>
            </w:r>
          </w:p>
        </w:tc>
      </w:tr>
      <w:tr>
        <w:trPr>
          <w:trHeight w:val="252"/>
        </w:trPr>
        <w:tc>
          <w:tcPr>
            <w:tcW w:w="3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2"/>
        </w:trPr>
        <w:tc>
          <w:tcPr>
            <w:tcW w:w="3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1"/>
        </w:trPr>
        <w:tc>
          <w:tcPr>
            <w:tcW w:w="3500" w:type="dxa"/>
            <w:vAlign w:val="bottom"/>
          </w:tcPr>
          <w:p>
            <w:pPr>
              <w:spacing w:after="0"/>
              <w:rPr>
                <w:sz w:val="24"/>
                <w:szCs w:val="24"/>
                <w:color w:val="auto"/>
              </w:rPr>
            </w:pPr>
          </w:p>
        </w:tc>
        <w:tc>
          <w:tcPr>
            <w:tcW w:w="26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86</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AMENDMENT NO. 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June 28, 2024</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REVOLVING CREDIT AND GUARANTY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August 18, 2021</w:t>
      </w:r>
    </w:p>
    <w:p>
      <w:pPr>
        <w:spacing w:after="0" w:line="232" w:lineRule="exact"/>
        <w:rPr>
          <w:sz w:val="20"/>
          <w:szCs w:val="20"/>
          <w:color w:val="auto"/>
        </w:rPr>
      </w:pPr>
    </w:p>
    <w:p>
      <w:pPr>
        <w:jc w:val="both"/>
        <w:ind w:firstLine="1272"/>
        <w:spacing w:after="0" w:line="239" w:lineRule="auto"/>
        <w:rPr>
          <w:sz w:val="20"/>
          <w:szCs w:val="20"/>
          <w:color w:val="auto"/>
        </w:rPr>
      </w:pPr>
      <w:r>
        <w:rPr>
          <w:rFonts w:ascii="Times New Roman" w:cs="Times New Roman" w:eastAsia="Times New Roman" w:hAnsi="Times New Roman"/>
          <w:sz w:val="19"/>
          <w:szCs w:val="19"/>
          <w:color w:val="auto"/>
        </w:rPr>
        <w:t>THIS AMENDMENT NO. 2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as of June 28, 2024 by and among Incyte Corporation,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other Loan Parties party hereto, the Lenders party hereto and JPMorgan Chase Bank, N.A., in its capacity as administrative agent for the Lenders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under that certain Revolving Credit and Guaranty Agreement dated as of August 18, 2021, by and among the Borrower, the Guarantors from time to time party thereto, the Lenders from time to time party thereto and the Administrative Agent (as amended, restated, supplemented or otherwise modified from time to time prior to the date hereof, the “</w:t>
      </w: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Capitalized terms used herein and not otherwise defined herein shall have the respective meanings given to them in the Credit Agreement.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WHEREAS, the Borrower requested that the requisite Lenders agree to make certain amendments to the Credit Agreement;</w:t>
      </w:r>
    </w:p>
    <w:p>
      <w:pPr>
        <w:spacing w:after="0" w:line="219" w:lineRule="exact"/>
        <w:rPr>
          <w:sz w:val="20"/>
          <w:szCs w:val="20"/>
          <w:color w:val="auto"/>
        </w:rPr>
      </w:pPr>
    </w:p>
    <w:p>
      <w:pPr>
        <w:jc w:val="both"/>
        <w:ind w:firstLine="1272"/>
        <w:spacing w:after="0" w:line="270" w:lineRule="auto"/>
        <w:rPr>
          <w:sz w:val="20"/>
          <w:szCs w:val="20"/>
          <w:color w:val="auto"/>
        </w:rPr>
      </w:pPr>
      <w:r>
        <w:rPr>
          <w:rFonts w:ascii="Times New Roman" w:cs="Times New Roman" w:eastAsia="Times New Roman" w:hAnsi="Times New Roman"/>
          <w:sz w:val="19"/>
          <w:szCs w:val="19"/>
          <w:color w:val="auto"/>
        </w:rPr>
        <w:t>WHEREAS, the Borrower, the Lenders party hereto and the Administrative Agent have agreed to amend the Credit Agreement on the terms and conditions set forth herein;</w:t>
      </w:r>
    </w:p>
    <w:p>
      <w:pPr>
        <w:spacing w:after="0" w:line="144" w:lineRule="exact"/>
        <w:rPr>
          <w:sz w:val="20"/>
          <w:szCs w:val="20"/>
          <w:color w:val="auto"/>
        </w:rPr>
      </w:pPr>
    </w:p>
    <w:p>
      <w:pPr>
        <w:jc w:val="both"/>
        <w:ind w:firstLine="1272"/>
        <w:spacing w:after="0" w:line="251" w:lineRule="auto"/>
        <w:rPr>
          <w:sz w:val="20"/>
          <w:szCs w:val="20"/>
          <w:color w:val="auto"/>
        </w:rPr>
      </w:pPr>
      <w:r>
        <w:rPr>
          <w:rFonts w:ascii="Times New Roman" w:cs="Times New Roman" w:eastAsia="Times New Roman" w:hAnsi="Times New Roman"/>
          <w:sz w:val="19"/>
          <w:szCs w:val="19"/>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163" w:lineRule="exact"/>
        <w:rPr>
          <w:sz w:val="20"/>
          <w:szCs w:val="20"/>
          <w:color w:val="auto"/>
        </w:rPr>
      </w:pPr>
    </w:p>
    <w:p>
      <w:pPr>
        <w:jc w:val="both"/>
        <w:ind w:firstLine="1278"/>
        <w:spacing w:after="0" w:line="243" w:lineRule="auto"/>
        <w:tabs>
          <w:tab w:leader="none" w:pos="190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Credit Agreement</w:t>
      </w:r>
      <w:r>
        <w:rPr>
          <w:rFonts w:ascii="Times New Roman" w:cs="Times New Roman" w:eastAsia="Times New Roman" w:hAnsi="Times New Roman"/>
          <w:sz w:val="19"/>
          <w:szCs w:val="19"/>
          <w:color w:val="auto"/>
        </w:rPr>
        <w:t xml:space="preserve">. Effective as of the date of satisfaction of the conditions precedent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below (such date,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xml:space="preserve">”) the parties hereto agree that (i) the Credit Agreement (including the Exhibits thereto) shall be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auto"/>
        </w:rPr>
        <w:t xml:space="preserve">) as set forth in the pages of the Credit Agreement (including the Exhibits thereto) attached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hereto and (ii) Schedule 11.02 to the Credit Agreement is hereby restated in its entirety as Schedule 11.02 attached as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xml:space="preserve"> hereto (the Credit Agreement as so amended, the “</w:t>
      </w:r>
      <w:r>
        <w:rPr>
          <w:rFonts w:ascii="Times New Roman" w:cs="Times New Roman" w:eastAsia="Times New Roman" w:hAnsi="Times New Roman"/>
          <w:sz w:val="19"/>
          <w:szCs w:val="19"/>
          <w:u w:val="single" w:color="auto"/>
          <w:color w:val="auto"/>
        </w:rPr>
        <w:t>Amended Credit Agreement</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ind w:firstLine="1278"/>
        <w:spacing w:after="0" w:line="270" w:lineRule="auto"/>
        <w:tabs>
          <w:tab w:leader="none" w:pos="190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of Effectiveness</w:t>
      </w:r>
      <w:r>
        <w:rPr>
          <w:rFonts w:ascii="Times New Roman" w:cs="Times New Roman" w:eastAsia="Times New Roman" w:hAnsi="Times New Roman"/>
          <w:sz w:val="19"/>
          <w:szCs w:val="19"/>
          <w:color w:val="auto"/>
        </w:rPr>
        <w:t>. This Amendment shall become effective as of the first date on which each of the following conditions shall have been satisfied:</w:t>
      </w:r>
    </w:p>
    <w:p>
      <w:pPr>
        <w:spacing w:after="0" w:line="144" w:lineRule="exact"/>
        <w:rPr>
          <w:sz w:val="20"/>
          <w:szCs w:val="20"/>
          <w:color w:val="auto"/>
        </w:rPr>
      </w:pPr>
    </w:p>
    <w:p>
      <w:pPr>
        <w:jc w:val="both"/>
        <w:ind w:firstLine="1278"/>
        <w:spacing w:after="0" w:line="250" w:lineRule="auto"/>
        <w:tabs>
          <w:tab w:leader="none" w:pos="189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(or its counsel) shall have received counterparts of this Amendment duly executed by the Borrower, each of the other Loan Parties, each of the Lenders, the L/C Issuer and the Administrative Agent (which, subject to </w:t>
      </w:r>
      <w:r>
        <w:rPr>
          <w:rFonts w:ascii="Times New Roman" w:cs="Times New Roman" w:eastAsia="Times New Roman" w:hAnsi="Times New Roman"/>
          <w:sz w:val="19"/>
          <w:szCs w:val="19"/>
          <w:u w:val="single" w:color="auto"/>
          <w:color w:val="auto"/>
        </w:rPr>
        <w:t>Section 11.10</w:t>
      </w:r>
      <w:r>
        <w:rPr>
          <w:rFonts w:ascii="Times New Roman" w:cs="Times New Roman" w:eastAsia="Times New Roman" w:hAnsi="Times New Roman"/>
          <w:sz w:val="19"/>
          <w:szCs w:val="19"/>
          <w:color w:val="auto"/>
        </w:rPr>
        <w:t xml:space="preserve"> of the Credit Agreement, may include any Electronic Signatures transmitted by telecopy, emailed pdf, or any other electronic means that reproduces an image of an actual executed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US-DOCS\151331179.5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1" w:lineRule="exact"/>
        <w:rPr>
          <w:sz w:val="20"/>
          <w:szCs w:val="20"/>
          <w:color w:val="auto"/>
        </w:rPr>
      </w:pPr>
    </w:p>
    <w:p>
      <w:pPr>
        <w:ind w:left="1900" w:hanging="622"/>
        <w:spacing w:after="0"/>
        <w:tabs>
          <w:tab w:leader="none" w:pos="19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its counsel) shall have received:</w:t>
      </w:r>
    </w:p>
    <w:p>
      <w:pPr>
        <w:spacing w:after="0" w:line="205" w:lineRule="exact"/>
        <w:rPr>
          <w:rFonts w:ascii="Times New Roman" w:cs="Times New Roman" w:eastAsia="Times New Roman" w:hAnsi="Times New Roman"/>
          <w:sz w:val="19"/>
          <w:szCs w:val="19"/>
          <w:color w:val="auto"/>
        </w:rPr>
      </w:pPr>
    </w:p>
    <w:p>
      <w:pPr>
        <w:jc w:val="both"/>
        <w:ind w:left="640" w:firstLine="1274"/>
        <w:spacing w:after="0" w:line="239" w:lineRule="auto"/>
        <w:tabs>
          <w:tab w:leader="none" w:pos="2546"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dated the Amendment Effective Date and signed by a Responsible Officer of each of the Loan Parties, (A) certifying and attaching a copy of the resolutions adopted by such Loan Party authorizing the execution and delivery of this Amendment and the performance of this Amendment and the Amended Credit Agreement and, if applicable, the Notes, (B) certifying as to the incumbency and specimen signature of each Responsible Officer executing this Amendment and, if applicable, the Notes, on behalf of such Person, (C) attaching a good standing certificate (or the local equivalent, to the extent applicable in the relevant jurisdiction) and a certificate of incorporation (or the local equivalent) evidencing that such Loan Party is validly existing and in good standing (or the local equivalent, to the extent applicable in the relevant jurisdiction) in its jurisdiction of organization and (D) certifying and attaching a true and complete copy of the Organization Documents of such Loan Party (where customary and applicable, certified by the relevant Governmental Authority);</w:t>
      </w:r>
    </w:p>
    <w:p>
      <w:pPr>
        <w:spacing w:after="0" w:line="175" w:lineRule="exact"/>
        <w:rPr>
          <w:rFonts w:ascii="Times New Roman" w:cs="Times New Roman" w:eastAsia="Times New Roman" w:hAnsi="Times New Roman"/>
          <w:sz w:val="19"/>
          <w:szCs w:val="19"/>
          <w:color w:val="auto"/>
        </w:rPr>
      </w:pPr>
    </w:p>
    <w:p>
      <w:pPr>
        <w:jc w:val="both"/>
        <w:ind w:left="640" w:firstLine="1274"/>
        <w:spacing w:after="0" w:line="243" w:lineRule="auto"/>
        <w:tabs>
          <w:tab w:leader="none" w:pos="2547"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dated the Amendment Effective Date and signed by a Responsible Officer of the Borrower, certifying that (A) the representations and warranties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the Amended Credit Agreement are true and correct (1) in the case of the representations and warranties qualified as to materiality, in all respects and (2) otherwise, in all material respects, in each case on and as of the Amendment Effective Date, except to the extent that such representations and warranties specifically refer to an earlier date, in which case they are so true and correct as of such earlier date, and (B) on and as of the Amendment Effective Date, no Default has occurred and is continuing; and</w:t>
      </w:r>
    </w:p>
    <w:p>
      <w:pPr>
        <w:spacing w:after="0" w:line="170"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548"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executed legal opinion of Pillsbury Winthrop Shaw Pittman LLP, counsel to the Loan Parties, addressed to the Administrative Agent, each L/C Issuer and each Lender, dated the Amendment Effective Date and in form and substance reasonably satisfactory to the Administrative Agent.</w:t>
      </w:r>
    </w:p>
    <w:p>
      <w:pPr>
        <w:spacing w:after="0" w:line="162" w:lineRule="exact"/>
        <w:rPr>
          <w:rFonts w:ascii="Times New Roman" w:cs="Times New Roman" w:eastAsia="Times New Roman" w:hAnsi="Times New Roman"/>
          <w:sz w:val="19"/>
          <w:szCs w:val="19"/>
          <w:color w:val="auto"/>
        </w:rPr>
      </w:pPr>
    </w:p>
    <w:p>
      <w:pPr>
        <w:jc w:val="both"/>
        <w:ind w:firstLine="1278"/>
        <w:spacing w:after="0" w:line="246" w:lineRule="auto"/>
        <w:tabs>
          <w:tab w:leader="none" w:pos="189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or, substantially concurrently herewith shall receive, all fees (in the case of fees owing to the Lenders, in an amount equal to the amount previously disclosed to the Lenders) and other amounts due and payable to the Administrative Agent, the Arrangers and/or the Lenders on or prior to the Amendment Effective Date, including, to the extent invoiced at least two (2) Business Days prior to the Amendment Effective Date, reimbursement or payment of all out-of-pocket expenses required to be reimbursed or paid by the Borrower pursuant to the terms of the Amended Credit Agreement.</w:t>
      </w:r>
    </w:p>
    <w:p>
      <w:pPr>
        <w:spacing w:after="0" w:line="166"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The Administrative Agent shall notify the Borrower and the Lenders of the Amendment Effective Date, and such notice shall be conclusive and binding.</w:t>
      </w:r>
    </w:p>
    <w:p>
      <w:pPr>
        <w:spacing w:after="0" w:line="144" w:lineRule="exact"/>
        <w:rPr>
          <w:sz w:val="20"/>
          <w:szCs w:val="20"/>
          <w:color w:val="auto"/>
        </w:rPr>
      </w:pPr>
    </w:p>
    <w:p>
      <w:pPr>
        <w:ind w:firstLine="1278"/>
        <w:spacing w:after="0" w:line="270" w:lineRule="auto"/>
        <w:tabs>
          <w:tab w:leader="none" w:pos="190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of the Borrower. The Borrower hereby represents and warrants to the Lenders on the Amendment Effective Date as follows:</w:t>
      </w:r>
    </w:p>
    <w:p>
      <w:pPr>
        <w:spacing w:after="0" w:line="158" w:lineRule="exact"/>
        <w:rPr>
          <w:sz w:val="20"/>
          <w:szCs w:val="20"/>
          <w:color w:val="auto"/>
        </w:rPr>
      </w:pPr>
    </w:p>
    <w:p>
      <w:pPr>
        <w:jc w:val="both"/>
        <w:ind w:firstLine="1278"/>
        <w:spacing w:after="0" w:line="251" w:lineRule="auto"/>
        <w:tabs>
          <w:tab w:leader="none" w:pos="189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this Amendment and the Amended Credit Agreement constitutes a legal, valid and binding obligation of the Borrower, enforceable in accordance with its terms, subject to applicable Debtor Relief Laws and the effect of general principles of equity, whether applied by a court of law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61" w:lineRule="exact"/>
        <w:rPr>
          <w:sz w:val="20"/>
          <w:szCs w:val="20"/>
          <w:color w:val="auto"/>
        </w:rPr>
      </w:pPr>
    </w:p>
    <w:p>
      <w:pPr>
        <w:jc w:val="both"/>
        <w:ind w:firstLine="1278"/>
        <w:spacing w:after="0" w:line="244" w:lineRule="auto"/>
        <w:tabs>
          <w:tab w:leader="none" w:pos="1896"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and immediately after giving effect to the terms of this Amendment, (i) no Default has occurred and is continuing and (ii) the representations and warranties of the Borrowers set forth in the Amended Credit Agreement are true and correct</w:t>
      </w:r>
    </w:p>
    <w:p>
      <w:pPr>
        <w:spacing w:after="0" w:line="1" w:lineRule="exact"/>
        <w:rPr>
          <w:rFonts w:ascii="Times New Roman" w:cs="Times New Roman" w:eastAsia="Times New Roman" w:hAnsi="Times New Roman"/>
          <w:sz w:val="19"/>
          <w:szCs w:val="19"/>
          <w:color w:val="auto"/>
        </w:rPr>
      </w:pPr>
    </w:p>
    <w:p>
      <w:pPr>
        <w:jc w:val="both"/>
        <w:ind w:firstLine="6"/>
        <w:spacing w:after="0" w:line="247" w:lineRule="auto"/>
        <w:tabs>
          <w:tab w:leader="none" w:pos="28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representations and warranties qualified as to materiality, in all respects and (y) otherwise, in all material respects, except to the extent that such representations and warranties specifically refer to an earlier date, in which case they were so true and correct as of such earlier date.</w:t>
      </w:r>
    </w:p>
    <w:p>
      <w:pPr>
        <w:spacing w:after="0" w:line="165" w:lineRule="exact"/>
        <w:rPr>
          <w:sz w:val="20"/>
          <w:szCs w:val="20"/>
          <w:color w:val="auto"/>
        </w:rPr>
      </w:pPr>
    </w:p>
    <w:p>
      <w:pPr>
        <w:ind w:left="1920" w:hanging="642"/>
        <w:spacing w:after="0"/>
        <w:tabs>
          <w:tab w:leader="none" w:pos="19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Reference to and Effect on the Credit Agreement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278"/>
        <w:spacing w:after="0" w:line="245" w:lineRule="auto"/>
        <w:tabs>
          <w:tab w:leader="none" w:pos="189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67" w:lineRule="exact"/>
        <w:rPr>
          <w:rFonts w:ascii="Times New Roman" w:cs="Times New Roman" w:eastAsia="Times New Roman" w:hAnsi="Times New Roman"/>
          <w:sz w:val="19"/>
          <w:szCs w:val="19"/>
          <w:color w:val="auto"/>
        </w:rPr>
      </w:pPr>
    </w:p>
    <w:p>
      <w:pPr>
        <w:ind w:firstLine="1278"/>
        <w:spacing w:after="0" w:line="270" w:lineRule="auto"/>
        <w:tabs>
          <w:tab w:leader="none" w:pos="189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Document and all other documents, instruments and agreements executed and/or delivered in connection therewith shall remain in full force and effect and are hereby ratified and confirmed.</w:t>
      </w:r>
    </w:p>
    <w:p>
      <w:pPr>
        <w:spacing w:after="0" w:line="157" w:lineRule="exact"/>
        <w:rPr>
          <w:rFonts w:ascii="Times New Roman" w:cs="Times New Roman" w:eastAsia="Times New Roman" w:hAnsi="Times New Roman"/>
          <w:sz w:val="19"/>
          <w:szCs w:val="19"/>
          <w:color w:val="auto"/>
        </w:rPr>
      </w:pPr>
    </w:p>
    <w:p>
      <w:pPr>
        <w:jc w:val="both"/>
        <w:ind w:firstLine="1278"/>
        <w:spacing w:after="0" w:line="251" w:lineRule="auto"/>
        <w:tabs>
          <w:tab w:leader="none" w:pos="189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6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be a Loan Document.</w:t>
      </w:r>
    </w:p>
    <w:p>
      <w:pPr>
        <w:spacing w:after="0" w:line="205" w:lineRule="exact"/>
        <w:rPr>
          <w:rFonts w:ascii="Times New Roman" w:cs="Times New Roman" w:eastAsia="Times New Roman" w:hAnsi="Times New Roman"/>
          <w:sz w:val="19"/>
          <w:szCs w:val="19"/>
          <w:color w:val="auto"/>
        </w:rPr>
      </w:pPr>
    </w:p>
    <w:p>
      <w:pPr>
        <w:jc w:val="both"/>
        <w:ind w:firstLine="1278"/>
        <w:spacing w:after="0" w:line="245" w:lineRule="auto"/>
        <w:tabs>
          <w:tab w:leader="none" w:pos="189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in any way establishing a course of dealing by the Administrative Agent, any Lender or any L/C Issuer, each of the undersigned Loan Parties consents to this Amendment and reaffirms the terms and conditions of each Loan Document executed by it and acknowledges and agrees that each and every Loan Document executed by the undersigned Loan Parties in connection with the Credit Agreement remains in full force and effect and is hereby reaffirmed, ratified and confirmed.</w:t>
      </w:r>
    </w:p>
    <w:p>
      <w:pPr>
        <w:spacing w:after="0" w:line="181" w:lineRule="exact"/>
        <w:rPr>
          <w:sz w:val="20"/>
          <w:szCs w:val="20"/>
          <w:color w:val="auto"/>
        </w:rPr>
      </w:pPr>
    </w:p>
    <w:p>
      <w:pPr>
        <w:ind w:left="1920" w:hanging="642"/>
        <w:spacing w:after="0"/>
        <w:tabs>
          <w:tab w:leader="none" w:pos="19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This Amendment shall be construed in accordance with and governed by the law of the</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State of New York.</w:t>
      </w:r>
    </w:p>
    <w:p>
      <w:pPr>
        <w:spacing w:after="0" w:line="183" w:lineRule="exact"/>
        <w:rPr>
          <w:rFonts w:ascii="Times New Roman" w:cs="Times New Roman" w:eastAsia="Times New Roman" w:hAnsi="Times New Roman"/>
          <w:sz w:val="19"/>
          <w:szCs w:val="19"/>
          <w:color w:val="auto"/>
        </w:rPr>
      </w:pPr>
    </w:p>
    <w:p>
      <w:pPr>
        <w:ind w:firstLine="1278"/>
        <w:spacing w:after="0" w:line="270" w:lineRule="auto"/>
        <w:tabs>
          <w:tab w:leader="none" w:pos="190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in this Amendment are included herein for convenience of reference only and shall not constitute a part of this Amendment for any other purpose.</w:t>
      </w:r>
    </w:p>
    <w:p>
      <w:pPr>
        <w:spacing w:after="0" w:line="144" w:lineRule="exact"/>
        <w:rPr>
          <w:rFonts w:ascii="Times New Roman" w:cs="Times New Roman" w:eastAsia="Times New Roman" w:hAnsi="Times New Roman"/>
          <w:sz w:val="19"/>
          <w:szCs w:val="19"/>
          <w:color w:val="auto"/>
        </w:rPr>
      </w:pPr>
    </w:p>
    <w:p>
      <w:pPr>
        <w:jc w:val="both"/>
        <w:ind w:firstLine="1278"/>
        <w:spacing w:after="0"/>
        <w:tabs>
          <w:tab w:leader="none" w:pos="190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19"/>
          <w:szCs w:val="19"/>
          <w:u w:val="single" w:color="auto"/>
          <w:color w:val="auto"/>
        </w:rPr>
        <w:t>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Signatures</w:t>
      </w:r>
      <w:r>
        <w:rPr>
          <w:rFonts w:ascii="Times New Roman" w:cs="Times New Roman" w:eastAsia="Times New Roman" w:hAnsi="Times New Roman"/>
          <w:sz w:val="19"/>
          <w:szCs w:val="19"/>
          <w:color w:val="auto"/>
        </w:rPr>
        <w:t>” means any electronic symbol or process attached to, or associated with, any contract or other record and adopted by a person with the intent to sign, authenticate or accept such contract or record.</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61" w:lineRule="exact"/>
        <w:rPr>
          <w:sz w:val="20"/>
          <w:szCs w:val="20"/>
          <w:color w:val="auto"/>
        </w:rPr>
      </w:pPr>
    </w:p>
    <w:p>
      <w:pPr>
        <w:ind w:firstLine="1272"/>
        <w:spacing w:after="0" w:line="300" w:lineRule="auto"/>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and delivered by their respective authorized officers as of the day and year first above written.</w:t>
      </w:r>
    </w:p>
    <w:p>
      <w:pPr>
        <w:spacing w:after="0" w:line="1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INCYTE CORPORATION,</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00" w:lineRule="exact"/>
        <w:rPr>
          <w:sz w:val="20"/>
          <w:szCs w:val="20"/>
          <w:color w:val="auto"/>
        </w:rPr>
      </w:pPr>
    </w:p>
    <w:p>
      <w:pPr>
        <w:spacing w:after="0" w:line="249"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Christiana Stamoulis</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Christiana Stamoulis</w:t>
            </w: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INCYTE HOLDINGS CORPORATION,</w:t>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as a Subsidiary Guarantor</w:t>
      </w:r>
    </w:p>
    <w:p>
      <w:pPr>
        <w:spacing w:after="0" w:line="200" w:lineRule="exact"/>
        <w:rPr>
          <w:sz w:val="20"/>
          <w:szCs w:val="20"/>
          <w:color w:val="auto"/>
        </w:rPr>
      </w:pPr>
    </w:p>
    <w:p>
      <w:pPr>
        <w:spacing w:after="0" w:line="222" w:lineRule="exact"/>
        <w:rPr>
          <w:sz w:val="20"/>
          <w:szCs w:val="20"/>
          <w:color w:val="auto"/>
        </w:rPr>
      </w:pPr>
    </w:p>
    <w:tbl>
      <w:tblPr>
        <w:tblLayout w:type="fixed"/>
        <w:tblInd w:w="520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Christiana Stamoulis</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Christiana Stamoulis</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2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Revolving Credit and Guaranty Agreement dated as of August 18, 2021</w:t>
      </w:r>
    </w:p>
    <w:p>
      <w:pPr>
        <w:jc w:val="center"/>
        <w:spacing w:after="0"/>
        <w:rPr>
          <w:sz w:val="20"/>
          <w:szCs w:val="20"/>
          <w:color w:val="auto"/>
        </w:rPr>
      </w:pPr>
      <w:r>
        <w:rPr>
          <w:rFonts w:ascii="Times New Roman" w:cs="Times New Roman" w:eastAsia="Times New Roman" w:hAnsi="Times New Roman"/>
          <w:sz w:val="18"/>
          <w:szCs w:val="18"/>
          <w:color w:val="auto"/>
        </w:rPr>
        <w:t>Incyte Corporation</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16" w:lineRule="exact"/>
        <w:rPr>
          <w:sz w:val="20"/>
          <w:szCs w:val="20"/>
          <w:color w:val="auto"/>
        </w:rPr>
      </w:pPr>
    </w:p>
    <w:p>
      <w:pPr>
        <w:ind w:left="4080" w:right="720"/>
        <w:spacing w:after="0" w:line="246" w:lineRule="auto"/>
        <w:rPr>
          <w:sz w:val="20"/>
          <w:szCs w:val="20"/>
          <w:color w:val="auto"/>
        </w:rPr>
      </w:pPr>
      <w:r>
        <w:rPr>
          <w:rFonts w:ascii="Times New Roman" w:cs="Times New Roman" w:eastAsia="Times New Roman" w:hAnsi="Times New Roman"/>
          <w:sz w:val="19"/>
          <w:szCs w:val="19"/>
          <w:color w:val="auto"/>
        </w:rPr>
        <w:t>individually as a Lender, as the L/C Issuer and as the Administrative Agent</w:t>
      </w:r>
    </w:p>
    <w:p>
      <w:pPr>
        <w:spacing w:after="0" w:line="200" w:lineRule="exact"/>
        <w:rPr>
          <w:sz w:val="20"/>
          <w:szCs w:val="20"/>
          <w:color w:val="auto"/>
        </w:rPr>
      </w:pPr>
    </w:p>
    <w:p>
      <w:pPr>
        <w:spacing w:after="0" w:line="205"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Helen D. Davis</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Helen D. Davis</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Authorized Signor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1" w:name="page92"/>
    <w:bookmarkEnd w:id="91"/>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BANK OF AMERICA, N.A.,</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individually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Karen Yap</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Karen Yap</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2" w:name="page93"/>
    <w:bookmarkEnd w:id="92"/>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BARCLAYS BANK PLC,</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Edward Pan</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Edward Pan</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3" w:name="page94"/>
    <w:bookmarkEnd w:id="93"/>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CITIZENS BANK, N.A.,</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Benjamin Rogers</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Benjamin Rogers</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 President, Relationship 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4" w:name="page95"/>
    <w:bookmarkEnd w:id="94"/>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GOLDMAN SACHS LENDING PARTNERS LLC,</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Nick Merino</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Nick Merino</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5" w:name="page96"/>
    <w:bookmarkEnd w:id="95"/>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HSBC BANK USA, N.A.,</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Alyssa Champion</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Alyssa Champion</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6" w:name="page97"/>
    <w:bookmarkEnd w:id="96"/>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MIZUHO BANK, LTD.,</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John Davies</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John Davies</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7" w:name="page98"/>
    <w:bookmarkEnd w:id="97"/>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MORGAN STANLEY BANK, N.A.,</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Michael King</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Michael King</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98" w:name="page99"/>
    <w:bookmarkEnd w:id="98"/>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SUMITOMO MITSUI BANKING CORPORATION,</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p>
      <w:pPr>
        <w:ind w:left="4080"/>
        <w:spacing w:after="0"/>
        <w:tabs>
          <w:tab w:leader="none" w:pos="49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Cindy Hwee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43815</wp:posOffset>
            </wp:positionV>
            <wp:extent cx="33064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53" w:lineRule="exact"/>
        <w:rPr>
          <w:sz w:val="20"/>
          <w:szCs w:val="20"/>
          <w:color w:val="auto"/>
        </w:rPr>
      </w:pPr>
    </w:p>
    <w:p>
      <w:pPr>
        <w:ind w:left="4080"/>
        <w:spacing w:after="0"/>
        <w:tabs>
          <w:tab w:leader="none" w:pos="49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Cindy Hwee</w:t>
      </w:r>
    </w:p>
    <w:p>
      <w:pPr>
        <w:spacing w:after="0" w:line="73" w:lineRule="exact"/>
        <w:rPr>
          <w:sz w:val="20"/>
          <w:szCs w:val="20"/>
          <w:color w:val="auto"/>
        </w:rPr>
      </w:pPr>
    </w:p>
    <w:p>
      <w:pPr>
        <w:ind w:left="4080"/>
        <w:spacing w:after="0"/>
        <w:tabs>
          <w:tab w:leader="none" w:pos="492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960" w:right="1979"/>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 Tom Priedeman</w:t>
            </w:r>
          </w:p>
        </w:tc>
        <w:tc>
          <w:tcPr>
            <w:tcW w:w="0" w:type="dxa"/>
            <w:vAlign w:val="bottom"/>
          </w:tcPr>
          <w:p>
            <w:pPr>
              <w:spacing w:after="0"/>
              <w:rPr>
                <w:sz w:val="1"/>
                <w:szCs w:val="1"/>
                <w:color w:val="auto"/>
              </w:rPr>
            </w:pPr>
          </w:p>
        </w:tc>
      </w:tr>
      <w:tr>
        <w:trPr>
          <w:trHeight w:val="35"/>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Name:</w:t>
            </w: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vMerge w:val="continue"/>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Tom Priedeman</w:t>
            </w:r>
          </w:p>
        </w:tc>
        <w:tc>
          <w:tcPr>
            <w:tcW w:w="0" w:type="dxa"/>
            <w:vAlign w:val="bottom"/>
          </w:tcPr>
          <w:p>
            <w:pPr>
              <w:spacing w:after="0"/>
              <w:rPr>
                <w:sz w:val="1"/>
                <w:szCs w:val="1"/>
                <w:color w:val="auto"/>
              </w:rPr>
            </w:pP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960" w:right="3080"/>
        <w:spacing w:after="0" w:line="246" w:lineRule="auto"/>
        <w:rPr>
          <w:sz w:val="20"/>
          <w:szCs w:val="20"/>
          <w:color w:val="auto"/>
        </w:rPr>
      </w:pPr>
      <w:r>
        <w:rPr>
          <w:rFonts w:ascii="Times New Roman" w:cs="Times New Roman" w:eastAsia="Times New Roman" w:hAnsi="Times New Roman"/>
          <w:sz w:val="18"/>
          <w:szCs w:val="18"/>
          <w:color w:val="auto"/>
        </w:rPr>
        <w:t>Signature Page to Amendment No. 2 to Revolving Credit and Guaranty Agreement dated as of August 18, 2021 Incyte Corporation</w:t>
      </w:r>
    </w:p>
    <w:p>
      <w:pPr>
        <w:sectPr>
          <w:pgSz w:w="11900" w:h="16838" w:orient="portrait"/>
          <w:cols w:equalWidth="0" w:num="1">
            <w:col w:w="10120"/>
          </w:cols>
          <w:pgMar w:left="1440" w:top="1440" w:right="339" w:bottom="1440" w:gutter="0" w:footer="0" w:header="0"/>
        </w:sectPr>
      </w:pPr>
    </w:p>
    <w:bookmarkStart w:id="100" w:name="page101"/>
    <w:bookmarkEnd w:id="100"/>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ANNEX A</w:t>
      </w:r>
    </w:p>
    <w:p>
      <w:pPr>
        <w:sectPr>
          <w:pgSz w:w="11900" w:h="16838" w:orient="portrait"/>
          <w:cols w:equalWidth="0" w:num="1">
            <w:col w:w="9019"/>
          </w:cols>
          <w:pgMar w:left="1440" w:top="1440" w:right="1440" w:bottom="144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Attached</w:t>
      </w:r>
    </w:p>
    <w:p>
      <w:pPr>
        <w:sectPr>
          <w:pgSz w:w="11900" w:h="16838" w:orient="portrait"/>
          <w:cols w:equalWidth="0" w:num="1">
            <w:col w:w="9019"/>
          </w:cols>
          <w:pgMar w:left="1440" w:top="1440" w:right="1440" w:bottom="1440" w:gutter="0" w:footer="0" w:header="0"/>
          <w:type w:val="continuous"/>
        </w:sectPr>
      </w:pPr>
    </w:p>
    <w:bookmarkStart w:id="101" w:name="page102"/>
    <w:bookmarkEnd w:id="101"/>
    <w:p>
      <w:pPr>
        <w:spacing w:after="0" w:line="15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200" w:lineRule="exact"/>
        <w:rPr>
          <w:sz w:val="20"/>
          <w:szCs w:val="20"/>
          <w:color w:val="auto"/>
        </w:rPr>
      </w:pPr>
    </w:p>
    <w:p>
      <w:pPr>
        <w:spacing w:after="0" w:line="350"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1"/>
          <w:szCs w:val="21"/>
          <w:b w:val="1"/>
          <w:bCs w:val="1"/>
          <w:color w:val="auto"/>
        </w:rPr>
        <w:t>REVOLVING CREDIT AND GUARANTY AGREEMENT</w:t>
      </w: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dated as of</w:t>
      </w:r>
    </w:p>
    <w:p>
      <w:pPr>
        <w:spacing w:after="0" w:line="2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August 18, 2021,</w:t>
      </w:r>
    </w:p>
    <w:p>
      <w:pPr>
        <w:spacing w:after="0" w:line="2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among</w:t>
      </w:r>
    </w:p>
    <w:p>
      <w:pPr>
        <w:spacing w:after="0" w:line="2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as Borrower,</w:t>
      </w:r>
    </w:p>
    <w:p>
      <w:pPr>
        <w:spacing w:after="0" w:line="2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THE GUARANTORS PARTY HERETO,</w:t>
      </w:r>
    </w:p>
    <w:p>
      <w:pPr>
        <w:spacing w:after="0" w:line="2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THE LENDERS PARTY HERETO,</w:t>
      </w:r>
    </w:p>
    <w:p>
      <w:pPr>
        <w:spacing w:after="0" w:line="2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1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and</w:t>
      </w:r>
    </w:p>
    <w:p>
      <w:pPr>
        <w:spacing w:after="0" w:line="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MIZUHO BANK, LTD.,</w:t>
      </w:r>
    </w:p>
    <w:p>
      <w:pPr>
        <w:spacing w:after="0" w:line="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as Co-Syndication Agents</w:t>
      </w:r>
    </w:p>
    <w:p>
      <w:pPr>
        <w:spacing w:after="0" w:line="1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36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and</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MIZUHO BANK, LTD.,</w:t>
      </w:r>
    </w:p>
    <w:p>
      <w:pPr>
        <w:spacing w:after="0" w:line="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429260</wp:posOffset>
            </wp:positionV>
            <wp:extent cx="7117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454660</wp:posOffset>
            </wp:positionV>
            <wp:extent cx="71177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151048619.1</w:t>
      </w:r>
      <w:r>
        <w:rPr>
          <w:rFonts w:ascii="Times New Roman" w:cs="Times New Roman" w:eastAsia="Times New Roman" w:hAnsi="Times New Roman"/>
          <w:sz w:val="14"/>
          <w:szCs w:val="14"/>
          <w:b w:val="1"/>
          <w:bCs w:val="1"/>
          <w:u w:val="single" w:color="auto"/>
          <w:color w:val="0000FF"/>
        </w:rPr>
        <w:t>151048619.6</w:t>
      </w:r>
    </w:p>
    <w:p>
      <w:pPr>
        <w:sectPr>
          <w:pgSz w:w="11900" w:h="16838" w:orient="portrait"/>
          <w:cols w:equalWidth="0" w:num="1">
            <w:col w:w="10139"/>
          </w:cols>
          <w:pgMar w:left="320" w:top="144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81"/>
        </w:trPr>
        <w:tc>
          <w:tcPr>
            <w:tcW w:w="2160" w:type="dxa"/>
            <w:vAlign w:val="bottom"/>
          </w:tcPr>
          <w:p>
            <w:pPr>
              <w:spacing w:after="0"/>
              <w:rPr>
                <w:sz w:val="24"/>
                <w:szCs w:val="24"/>
                <w:color w:val="auto"/>
              </w:rPr>
            </w:pPr>
          </w:p>
        </w:tc>
        <w:tc>
          <w:tcPr>
            <w:tcW w:w="8160" w:type="dxa"/>
            <w:vAlign w:val="bottom"/>
          </w:tcPr>
          <w:p>
            <w:pPr>
              <w:ind w:left="23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3"/>
        </w:trPr>
        <w:tc>
          <w:tcPr>
            <w:tcW w:w="21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w w:val="97"/>
              </w:rPr>
              <w:t>Page</w:t>
            </w:r>
          </w:p>
        </w:tc>
      </w:tr>
      <w:tr>
        <w:trPr>
          <w:trHeight w:val="390"/>
        </w:trPr>
        <w:tc>
          <w:tcPr>
            <w:tcW w:w="10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 DEFINITIONS AND ACCOUNTING TERMS</w:t>
            </w:r>
          </w:p>
        </w:tc>
        <w:tc>
          <w:tcPr>
            <w:tcW w:w="4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1.01.</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Defined Terms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1.02.</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Other Interpretive Provisions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1.03.</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Accounting Terms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1.04.</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Exchange Rates; US Dollar Equivalents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1.05.</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Additional Alternative Currencies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1.06.</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Divisions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1.07.</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Letter of Credit Amounts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1.08.</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Rounding</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1.09.</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Interest Rates; Benchmark Notification</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5"/>
        </w:trPr>
        <w:tc>
          <w:tcPr>
            <w:tcW w:w="10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 THE COMMITMENTS AND CREDIT EXTENSIONS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2.01.</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Committed Loans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2.02.</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Borrowings, Conversions and Continuations of Committed Loans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2.03.</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Bid Loans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2.04.</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Letters of Credit</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1"/>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2.05.</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Prepayments</w:t>
            </w:r>
          </w:p>
        </w:tc>
        <w:tc>
          <w:tcPr>
            <w:tcW w:w="4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30"/>
        </w:trPr>
        <w:tc>
          <w:tcPr>
            <w:tcW w:w="2160" w:type="dxa"/>
            <w:vAlign w:val="bottom"/>
          </w:tcPr>
          <w:p>
            <w:pPr>
              <w:ind w:left="160"/>
              <w:spacing w:after="0" w:line="230" w:lineRule="exact"/>
              <w:rPr>
                <w:sz w:val="20"/>
                <w:szCs w:val="20"/>
                <w:color w:val="auto"/>
              </w:rPr>
            </w:pPr>
            <w:r>
              <w:rPr>
                <w:rFonts w:ascii="Times New Roman" w:cs="Times New Roman" w:eastAsia="Times New Roman" w:hAnsi="Times New Roman"/>
                <w:sz w:val="21"/>
                <w:szCs w:val="21"/>
                <w:color w:val="auto"/>
              </w:rPr>
              <w:t>SECTION 2.06.</w:t>
            </w:r>
          </w:p>
        </w:tc>
        <w:tc>
          <w:tcPr>
            <w:tcW w:w="8160" w:type="dxa"/>
            <w:vAlign w:val="bottom"/>
          </w:tcPr>
          <w:p>
            <w:pPr>
              <w:ind w:left="640"/>
              <w:spacing w:after="0" w:line="230" w:lineRule="exact"/>
              <w:rPr>
                <w:sz w:val="20"/>
                <w:szCs w:val="20"/>
                <w:color w:val="auto"/>
              </w:rPr>
            </w:pPr>
            <w:r>
              <w:rPr>
                <w:rFonts w:ascii="Times New Roman" w:cs="Times New Roman" w:eastAsia="Times New Roman" w:hAnsi="Times New Roman"/>
                <w:sz w:val="21"/>
                <w:szCs w:val="21"/>
                <w:color w:val="auto"/>
              </w:rPr>
              <w:t>Termination or Reduction of Commitments</w:t>
            </w:r>
          </w:p>
        </w:tc>
        <w:tc>
          <w:tcPr>
            <w:tcW w:w="420" w:type="dxa"/>
            <w:vAlign w:val="bottom"/>
          </w:tcPr>
          <w:p>
            <w:pPr>
              <w:jc w:val="right"/>
              <w:ind w:right="94"/>
              <w:spacing w:after="0" w:line="230" w:lineRule="exact"/>
              <w:rPr>
                <w:sz w:val="20"/>
                <w:szCs w:val="20"/>
                <w:color w:val="auto"/>
              </w:rPr>
            </w:pPr>
            <w:r>
              <w:rPr>
                <w:rFonts w:ascii="Times New Roman" w:cs="Times New Roman" w:eastAsia="Times New Roman" w:hAnsi="Times New Roman"/>
                <w:sz w:val="21"/>
                <w:szCs w:val="21"/>
                <w:b w:val="1"/>
                <w:bCs w:val="1"/>
                <w:color w:val="EE2724"/>
                <w:strike w:val="1"/>
                <w:w w:val="95"/>
              </w:rPr>
              <w:t>61</w:t>
            </w:r>
          </w:p>
        </w:tc>
        <w:tc>
          <w:tcPr>
            <w:tcW w:w="220" w:type="dxa"/>
            <w:vAlign w:val="bottom"/>
          </w:tcPr>
          <w:p>
            <w:pPr>
              <w:spacing w:after="0"/>
              <w:rPr>
                <w:sz w:val="20"/>
                <w:szCs w:val="20"/>
                <w:color w:val="auto"/>
              </w:rPr>
            </w:pPr>
          </w:p>
        </w:tc>
        <w:tc>
          <w:tcPr>
            <w:tcW w:w="22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1"/>
                <w:szCs w:val="21"/>
                <w:b w:val="1"/>
                <w:bCs w:val="1"/>
                <w:color w:val="0000FF"/>
                <w:w w:val="95"/>
              </w:rPr>
              <w:t>62</w:t>
            </w: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2.07.</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Repayment of Loans</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21"/>
                <w:szCs w:val="21"/>
                <w:b w:val="1"/>
                <w:bCs w:val="1"/>
                <w:color w:val="EE2724"/>
                <w:strike w:val="1"/>
                <w:w w:val="95"/>
              </w:rPr>
              <w:t>62</w:t>
            </w:r>
          </w:p>
        </w:tc>
        <w:tc>
          <w:tcPr>
            <w:tcW w:w="220" w:type="dxa"/>
            <w:vAlign w:val="bottom"/>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63</w:t>
            </w: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2.08.</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Interest</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21"/>
                <w:szCs w:val="21"/>
                <w:b w:val="1"/>
                <w:bCs w:val="1"/>
                <w:color w:val="EE2724"/>
                <w:strike w:val="1"/>
                <w:w w:val="95"/>
              </w:rPr>
              <w:t>62</w:t>
            </w:r>
          </w:p>
        </w:tc>
        <w:tc>
          <w:tcPr>
            <w:tcW w:w="220" w:type="dxa"/>
            <w:vAlign w:val="bottom"/>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63</w:t>
            </w: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2.09.</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Fees</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21"/>
                <w:szCs w:val="21"/>
                <w:b w:val="1"/>
                <w:bCs w:val="1"/>
                <w:color w:val="EE2724"/>
                <w:strike w:val="1"/>
                <w:w w:val="95"/>
              </w:rPr>
              <w:t>63</w:t>
            </w:r>
          </w:p>
        </w:tc>
        <w:tc>
          <w:tcPr>
            <w:tcW w:w="220" w:type="dxa"/>
            <w:vAlign w:val="bottom"/>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65</w:t>
            </w:r>
          </w:p>
        </w:tc>
      </w:tr>
      <w:tr>
        <w:trPr>
          <w:trHeight w:val="284"/>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2.10.</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Computation of Interest and Fees</w:t>
            </w:r>
          </w:p>
        </w:tc>
        <w:tc>
          <w:tcPr>
            <w:tcW w:w="4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2.11.</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Evidence of Debt</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66</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2.12.</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Payments Generally; Agent’s Clawback</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66</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2.13.</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Sharing of Payments by Lenders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2.14.</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Expansion Option</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2.15.</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Cash Collateral</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2.16.</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Defaulting Lenders</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2.17.</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Alternate Rate of Interest.</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65"/>
        </w:trPr>
        <w:tc>
          <w:tcPr>
            <w:tcW w:w="10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III TAXES, YIELD PROTECTION AND ILLEGALITY</w:t>
            </w:r>
          </w:p>
        </w:tc>
        <w:tc>
          <w:tcPr>
            <w:tcW w:w="4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77"/>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3.01.</w:t>
            </w:r>
          </w:p>
        </w:tc>
        <w:tc>
          <w:tcPr>
            <w:tcW w:w="81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Taxes</w:t>
            </w:r>
          </w:p>
        </w:tc>
        <w:tc>
          <w:tcPr>
            <w:tcW w:w="4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80"/>
          </w:cols>
          <w:pgMar w:left="340" w:top="1367"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39"/>
        </w:trPr>
        <w:tc>
          <w:tcPr>
            <w:tcW w:w="2160" w:type="dxa"/>
            <w:vAlign w:val="bottom"/>
            <w:vMerge w:val="restart"/>
          </w:tcPr>
          <w:p>
            <w:pPr>
              <w:ind w:left="160"/>
              <w:spacing w:after="0"/>
              <w:rPr>
                <w:sz w:val="20"/>
                <w:szCs w:val="20"/>
                <w:color w:val="auto"/>
              </w:rPr>
            </w:pPr>
            <w:r>
              <w:rPr>
                <w:rFonts w:ascii="Times New Roman" w:cs="Times New Roman" w:eastAsia="Times New Roman" w:hAnsi="Times New Roman"/>
                <w:sz w:val="21"/>
                <w:szCs w:val="21"/>
                <w:color w:val="auto"/>
              </w:rPr>
              <w:t>SECTION 3.02.</w:t>
            </w:r>
          </w:p>
        </w:tc>
        <w:tc>
          <w:tcPr>
            <w:tcW w:w="806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Illegality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87</w:t>
            </w:r>
          </w:p>
        </w:tc>
        <w:tc>
          <w:tcPr>
            <w:tcW w:w="420" w:type="dxa"/>
            <w:vAlign w:val="bottom"/>
            <w:gridSpan w:val="2"/>
            <w:vMerge w:val="restart"/>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89</w:t>
            </w:r>
          </w:p>
        </w:tc>
        <w:tc>
          <w:tcPr>
            <w:tcW w:w="0" w:type="dxa"/>
            <w:vAlign w:val="bottom"/>
          </w:tcPr>
          <w:p>
            <w:pPr>
              <w:spacing w:after="0" w:line="20" w:lineRule="exact"/>
              <w:rPr>
                <w:sz w:val="1"/>
                <w:szCs w:val="1"/>
                <w:color w:val="auto"/>
              </w:rPr>
            </w:pPr>
          </w:p>
        </w:tc>
      </w:tr>
      <w:tr>
        <w:trPr>
          <w:trHeight w:val="207"/>
        </w:trPr>
        <w:tc>
          <w:tcPr>
            <w:tcW w:w="2160" w:type="dxa"/>
            <w:vAlign w:val="bottom"/>
            <w:vMerge w:val="continue"/>
          </w:tcPr>
          <w:p>
            <w:pPr>
              <w:spacing w:after="0"/>
              <w:rPr>
                <w:sz w:val="17"/>
                <w:szCs w:val="17"/>
                <w:color w:val="auto"/>
              </w:rPr>
            </w:pPr>
          </w:p>
        </w:tc>
        <w:tc>
          <w:tcPr>
            <w:tcW w:w="8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3.03.</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[Intentionally Omitted]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87</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89</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3.04.</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Increased Costs; Additional Reserve Requirements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87</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89</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3.05.</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Compensation for Losses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89</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91</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3.06.</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Mitigation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90</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92</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3.07.</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90</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92</w:t>
            </w:r>
          </w:p>
        </w:tc>
        <w:tc>
          <w:tcPr>
            <w:tcW w:w="0" w:type="dxa"/>
            <w:vAlign w:val="bottom"/>
          </w:tcPr>
          <w:p>
            <w:pPr>
              <w:spacing w:after="0"/>
              <w:rPr>
                <w:sz w:val="1"/>
                <w:szCs w:val="1"/>
                <w:color w:val="auto"/>
              </w:rPr>
            </w:pPr>
          </w:p>
        </w:tc>
      </w:tr>
      <w:tr>
        <w:trPr>
          <w:trHeight w:val="245"/>
        </w:trPr>
        <w:tc>
          <w:tcPr>
            <w:tcW w:w="10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IV CONDITIONS PRECEDENT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90</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93</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4.01.</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Conditions to Effectiveness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90</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93</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4.02.</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Conditions to all Credit Extensions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92</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94</w:t>
            </w:r>
          </w:p>
        </w:tc>
        <w:tc>
          <w:tcPr>
            <w:tcW w:w="0" w:type="dxa"/>
            <w:vAlign w:val="bottom"/>
          </w:tcPr>
          <w:p>
            <w:pPr>
              <w:spacing w:after="0"/>
              <w:rPr>
                <w:sz w:val="1"/>
                <w:szCs w:val="1"/>
                <w:color w:val="auto"/>
              </w:rPr>
            </w:pPr>
          </w:p>
        </w:tc>
      </w:tr>
      <w:tr>
        <w:trPr>
          <w:trHeight w:val="245"/>
        </w:trPr>
        <w:tc>
          <w:tcPr>
            <w:tcW w:w="10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 REPRESENTATIONS AND WARRANTIES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93</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95</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5.01.</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Existence, Qualification and Power</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93</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95</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5.02.</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Authorization; No Contravention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93</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95</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5.03.</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Material Governmental Authorization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93</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95</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5.04.</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Binding Effect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93</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96</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5.05.</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Financial Statements; No Material Adverse Effect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94</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96</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5.06.</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Litigation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94</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96</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5.07.</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Anti-Corruption Laws and Sanctions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94</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97</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5.08.</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Margin Regulations; Investment Company Act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95</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97</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5.09.</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Disclosure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95</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97</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5.10.</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Compliance with Laws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95</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98</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5.11.</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Properties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95</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98</w:t>
            </w:r>
          </w:p>
        </w:tc>
        <w:tc>
          <w:tcPr>
            <w:tcW w:w="0" w:type="dxa"/>
            <w:vAlign w:val="bottom"/>
          </w:tcPr>
          <w:p>
            <w:pPr>
              <w:spacing w:after="0"/>
              <w:rPr>
                <w:sz w:val="1"/>
                <w:szCs w:val="1"/>
                <w:color w:val="auto"/>
              </w:rPr>
            </w:pPr>
          </w:p>
        </w:tc>
      </w:tr>
      <w:tr>
        <w:trPr>
          <w:trHeight w:val="245"/>
        </w:trPr>
        <w:tc>
          <w:tcPr>
            <w:tcW w:w="10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 AFFIRMATIVE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96</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98</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6.01.</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Financial Statements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96</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98</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6.02.</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Certificates; Notice of Default; Other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97</w:t>
            </w:r>
          </w:p>
        </w:tc>
        <w:tc>
          <w:tcPr>
            <w:tcW w:w="42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99</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6.03.</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Payment of Taxes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98</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100</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6.04.</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Preservation of Existence,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98</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100</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6.05.</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Compliance with Laws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98</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101</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6.06.</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Use of Proceeds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99</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101</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6.07.</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Maintenance of Property and Insurance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99</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101</w:t>
            </w:r>
          </w:p>
        </w:tc>
        <w:tc>
          <w:tcPr>
            <w:tcW w:w="0" w:type="dxa"/>
            <w:vAlign w:val="bottom"/>
          </w:tcPr>
          <w:p>
            <w:pPr>
              <w:spacing w:after="0"/>
              <w:rPr>
                <w:sz w:val="1"/>
                <w:szCs w:val="1"/>
                <w:color w:val="auto"/>
              </w:rPr>
            </w:pPr>
          </w:p>
        </w:tc>
      </w:tr>
      <w:tr>
        <w:trPr>
          <w:trHeight w:val="245"/>
        </w:trPr>
        <w:tc>
          <w:tcPr>
            <w:tcW w:w="102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VII NEGATIVE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99</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101</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7.01.</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Liens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rPr>
              <w:t>99</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102</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7.02.</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Subsidiary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102</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105</w:t>
            </w:r>
          </w:p>
        </w:tc>
        <w:tc>
          <w:tcPr>
            <w:tcW w:w="0" w:type="dxa"/>
            <w:vAlign w:val="bottom"/>
          </w:tcPr>
          <w:p>
            <w:pPr>
              <w:spacing w:after="0"/>
              <w:rPr>
                <w:sz w:val="1"/>
                <w:szCs w:val="1"/>
                <w:color w:val="auto"/>
              </w:rPr>
            </w:pPr>
          </w:p>
        </w:tc>
      </w:tr>
      <w:tr>
        <w:trPr>
          <w:trHeight w:val="245"/>
        </w:trPr>
        <w:tc>
          <w:tcPr>
            <w:tcW w:w="2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SECTION 7.03.</w:t>
            </w:r>
          </w:p>
        </w:tc>
        <w:tc>
          <w:tcPr>
            <w:tcW w:w="806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Fundamental Changes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104</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180"/>
          </w:cols>
          <w:pgMar w:left="340" w:top="1382"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39"/>
        </w:trPr>
        <w:tc>
          <w:tcPr>
            <w:tcW w:w="160" w:type="dxa"/>
            <w:vAlign w:val="bottom"/>
            <w:vMerge w:val="restart"/>
          </w:tcPr>
          <w:p>
            <w:pPr>
              <w:spacing w:after="0"/>
              <w:rPr>
                <w:sz w:val="3"/>
                <w:szCs w:val="3"/>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SECTION 7.04.</w:t>
            </w:r>
          </w:p>
        </w:tc>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Dispositions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104</w:t>
            </w:r>
          </w:p>
        </w:tc>
        <w:tc>
          <w:tcPr>
            <w:tcW w:w="320" w:type="dxa"/>
            <w:vAlign w:val="bottom"/>
            <w:vMerge w:val="restart"/>
          </w:tcPr>
          <w:p>
            <w:pPr>
              <w:spacing w:after="0"/>
              <w:rPr>
                <w:sz w:val="3"/>
                <w:szCs w:val="3"/>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106</w:t>
            </w:r>
          </w:p>
        </w:tc>
        <w:tc>
          <w:tcPr>
            <w:tcW w:w="0" w:type="dxa"/>
            <w:vAlign w:val="bottom"/>
          </w:tcPr>
          <w:p>
            <w:pPr>
              <w:spacing w:after="0" w:line="20" w:lineRule="exact"/>
              <w:rPr>
                <w:sz w:val="1"/>
                <w:szCs w:val="1"/>
                <w:color w:val="auto"/>
              </w:rPr>
            </w:pPr>
          </w:p>
        </w:tc>
      </w:tr>
      <w:tr>
        <w:trPr>
          <w:trHeight w:val="207"/>
        </w:trPr>
        <w:tc>
          <w:tcPr>
            <w:tcW w:w="160" w:type="dxa"/>
            <w:vAlign w:val="bottom"/>
            <w:vMerge w:val="continue"/>
          </w:tcPr>
          <w:p>
            <w:pPr>
              <w:spacing w:after="0"/>
              <w:rPr>
                <w:sz w:val="17"/>
                <w:szCs w:val="17"/>
                <w:color w:val="auto"/>
              </w:rPr>
            </w:pPr>
          </w:p>
        </w:tc>
        <w:tc>
          <w:tcPr>
            <w:tcW w:w="2640" w:type="dxa"/>
            <w:vAlign w:val="bottom"/>
            <w:gridSpan w:val="2"/>
            <w:vMerge w:val="continue"/>
          </w:tcPr>
          <w:p>
            <w:pPr>
              <w:spacing w:after="0"/>
              <w:rPr>
                <w:sz w:val="17"/>
                <w:szCs w:val="17"/>
                <w:color w:val="auto"/>
              </w:rPr>
            </w:pPr>
          </w:p>
        </w:tc>
        <w:tc>
          <w:tcPr>
            <w:tcW w:w="74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7.05.</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Restricted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106</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108</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7.06.</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Consolidated Leverage Ratio</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107</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109</w:t>
            </w:r>
          </w:p>
        </w:tc>
        <w:tc>
          <w:tcPr>
            <w:tcW w:w="0" w:type="dxa"/>
            <w:vAlign w:val="bottom"/>
          </w:tcPr>
          <w:p>
            <w:pPr>
              <w:spacing w:after="0"/>
              <w:rPr>
                <w:sz w:val="1"/>
                <w:szCs w:val="1"/>
                <w:color w:val="auto"/>
              </w:rPr>
            </w:pPr>
          </w:p>
        </w:tc>
      </w:tr>
      <w:tr>
        <w:trPr>
          <w:trHeight w:val="245"/>
        </w:trPr>
        <w:tc>
          <w:tcPr>
            <w:tcW w:w="102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ARTICLE VIII EVENTS OF DEFAULT AND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8.01.</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8.02.</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Remedies Upon Event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109</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8.03.</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Application of Funds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110</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8.04.</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Cleanup Period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IX GUARANTEE</w:t>
            </w:r>
          </w:p>
        </w:tc>
        <w:tc>
          <w:tcPr>
            <w:tcW w:w="24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9.01.</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Guarantee of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9.02.</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Limitation on Obligations Guaranteed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9.03.</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Nature of Guarantee; Continuing Guarantee; Waivers of Defenses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9.04.</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Rights of Reimbursement, Contribution and Subrogation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114</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9.05.</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9.06.</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Subordination of Other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9.07.</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Financial Condition of the Borrower and other Guarantors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9.08.</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Bankruptcy,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116</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9.09.</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Duration of 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116</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9.10.</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Reinstatement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116</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9.11.</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Additional Guarantors</w:t>
            </w:r>
          </w:p>
        </w:tc>
        <w:tc>
          <w:tcPr>
            <w:tcW w:w="3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ARTICLE X The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10.01.</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Authorization and Action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117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1"/>
                <w:szCs w:val="21"/>
                <w:b w:val="1"/>
                <w:bCs w:val="1"/>
                <w:color w:val="0000FF"/>
              </w:rPr>
              <w:t>119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10.02.</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Administrative Agent’s Reliance, Limitation of Liability, Etc.</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122</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10.03.</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Posting of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121</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123</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10.04.</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Administrative Agent Individually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122</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125</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10.05.</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Successor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123</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125</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10.06.</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Acknowledgements of Lenders and L/C Issuers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124</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126</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10.07.</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Certain ERISA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126</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129</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10.08.</w:t>
            </w:r>
          </w:p>
        </w:tc>
        <w:tc>
          <w:tcPr>
            <w:tcW w:w="7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Guarantee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127</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130</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b w:val="1"/>
                <w:bCs w:val="1"/>
                <w:color w:val="0000FF"/>
                <w:w w:val="99"/>
              </w:rPr>
              <w:t>SECTION 10.09.</w:t>
            </w:r>
          </w:p>
        </w:tc>
        <w:tc>
          <w:tcPr>
            <w:tcW w:w="1100" w:type="dxa"/>
            <w:vAlign w:val="bottom"/>
          </w:tcPr>
          <w:p>
            <w:pPr>
              <w:spacing w:after="0"/>
              <w:rPr>
                <w:sz w:val="21"/>
                <w:szCs w:val="21"/>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b w:val="1"/>
                <w:bCs w:val="1"/>
                <w:color w:val="0000FF"/>
              </w:rPr>
              <w:t>Borrower Communications</w:t>
            </w:r>
          </w:p>
        </w:tc>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130</w:t>
            </w:r>
          </w:p>
        </w:tc>
        <w:tc>
          <w:tcPr>
            <w:tcW w:w="0" w:type="dxa"/>
            <w:vAlign w:val="bottom"/>
          </w:tcPr>
          <w:p>
            <w:pPr>
              <w:spacing w:after="0"/>
              <w:rPr>
                <w:sz w:val="1"/>
                <w:szCs w:val="1"/>
                <w:color w:val="auto"/>
              </w:rPr>
            </w:pPr>
          </w:p>
        </w:tc>
      </w:tr>
      <w:tr>
        <w:trPr>
          <w:trHeight w:val="245"/>
        </w:trPr>
        <w:tc>
          <w:tcPr>
            <w:tcW w:w="102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ARTICLE XI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128</w:t>
            </w:r>
          </w:p>
        </w:tc>
        <w:tc>
          <w:tcPr>
            <w:tcW w:w="3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180"/>
          </w:cols>
          <w:pgMar w:left="340" w:top="1382"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39"/>
        </w:trPr>
        <w:tc>
          <w:tcPr>
            <w:tcW w:w="20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11.01.</w:t>
            </w:r>
          </w:p>
        </w:tc>
        <w:tc>
          <w:tcPr>
            <w:tcW w:w="8000" w:type="dxa"/>
            <w:vAlign w:val="bottom"/>
            <w:vMerge w:val="restart"/>
          </w:tcPr>
          <w:p>
            <w:pPr>
              <w:ind w:left="580"/>
              <w:spacing w:after="0"/>
              <w:rPr>
                <w:sz w:val="20"/>
                <w:szCs w:val="20"/>
                <w:color w:val="auto"/>
              </w:rPr>
            </w:pPr>
            <w:r>
              <w:rPr>
                <w:rFonts w:ascii="Times New Roman" w:cs="Times New Roman" w:eastAsia="Times New Roman" w:hAnsi="Times New Roman"/>
                <w:sz w:val="21"/>
                <w:szCs w:val="21"/>
                <w:color w:val="auto"/>
              </w:rPr>
              <w:t>Amendments, Etc</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128</w:t>
            </w:r>
          </w:p>
        </w:tc>
        <w:tc>
          <w:tcPr>
            <w:tcW w:w="320" w:type="dxa"/>
            <w:vAlign w:val="bottom"/>
            <w:vMerge w:val="restart"/>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131</w:t>
            </w:r>
          </w:p>
        </w:tc>
        <w:tc>
          <w:tcPr>
            <w:tcW w:w="0" w:type="dxa"/>
            <w:vAlign w:val="bottom"/>
          </w:tcPr>
          <w:p>
            <w:pPr>
              <w:spacing w:after="0" w:line="20" w:lineRule="exact"/>
              <w:rPr>
                <w:sz w:val="1"/>
                <w:szCs w:val="1"/>
                <w:color w:val="auto"/>
              </w:rPr>
            </w:pPr>
          </w:p>
        </w:tc>
      </w:tr>
      <w:tr>
        <w:trPr>
          <w:trHeight w:val="207"/>
        </w:trPr>
        <w:tc>
          <w:tcPr>
            <w:tcW w:w="2060" w:type="dxa"/>
            <w:vAlign w:val="bottom"/>
            <w:vMerge w:val="continue"/>
          </w:tcPr>
          <w:p>
            <w:pPr>
              <w:spacing w:after="0"/>
              <w:rPr>
                <w:sz w:val="17"/>
                <w:szCs w:val="17"/>
                <w:color w:val="auto"/>
              </w:rPr>
            </w:pPr>
          </w:p>
        </w:tc>
        <w:tc>
          <w:tcPr>
            <w:tcW w:w="80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11.02.</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Notices; Effectiveness; Electronic Communication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130</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135</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11.03.</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No Waiver; Cumulative Remedies; Enforcement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131</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136</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11.04.</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Expenses; Indemnity; Damage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132</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136</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11.05.</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Payments Set Aside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134</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139</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11.06.</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135</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140</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11.07.</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Treatment of Certain Information; 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143</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148</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11.08.</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Right of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144</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149</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11.09.</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Interest Rate Limitation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145</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150</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11.10.</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Counterparts; Integration; Electronic Execution; Effectiveness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145</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150</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11.11.</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Survival of Representations and Warranties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146</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151</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11.12.</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147</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152</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11.13.</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Replacement of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147</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152</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11.14.</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Governing Law; Jurisdiction;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148</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153</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11.15.</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149</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154</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11.16.</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149</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154</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11.17.</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Judgment Currency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149</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155</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11.18.</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No Advisory or Fiduciary Responsibility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150</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155</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11.19.</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Acknowledgement and Consent of Bail-In of Affected Financial Institutions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151</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156</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SECTION 11.20.</w:t>
            </w:r>
          </w:p>
        </w:tc>
        <w:tc>
          <w:tcPr>
            <w:tcW w:w="8000" w:type="dxa"/>
            <w:vAlign w:val="bottom"/>
          </w:tcPr>
          <w:p>
            <w:pPr>
              <w:ind w:left="580"/>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EE2724"/>
                <w:strike w:val="1"/>
                <w:w w:val="95"/>
              </w:rPr>
              <w:t>151</w:t>
            </w:r>
          </w:p>
        </w:tc>
        <w:tc>
          <w:tcPr>
            <w:tcW w:w="32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b w:val="1"/>
                <w:bCs w:val="1"/>
                <w:color w:val="0000FF"/>
                <w:w w:val="95"/>
              </w:rPr>
              <w:t>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1">
            <w:col w:w="11020"/>
          </w:cols>
          <w:pgMar w:left="500" w:top="1382"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color w:val="auto"/>
        </w:rPr>
        <w:t>SCHEDULES</w:t>
      </w:r>
    </w:p>
    <w:p>
      <w:pPr>
        <w:spacing w:after="0" w:line="24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1"/>
          <w:szCs w:val="21"/>
          <w:color w:val="auto"/>
        </w:rPr>
        <w:t>2.01</w:t>
        <w:tab/>
        <w:t>Commitments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2.04(a) Letter of Credit Commitments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2.04(b) Existing Letters of Credit</w:t>
      </w:r>
    </w:p>
    <w:p>
      <w:pPr>
        <w:spacing w:after="0" w:line="5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1"/>
          <w:szCs w:val="21"/>
          <w:color w:val="auto"/>
        </w:rPr>
        <w:t>5.06</w:t>
        <w:tab/>
        <w:t>Litigation</w:t>
      </w:r>
    </w:p>
    <w:p>
      <w:pPr>
        <w:spacing w:after="0" w:line="5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1"/>
          <w:szCs w:val="21"/>
          <w:color w:val="auto"/>
        </w:rPr>
        <w:t>7.01</w:t>
        <w:tab/>
        <w:t>Existing Liens</w:t>
      </w:r>
    </w:p>
    <w:p>
      <w:pPr>
        <w:spacing w:after="0" w:line="5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1"/>
          <w:szCs w:val="21"/>
          <w:color w:val="auto"/>
        </w:rPr>
        <w:t>7.02</w:t>
        <w:tab/>
        <w:t>Existing Non-Subsidiary Guarantor Indebtedness</w:t>
      </w:r>
    </w:p>
    <w:p>
      <w:pPr>
        <w:spacing w:after="0" w:line="5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1"/>
          <w:szCs w:val="21"/>
          <w:color w:val="auto"/>
        </w:rPr>
        <w:t>11.02</w:t>
        <w:tab/>
        <w:t>Certain Addresses for Notices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Form of</w:t>
      </w:r>
    </w:p>
    <w:p>
      <w:pPr>
        <w:spacing w:after="0" w:line="264" w:lineRule="exact"/>
        <w:rPr>
          <w:sz w:val="20"/>
          <w:szCs w:val="20"/>
          <w:color w:val="auto"/>
        </w:rPr>
      </w:pPr>
    </w:p>
    <w:p>
      <w:pPr>
        <w:ind w:left="20" w:right="7319" w:firstLine="4"/>
        <w:spacing w:after="0" w:line="289" w:lineRule="auto"/>
        <w:tabs>
          <w:tab w:leader="none" w:pos="36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 and Assumption B-1 Bid Request</w:t>
      </w:r>
    </w:p>
    <w:p>
      <w:pPr>
        <w:spacing w:after="0" w:line="1"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B-2  Competitive Bid</w:t>
      </w:r>
    </w:p>
    <w:p>
      <w:pPr>
        <w:spacing w:after="0" w:line="46" w:lineRule="exact"/>
        <w:rPr>
          <w:rFonts w:ascii="Times New Roman" w:cs="Times New Roman" w:eastAsia="Times New Roman" w:hAnsi="Times New Roman"/>
          <w:sz w:val="21"/>
          <w:szCs w:val="21"/>
          <w:color w:val="auto"/>
        </w:rPr>
      </w:pPr>
    </w:p>
    <w:p>
      <w:pPr>
        <w:ind w:left="20" w:right="5479"/>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b w:val="1"/>
          <w:bCs w:val="1"/>
          <w:color w:val="FF0000"/>
          <w:strike w:val="1"/>
        </w:rPr>
        <w:t>Committed Loan Notice</w:t>
      </w:r>
      <w:r>
        <w:rPr>
          <w:rFonts w:ascii="Times New Roman" w:cs="Times New Roman" w:eastAsia="Times New Roman" w:hAnsi="Times New Roman"/>
          <w:sz w:val="21"/>
          <w:szCs w:val="21"/>
          <w:b w:val="1"/>
          <w:bCs w:val="1"/>
          <w:u w:val="single" w:color="auto"/>
          <w:color w:val="0000FF"/>
        </w:rPr>
        <w:t>[Intentionally Omitted]</w:t>
      </w:r>
      <w:r>
        <w:rPr>
          <w:rFonts w:ascii="Times New Roman" w:cs="Times New Roman" w:eastAsia="Times New Roman" w:hAnsi="Times New Roman"/>
          <w:sz w:val="21"/>
          <w:szCs w:val="21"/>
          <w:color w:val="auto"/>
        </w:rPr>
        <w:t xml:space="preserve"> D Compliance Certificate</w:t>
      </w:r>
    </w:p>
    <w:p>
      <w:pPr>
        <w:spacing w:after="0" w:line="1"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Note</w:t>
      </w:r>
    </w:p>
    <w:p>
      <w:pPr>
        <w:spacing w:after="0" w:line="50"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Prepayment Notice</w:t>
      </w:r>
    </w:p>
    <w:p>
      <w:pPr>
        <w:spacing w:after="0" w:line="50"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  Guarantor Counterpart Agreement</w:t>
      </w:r>
    </w:p>
    <w:p>
      <w:pPr>
        <w:spacing w:after="0" w:line="50" w:lineRule="exact"/>
        <w:rPr>
          <w:rFonts w:ascii="Times New Roman" w:cs="Times New Roman" w:eastAsia="Times New Roman" w:hAnsi="Times New Roman"/>
          <w:sz w:val="21"/>
          <w:szCs w:val="21"/>
          <w:color w:val="auto"/>
        </w:rPr>
      </w:pPr>
    </w:p>
    <w:p>
      <w:pPr>
        <w:ind w:left="20" w:right="2439"/>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H-1 U.S. Tax Compliance Certificate (For Foreign Lenders that are not Partnerships) H-2 U.S. Tax Compliance Certificate (For Foreign Participants that are not Partnerships) H-3 U.S. Tax Compliance Certificate (For Foreign Participants that are Partnerships) H-4 U.S. Tax Compliance Certificate (For Foreign Lenders that are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vii</w:t>
      </w:r>
    </w:p>
    <w:p>
      <w:pPr>
        <w:sectPr>
          <w:pgSz w:w="11900" w:h="16838" w:orient="portrait"/>
          <w:cols w:equalWidth="0" w:num="1">
            <w:col w:w="10139"/>
          </w:cols>
          <w:pgMar w:left="320" w:top="1371" w:right="1440" w:bottom="1440" w:gutter="0" w:footer="0" w:header="0"/>
        </w:sectPr>
      </w:pPr>
    </w:p>
    <w:bookmarkStart w:id="107" w:name="page108"/>
    <w:bookmarkEnd w:id="107"/>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This REVOLVING LOAN CREDIT AND GUARANTY AGREEMENT (as amended, restated, supplemented or otherwise modified from time to time,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August 18, 2021, among INCYTE CORPORATION, a Delaware corporation, the GUARANTORS party hereto, the LENDERS party hereto and JPMORGAN CHASE BANK, N.A., as Administrative Agent.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covenant and agree as follows: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DEFINITIONS AND ACCOUNTING TERMS</w:t>
      </w:r>
    </w:p>
    <w:p>
      <w:pPr>
        <w:spacing w:after="0" w:line="222" w:lineRule="exact"/>
        <w:rPr>
          <w:sz w:val="20"/>
          <w:szCs w:val="20"/>
          <w:color w:val="auto"/>
        </w:rPr>
      </w:pPr>
    </w:p>
    <w:p>
      <w:pPr>
        <w:ind w:left="62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will have the meanings set forth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Absolute Rate</w:t>
      </w:r>
      <w:r>
        <w:rPr>
          <w:rFonts w:ascii="Times New Roman" w:cs="Times New Roman" w:eastAsia="Times New Roman" w:hAnsi="Times New Roman"/>
          <w:sz w:val="21"/>
          <w:szCs w:val="21"/>
          <w:color w:val="auto"/>
        </w:rPr>
        <w:t>” means a fixed rate of interest expressed in multiples of 1/100th of one basis point.</w:t>
      </w:r>
    </w:p>
    <w:p>
      <w:pPr>
        <w:spacing w:after="0" w:line="2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Absolute Rate Loan</w:t>
      </w:r>
      <w:r>
        <w:rPr>
          <w:rFonts w:ascii="Times New Roman" w:cs="Times New Roman" w:eastAsia="Times New Roman" w:hAnsi="Times New Roman"/>
          <w:sz w:val="21"/>
          <w:szCs w:val="21"/>
          <w:color w:val="auto"/>
        </w:rPr>
        <w:t>” means a Bid Loan that bears interest at a rate determined by reference to an Absolute Rate. Absolute Rate Loans may be denominated only in a Discretionary Alternative Currency.</w:t>
      </w:r>
    </w:p>
    <w:p>
      <w:pPr>
        <w:spacing w:after="0" w:line="14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acquisition (in a single acquisition or series of related acquisitions) of (a) assets comprising all or substantially all of the assets of any Person, or of all or substantially all or any significant portion of a business or operating unit of a business, division, product line (including rights in respect of any drug candidate, drug or other pharmaceutical product) or line of business of any Person, or (b) Equity Interests of a Person if, as a result thereof, such Person becomes a Subsidiary.</w:t>
      </w:r>
    </w:p>
    <w:p>
      <w:pPr>
        <w:spacing w:after="0" w:line="162" w:lineRule="exact"/>
        <w:rPr>
          <w:sz w:val="20"/>
          <w:szCs w:val="20"/>
          <w:color w:val="auto"/>
        </w:rPr>
      </w:pPr>
    </w:p>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Indebtedness</w:t>
      </w:r>
      <w:r>
        <w:rPr>
          <w:rFonts w:ascii="Times New Roman" w:cs="Times New Roman" w:eastAsia="Times New Roman" w:hAnsi="Times New Roman"/>
          <w:sz w:val="21"/>
          <w:szCs w:val="21"/>
          <w:color w:val="auto"/>
        </w:rPr>
        <w:t xml:space="preserve">” means any Indebtedness of the Borrower or any of its Subsidiaries that has been issued for the purpose of financing, in whole or in part, an Acquisition and any related transactions (including for the purpose of refinancing or replacing all or a portion of any related bridge facilities or any pre-existing Indebtedness of the Person or assets to be acquired);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release of the proceeds thereof to Borrower and its Subsidiaries is contingent upon the substantially simultaneous consummation of such Acquisition (and, if the definitive agreement for such Acquisition is terminated in accordance with its terms prior to the consummation of such Acquisition or if such Acquisition is otherwise not consummated by the date specified in the definitive documentation relating to such Indebtedness, such proceeds shall be promptly applied to satisfy and discharge all obligations of the Borrower and its Subsidiaries in respect of such Indebtedness) or (b) such Indebtedness contains a “special mandatory redemption” provision (or other similar provision) if such Acquisition is not consummated by the date specified in the definitive documentation relating to such Indebtedness (and if the definitive agreement for such Acquisition is terminated in accordance with its terms prior to the consummation of such Acquisition or such Acquisition is otherwise not consummated by the date specified in the definitive documentation relating to such</w:t>
      </w:r>
    </w:p>
    <w:p>
      <w:pPr>
        <w:sectPr>
          <w:pgSz w:w="11900" w:h="16838" w:orient="portrait"/>
          <w:cols w:equalWidth="0" w:num="1">
            <w:col w:w="11240"/>
          </w:cols>
          <w:pgMar w:left="320" w:top="115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color w:val="auto"/>
        </w:rPr>
        <w:t>Indebtedness, such Indebtedness is so redeemed within 90 days of such termination or such specified date, as the case may be).</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Daily Simple SOFR</w:t>
      </w:r>
      <w:r>
        <w:rPr>
          <w:rFonts w:ascii="Times New Roman" w:cs="Times New Roman" w:eastAsia="Times New Roman" w:hAnsi="Times New Roman"/>
          <w:sz w:val="21"/>
          <w:szCs w:val="21"/>
          <w:color w:val="auto"/>
        </w:rPr>
        <w:t xml:space="preserve">” means an interest rate per annum equal to (a) the Daily Simple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0.10%;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Adjusted Daily Simple SOFR as so determined would be less than the Floor, such rate shall be deemed to be equal to the Floor for the purposes of this Agreement.</w:t>
      </w:r>
    </w:p>
    <w:p>
      <w:pPr>
        <w:spacing w:after="0" w:line="153"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Term SOFR Rate</w:t>
      </w:r>
      <w:r>
        <w:rPr>
          <w:rFonts w:ascii="Times New Roman" w:cs="Times New Roman" w:eastAsia="Times New Roman" w:hAnsi="Times New Roman"/>
          <w:sz w:val="21"/>
          <w:szCs w:val="21"/>
          <w:color w:val="auto"/>
        </w:rPr>
        <w:t xml:space="preserve">” means, for any Interest Period, an interest rate per annum equal to (a) the Term SOFR Rate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0.10%;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Adjusted Term SOFR Rate as so determined would be less than the Floor, such rate shall be deemed to be equal to the Floor for the purposes of this Agreement.</w:t>
      </w:r>
    </w:p>
    <w:p>
      <w:pPr>
        <w:spacing w:after="0" w:line="161"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xml:space="preserve">” means JPMCB, in its capacity as administrative agent under the Loan Documents, or any successor administrative agent. Unless the context requires otherwise, the term “Administrative Agent” shall include any Affiliate of JPMCB </w:t>
      </w:r>
      <w:r>
        <w:rPr>
          <w:rFonts w:ascii="Times New Roman" w:cs="Times New Roman" w:eastAsia="Times New Roman" w:hAnsi="Times New Roman"/>
          <w:sz w:val="21"/>
          <w:szCs w:val="21"/>
          <w:b w:val="1"/>
          <w:bCs w:val="1"/>
          <w:u w:val="single" w:color="auto"/>
          <w:color w:val="0000FF"/>
        </w:rPr>
        <w:t>or designated branch office of JPMCB</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through which JPMCB shall perform any of its obligations in such capacity under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Loan Documents.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customary form supplied by the Administrative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236"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Agent-Related Person</w:t>
      </w:r>
      <w:r>
        <w:rPr>
          <w:rFonts w:ascii="Times New Roman" w:cs="Times New Roman" w:eastAsia="Times New Roman" w:hAnsi="Times New Roman"/>
          <w:sz w:val="21"/>
          <w:szCs w:val="21"/>
          <w:color w:val="auto"/>
        </w:rPr>
        <w:t>” has the meaning assigned to such term in Section 11.04(c).</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Commitments</w:t>
      </w:r>
      <w:r>
        <w:rPr>
          <w:rFonts w:ascii="Times New Roman" w:cs="Times New Roman" w:eastAsia="Times New Roman" w:hAnsi="Times New Roman"/>
          <w:sz w:val="21"/>
          <w:szCs w:val="21"/>
          <w:color w:val="auto"/>
        </w:rPr>
        <w:t xml:space="preserve">” means the aggregate amount of the Commitments of all the Lenders. As of the </w:t>
      </w:r>
      <w:r>
        <w:rPr>
          <w:rFonts w:ascii="Times New Roman" w:cs="Times New Roman" w:eastAsia="Times New Roman" w:hAnsi="Times New Roman"/>
          <w:sz w:val="21"/>
          <w:szCs w:val="21"/>
          <w:b w:val="1"/>
          <w:bCs w:val="1"/>
          <w:u w:val="single" w:color="auto"/>
          <w:color w:val="0000FF"/>
        </w:rPr>
        <w:t>Amendment No.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2</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Effective Date, the Aggregate Commitments are $500,000,000.</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specified in the preamble hereto.</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w:t>
      </w:r>
      <w:r>
        <w:rPr>
          <w:rFonts w:ascii="Times New Roman" w:cs="Times New Roman" w:eastAsia="Times New Roman" w:hAnsi="Times New Roman"/>
          <w:sz w:val="21"/>
          <w:szCs w:val="21"/>
          <w:color w:val="auto"/>
        </w:rPr>
        <w:t xml:space="preserve">” means each currency (other than US Dollars) that is approved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No Loans denominated in an Alternative Currency may be Base Rate Loans or Absolute Rate Loans. As of the Amendment No. </w:t>
      </w:r>
      <w:r>
        <w:rPr>
          <w:rFonts w:ascii="Times New Roman" w:cs="Times New Roman" w:eastAsia="Times New Roman" w:hAnsi="Times New Roman"/>
          <w:sz w:val="21"/>
          <w:szCs w:val="21"/>
          <w:b w:val="1"/>
          <w:bCs w:val="1"/>
          <w:color w:val="FF0000"/>
          <w:strike w:val="1"/>
        </w:rPr>
        <w:t>1</w:t>
      </w:r>
      <w:r>
        <w:rPr>
          <w:rFonts w:ascii="Times New Roman" w:cs="Times New Roman" w:eastAsia="Times New Roman" w:hAnsi="Times New Roman"/>
          <w:sz w:val="21"/>
          <w:szCs w:val="21"/>
          <w:b w:val="1"/>
          <w:bCs w:val="1"/>
          <w:u w:val="single" w:color="auto"/>
          <w:color w:val="0000FF"/>
        </w:rPr>
        <w:t>2</w:t>
      </w:r>
      <w:r>
        <w:rPr>
          <w:rFonts w:ascii="Times New Roman" w:cs="Times New Roman" w:eastAsia="Times New Roman" w:hAnsi="Times New Roman"/>
          <w:sz w:val="21"/>
          <w:szCs w:val="21"/>
          <w:color w:val="auto"/>
        </w:rPr>
        <w:t xml:space="preserve"> Effective Date, there are no Alternative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1" w:right="339" w:bottom="1440" w:gutter="0" w:footer="0" w:header="0"/>
        </w:sectPr>
      </w:pPr>
    </w:p>
    <w:bookmarkStart w:id="109" w:name="page110"/>
    <w:bookmarkEnd w:id="109"/>
    <w:p>
      <w:pPr>
        <w:jc w:val="both"/>
        <w:ind w:right="40"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Sublimit</w:t>
      </w:r>
      <w:r>
        <w:rPr>
          <w:rFonts w:ascii="Times New Roman" w:cs="Times New Roman" w:eastAsia="Times New Roman" w:hAnsi="Times New Roman"/>
          <w:sz w:val="21"/>
          <w:szCs w:val="21"/>
          <w:color w:val="auto"/>
        </w:rPr>
        <w:t>” means an amount equal to the lesser of the Aggregate Commitments and $25,000,000. The Alternative Currency Sublimit is part of, and not in addition to, the Aggregate Commitments.</w:t>
      </w:r>
    </w:p>
    <w:p>
      <w:pPr>
        <w:spacing w:after="0" w:line="138" w:lineRule="exact"/>
        <w:rPr>
          <w:sz w:val="20"/>
          <w:szCs w:val="20"/>
          <w:color w:val="auto"/>
        </w:rPr>
      </w:pPr>
    </w:p>
    <w:p>
      <w:pPr>
        <w:jc w:val="both"/>
        <w:ind w:right="20" w:firstLine="624"/>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 No.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FF0000"/>
        </w:rPr>
        <w:t>1</w:t>
      </w:r>
      <w:r>
        <w:rPr>
          <w:rFonts w:ascii="Times New Roman" w:cs="Times New Roman" w:eastAsia="Times New Roman" w:hAnsi="Times New Roman"/>
          <w:sz w:val="21"/>
          <w:szCs w:val="21"/>
          <w:b w:val="1"/>
          <w:bCs w:val="1"/>
          <w:color w:val="FF0000"/>
        </w:rPr>
        <w:t>” means</w:t>
      </w:r>
      <w:r>
        <w:rPr>
          <w:rFonts w:ascii="Times New Roman" w:cs="Times New Roman" w:eastAsia="Times New Roman" w:hAnsi="Times New Roman"/>
          <w:sz w:val="21"/>
          <w:szCs w:val="21"/>
          <w:b w:val="1"/>
          <w:bCs w:val="1"/>
          <w:u w:val="single" w:color="auto"/>
          <w:color w:val="0000FF"/>
        </w:rPr>
        <w:t>2 Effective Date” means June 28, 2024, which is the “Amendment Effective Date”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and as defined in</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Amendment No.</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1</w:t>
      </w:r>
      <w:r>
        <w:rPr>
          <w:rFonts w:ascii="Times New Roman" w:cs="Times New Roman" w:eastAsia="Times New Roman" w:hAnsi="Times New Roman"/>
          <w:sz w:val="21"/>
          <w:szCs w:val="21"/>
          <w:b w:val="1"/>
          <w:bCs w:val="1"/>
          <w:u w:val="single" w:color="auto"/>
          <w:color w:val="0000FF"/>
        </w:rPr>
        <w:t>2</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to this Agreement, dated as 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the Amendment No. 1 Effective Date</w:t>
      </w:r>
      <w:r>
        <w:rPr>
          <w:rFonts w:ascii="Times New Roman" w:cs="Times New Roman" w:eastAsia="Times New Roman" w:hAnsi="Times New Roman"/>
          <w:sz w:val="21"/>
          <w:szCs w:val="21"/>
          <w:b w:val="1"/>
          <w:bCs w:val="1"/>
          <w:u w:val="single" w:color="auto"/>
          <w:color w:val="0000FF"/>
        </w:rPr>
        <w:t>June 28, 2024</w:t>
      </w:r>
      <w:r>
        <w:rPr>
          <w:rFonts w:ascii="Times New Roman" w:cs="Times New Roman" w:eastAsia="Times New Roman" w:hAnsi="Times New Roman"/>
          <w:sz w:val="21"/>
          <w:szCs w:val="21"/>
          <w:color w:val="000000"/>
        </w:rPr>
        <w:t>, by and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among the Administrative Agent, the Borrower, the other Loan Parties party thereto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-432435</wp:posOffset>
            </wp:positionV>
            <wp:extent cx="5429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FF0000"/>
          <w:strike w:val="1"/>
        </w:rPr>
        <w:t>Amendment No. 1 Effective Date</w:t>
      </w:r>
      <w:r>
        <w:rPr>
          <w:rFonts w:ascii="Times New Roman" w:cs="Times New Roman" w:eastAsia="Times New Roman" w:hAnsi="Times New Roman"/>
          <w:sz w:val="21"/>
          <w:szCs w:val="21"/>
          <w:b w:val="1"/>
          <w:bCs w:val="1"/>
          <w:color w:val="FF0000"/>
          <w:strike w:val="1"/>
        </w:rPr>
        <w:t>” means May 10, 2023.</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right="20"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shall mean all laws, rules, and regulations of any jurisdiction applicable to Borrower or its Subsidiaries from time to time concerning or relating to bribery or corruption.</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Party</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10.03(c)</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right="20"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with respect to any Lender at any time, the percentage (carried out to the ninth decimal place) of the Aggregate Commitments represented by such Lender’s Commitment at such time. If all the Commitments have terminated, then the Applicable Percentage of each Lender will be determined based on the Commitments of the Lenders most recently in effect, giving effect to any assignments and to any Lender’s status as a Defaulting Lender at the time of determination.</w:t>
      </w:r>
    </w:p>
    <w:p>
      <w:pPr>
        <w:spacing w:after="0" w:line="166" w:lineRule="exact"/>
        <w:rPr>
          <w:sz w:val="20"/>
          <w:szCs w:val="20"/>
          <w:color w:val="auto"/>
        </w:rPr>
      </w:pPr>
    </w:p>
    <w:p>
      <w:pPr>
        <w:jc w:val="both"/>
        <w:ind w:right="20"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means, for any day with respect to Unused Commitment Fees, Letter of Credit Fees, Term Benchmark Loans, RFR Loans and Base Rate Loans, the percentages per annum specified in the applicable column below, based upon the Consolidated Leverage Ratio:</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148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Unused</w:t>
            </w:r>
          </w:p>
        </w:tc>
        <w:tc>
          <w:tcPr>
            <w:tcW w:w="166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80" w:type="dxa"/>
            <w:vAlign w:val="bottom"/>
            <w:tcBorders>
              <w:left w:val="single" w:sz="8" w:color="auto"/>
              <w:right w:val="single" w:sz="8" w:color="auto"/>
            </w:tcBorders>
          </w:tcPr>
          <w:p>
            <w:pPr>
              <w:spacing w:after="0"/>
              <w:rPr>
                <w:sz w:val="23"/>
                <w:szCs w:val="23"/>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Consolidated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Commitment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Letter of Credit</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Term Benchmark/RFR</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Pricing Level</w:t>
            </w:r>
          </w:p>
        </w:tc>
        <w:tc>
          <w:tcPr>
            <w:tcW w:w="2080" w:type="dxa"/>
            <w:vAlign w:val="bottom"/>
            <w:tcBorders>
              <w:right w:val="single" w:sz="8" w:color="auto"/>
            </w:tcBorders>
            <w:vMerge w:val="continue"/>
          </w:tcPr>
          <w:p>
            <w:pPr>
              <w:spacing w:after="0"/>
              <w:rPr>
                <w:sz w:val="2"/>
                <w:szCs w:val="2"/>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Fees</w:t>
            </w:r>
          </w:p>
        </w:tc>
        <w:tc>
          <w:tcPr>
            <w:tcW w:w="1660" w:type="dxa"/>
            <w:vAlign w:val="bottom"/>
            <w:tcBorders>
              <w:right w:val="single" w:sz="8" w:color="auto"/>
            </w:tcBorders>
            <w:vMerge w:val="continue"/>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Base Rate Loans</w:t>
            </w:r>
          </w:p>
        </w:tc>
        <w:tc>
          <w:tcPr>
            <w:tcW w:w="0" w:type="dxa"/>
            <w:vAlign w:val="bottom"/>
          </w:tcPr>
          <w:p>
            <w:pPr>
              <w:spacing w:after="0" w:line="20" w:lineRule="exact"/>
              <w:rPr>
                <w:sz w:val="1"/>
                <w:szCs w:val="1"/>
                <w:color w:val="auto"/>
              </w:rPr>
            </w:pPr>
          </w:p>
        </w:tc>
      </w:tr>
      <w:tr>
        <w:trPr>
          <w:trHeight w:val="281"/>
        </w:trPr>
        <w:tc>
          <w:tcPr>
            <w:tcW w:w="1480" w:type="dxa"/>
            <w:vAlign w:val="bottom"/>
            <w:tcBorders>
              <w:left w:val="single" w:sz="8" w:color="auto"/>
              <w:right w:val="single" w:sz="8" w:color="auto"/>
            </w:tcBorders>
            <w:vMerge w:val="continue"/>
          </w:tcPr>
          <w:p>
            <w:pPr>
              <w:spacing w:after="0"/>
              <w:rPr>
                <w:sz w:val="24"/>
                <w:szCs w:val="24"/>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Leverage Ratio</w:t>
            </w:r>
          </w:p>
        </w:tc>
        <w:tc>
          <w:tcPr>
            <w:tcW w:w="1960" w:type="dxa"/>
            <w:vAlign w:val="bottom"/>
            <w:tcBorders>
              <w:right w:val="single" w:sz="8" w:color="auto"/>
            </w:tcBorders>
            <w:vMerge w:val="continue"/>
          </w:tcPr>
          <w:p>
            <w:pPr>
              <w:spacing w:after="0"/>
              <w:rPr>
                <w:sz w:val="24"/>
                <w:szCs w:val="2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Fees</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Loans</w:t>
            </w:r>
          </w:p>
        </w:tc>
        <w:tc>
          <w:tcPr>
            <w:tcW w:w="15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rPr>
              <w:t>I</w:t>
            </w:r>
          </w:p>
        </w:tc>
        <w:tc>
          <w:tcPr>
            <w:tcW w:w="2080" w:type="dxa"/>
            <w:vAlign w:val="bottom"/>
            <w:tcBorders>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rPr>
              <w:t>Less than or equal to</w:t>
            </w:r>
          </w:p>
        </w:tc>
        <w:tc>
          <w:tcPr>
            <w:tcW w:w="1960" w:type="dxa"/>
            <w:vAlign w:val="bottom"/>
            <w:tcBorders>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rPr>
              <w:t>0.150%</w:t>
            </w:r>
          </w:p>
        </w:tc>
        <w:tc>
          <w:tcPr>
            <w:tcW w:w="1660" w:type="dxa"/>
            <w:vAlign w:val="bottom"/>
            <w:tcBorders>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rPr>
              <w:t>1.125%</w:t>
            </w:r>
          </w:p>
        </w:tc>
        <w:tc>
          <w:tcPr>
            <w:tcW w:w="2500" w:type="dxa"/>
            <w:vAlign w:val="bottom"/>
            <w:tcBorders>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w w:val="98"/>
              </w:rPr>
              <w:t>1.125%</w:t>
            </w:r>
          </w:p>
        </w:tc>
        <w:tc>
          <w:tcPr>
            <w:tcW w:w="1580" w:type="dxa"/>
            <w:vAlign w:val="bottom"/>
            <w:tcBorders>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21"/>
                <w:szCs w:val="21"/>
                <w:color w:val="auto"/>
                <w:w w:val="98"/>
              </w:rPr>
              <w:t>0.125%</w:t>
            </w:r>
          </w:p>
        </w:tc>
        <w:tc>
          <w:tcPr>
            <w:tcW w:w="0" w:type="dxa"/>
            <w:vAlign w:val="bottom"/>
          </w:tcPr>
          <w:p>
            <w:pPr>
              <w:spacing w:after="0"/>
              <w:rPr>
                <w:sz w:val="1"/>
                <w:szCs w:val="1"/>
                <w:color w:val="auto"/>
              </w:rPr>
            </w:pPr>
          </w:p>
        </w:tc>
      </w:tr>
      <w:tr>
        <w:trPr>
          <w:trHeight w:val="278"/>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 to 1:00</w:t>
            </w:r>
          </w:p>
        </w:tc>
        <w:tc>
          <w:tcPr>
            <w:tcW w:w="19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w w:val="99"/>
              </w:rPr>
              <w:t>II</w:t>
            </w:r>
          </w:p>
        </w:tc>
        <w:tc>
          <w:tcPr>
            <w:tcW w:w="208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Greater than 1:00 to</w:t>
            </w:r>
          </w:p>
        </w:tc>
        <w:tc>
          <w:tcPr>
            <w:tcW w:w="196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0.175%</w:t>
            </w:r>
          </w:p>
        </w:tc>
        <w:tc>
          <w:tcPr>
            <w:tcW w:w="166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1.375%</w:t>
            </w:r>
          </w:p>
        </w:tc>
        <w:tc>
          <w:tcPr>
            <w:tcW w:w="250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w w:val="98"/>
              </w:rPr>
              <w:t>1.375%</w:t>
            </w:r>
          </w:p>
        </w:tc>
        <w:tc>
          <w:tcPr>
            <w:tcW w:w="158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w w:val="98"/>
              </w:rPr>
              <w:t>0.375%</w:t>
            </w:r>
          </w:p>
        </w:tc>
        <w:tc>
          <w:tcPr>
            <w:tcW w:w="0" w:type="dxa"/>
            <w:vAlign w:val="bottom"/>
          </w:tcPr>
          <w:p>
            <w:pPr>
              <w:spacing w:after="0"/>
              <w:rPr>
                <w:sz w:val="1"/>
                <w:szCs w:val="1"/>
                <w:color w:val="auto"/>
              </w:rPr>
            </w:pPr>
          </w:p>
        </w:tc>
      </w:tr>
      <w:tr>
        <w:trPr>
          <w:trHeight w:val="212"/>
        </w:trPr>
        <w:tc>
          <w:tcPr>
            <w:tcW w:w="148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1:00 but less than or</w:t>
            </w:r>
          </w:p>
        </w:tc>
        <w:tc>
          <w:tcPr>
            <w:tcW w:w="19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equal to 2:00 to 1.00</w:t>
            </w:r>
          </w:p>
        </w:tc>
        <w:tc>
          <w:tcPr>
            <w:tcW w:w="19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60"/>
          </w:cols>
          <w:pgMar w:left="320" w:top="1371" w:right="31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12"/>
        </w:trPr>
        <w:tc>
          <w:tcPr>
            <w:tcW w:w="1480" w:type="dxa"/>
            <w:vAlign w:val="bottom"/>
            <w:tcBorders>
              <w:top w:val="single" w:sz="8" w:color="auto"/>
              <w:left w:val="single" w:sz="8" w:color="auto"/>
              <w:right w:val="single" w:sz="8" w:color="auto"/>
            </w:tcBorders>
          </w:tcPr>
          <w:p>
            <w:pPr>
              <w:ind w:left="620"/>
              <w:spacing w:after="0" w:line="212" w:lineRule="exact"/>
              <w:rPr>
                <w:sz w:val="20"/>
                <w:szCs w:val="20"/>
                <w:color w:val="auto"/>
              </w:rPr>
            </w:pPr>
            <w:r>
              <w:rPr>
                <w:rFonts w:ascii="Times New Roman" w:cs="Times New Roman" w:eastAsia="Times New Roman" w:hAnsi="Times New Roman"/>
                <w:sz w:val="21"/>
                <w:szCs w:val="21"/>
                <w:color w:val="auto"/>
              </w:rPr>
              <w:t>III</w:t>
            </w:r>
          </w:p>
        </w:tc>
        <w:tc>
          <w:tcPr>
            <w:tcW w:w="2080" w:type="dxa"/>
            <w:vAlign w:val="bottom"/>
            <w:tcBorders>
              <w:top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Greater than 2:00 to</w:t>
            </w:r>
          </w:p>
        </w:tc>
        <w:tc>
          <w:tcPr>
            <w:tcW w:w="1960" w:type="dxa"/>
            <w:vAlign w:val="bottom"/>
            <w:tcBorders>
              <w:top w:val="single" w:sz="8" w:color="auto"/>
              <w:right w:val="single" w:sz="8" w:color="auto"/>
            </w:tcBorders>
          </w:tcPr>
          <w:p>
            <w:pPr>
              <w:jc w:val="right"/>
              <w:ind w:right="554"/>
              <w:spacing w:after="0" w:line="212" w:lineRule="exact"/>
              <w:rPr>
                <w:sz w:val="20"/>
                <w:szCs w:val="20"/>
                <w:color w:val="auto"/>
              </w:rPr>
            </w:pPr>
            <w:r>
              <w:rPr>
                <w:rFonts w:ascii="Times New Roman" w:cs="Times New Roman" w:eastAsia="Times New Roman" w:hAnsi="Times New Roman"/>
                <w:sz w:val="21"/>
                <w:szCs w:val="21"/>
                <w:color w:val="auto"/>
              </w:rPr>
              <w:t>0.200%</w:t>
            </w:r>
          </w:p>
        </w:tc>
        <w:tc>
          <w:tcPr>
            <w:tcW w:w="1660" w:type="dxa"/>
            <w:vAlign w:val="bottom"/>
            <w:tcBorders>
              <w:top w:val="single" w:sz="8" w:color="auto"/>
              <w:right w:val="single" w:sz="8" w:color="auto"/>
            </w:tcBorders>
          </w:tcPr>
          <w:p>
            <w:pPr>
              <w:jc w:val="right"/>
              <w:ind w:right="414"/>
              <w:spacing w:after="0" w:line="212" w:lineRule="exact"/>
              <w:rPr>
                <w:sz w:val="20"/>
                <w:szCs w:val="20"/>
                <w:color w:val="auto"/>
              </w:rPr>
            </w:pPr>
            <w:r>
              <w:rPr>
                <w:rFonts w:ascii="Times New Roman" w:cs="Times New Roman" w:eastAsia="Times New Roman" w:hAnsi="Times New Roman"/>
                <w:sz w:val="21"/>
                <w:szCs w:val="21"/>
                <w:color w:val="auto"/>
              </w:rPr>
              <w:t>1.625%</w:t>
            </w:r>
          </w:p>
        </w:tc>
        <w:tc>
          <w:tcPr>
            <w:tcW w:w="2500" w:type="dxa"/>
            <w:vAlign w:val="bottom"/>
            <w:tcBorders>
              <w:top w:val="single" w:sz="8" w:color="auto"/>
              <w:right w:val="single" w:sz="8" w:color="auto"/>
            </w:tcBorders>
          </w:tcPr>
          <w:p>
            <w:pPr>
              <w:jc w:val="right"/>
              <w:ind w:right="834"/>
              <w:spacing w:after="0" w:line="212" w:lineRule="exact"/>
              <w:rPr>
                <w:sz w:val="20"/>
                <w:szCs w:val="20"/>
                <w:color w:val="auto"/>
              </w:rPr>
            </w:pPr>
            <w:r>
              <w:rPr>
                <w:rFonts w:ascii="Times New Roman" w:cs="Times New Roman" w:eastAsia="Times New Roman" w:hAnsi="Times New Roman"/>
                <w:sz w:val="21"/>
                <w:szCs w:val="21"/>
                <w:color w:val="auto"/>
              </w:rPr>
              <w:t>1.625%</w:t>
            </w:r>
          </w:p>
        </w:tc>
        <w:tc>
          <w:tcPr>
            <w:tcW w:w="1580" w:type="dxa"/>
            <w:vAlign w:val="bottom"/>
            <w:tcBorders>
              <w:top w:val="single" w:sz="8" w:color="auto"/>
              <w:right w:val="single" w:sz="8" w:color="auto"/>
            </w:tcBorders>
          </w:tcPr>
          <w:p>
            <w:pPr>
              <w:jc w:val="right"/>
              <w:ind w:right="374"/>
              <w:spacing w:after="0" w:line="212" w:lineRule="exact"/>
              <w:rPr>
                <w:sz w:val="20"/>
                <w:szCs w:val="20"/>
                <w:color w:val="auto"/>
              </w:rPr>
            </w:pPr>
            <w:r>
              <w:rPr>
                <w:rFonts w:ascii="Times New Roman" w:cs="Times New Roman" w:eastAsia="Times New Roman" w:hAnsi="Times New Roman"/>
                <w:sz w:val="21"/>
                <w:szCs w:val="21"/>
                <w:color w:val="auto"/>
              </w:rPr>
              <w:t>0.625%</w:t>
            </w:r>
          </w:p>
        </w:tc>
      </w:tr>
      <w:tr>
        <w:trPr>
          <w:trHeight w:val="212"/>
        </w:trPr>
        <w:tc>
          <w:tcPr>
            <w:tcW w:w="148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1:00 but less than or</w:t>
            </w:r>
          </w:p>
        </w:tc>
        <w:tc>
          <w:tcPr>
            <w:tcW w:w="19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78"/>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equal to 3:00 to 1.00</w:t>
            </w:r>
          </w:p>
        </w:tc>
        <w:tc>
          <w:tcPr>
            <w:tcW w:w="19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32"/>
        </w:trPr>
        <w:tc>
          <w:tcPr>
            <w:tcW w:w="1480" w:type="dxa"/>
            <w:vAlign w:val="bottom"/>
            <w:tcBorders>
              <w:left w:val="single" w:sz="8" w:color="auto"/>
              <w:right w:val="single" w:sz="8" w:color="auto"/>
            </w:tcBorders>
          </w:tcPr>
          <w:p>
            <w:pPr>
              <w:ind w:left="620"/>
              <w:spacing w:after="0" w:line="233" w:lineRule="exact"/>
              <w:rPr>
                <w:sz w:val="20"/>
                <w:szCs w:val="20"/>
                <w:color w:val="auto"/>
              </w:rPr>
            </w:pPr>
            <w:r>
              <w:rPr>
                <w:rFonts w:ascii="Times New Roman" w:cs="Times New Roman" w:eastAsia="Times New Roman" w:hAnsi="Times New Roman"/>
                <w:sz w:val="21"/>
                <w:szCs w:val="21"/>
                <w:color w:val="auto"/>
              </w:rPr>
              <w:t>IV</w:t>
            </w:r>
          </w:p>
        </w:tc>
        <w:tc>
          <w:tcPr>
            <w:tcW w:w="208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Greater than 3:00 to</w:t>
            </w:r>
          </w:p>
        </w:tc>
        <w:tc>
          <w:tcPr>
            <w:tcW w:w="1960" w:type="dxa"/>
            <w:vAlign w:val="bottom"/>
            <w:tcBorders>
              <w:right w:val="single" w:sz="8" w:color="auto"/>
            </w:tcBorders>
          </w:tcPr>
          <w:p>
            <w:pPr>
              <w:jc w:val="right"/>
              <w:ind w:right="554"/>
              <w:spacing w:after="0" w:line="233" w:lineRule="exact"/>
              <w:rPr>
                <w:sz w:val="20"/>
                <w:szCs w:val="20"/>
                <w:color w:val="auto"/>
              </w:rPr>
            </w:pPr>
            <w:r>
              <w:rPr>
                <w:rFonts w:ascii="Times New Roman" w:cs="Times New Roman" w:eastAsia="Times New Roman" w:hAnsi="Times New Roman"/>
                <w:sz w:val="21"/>
                <w:szCs w:val="21"/>
                <w:color w:val="auto"/>
              </w:rPr>
              <w:t>0.225%</w:t>
            </w:r>
          </w:p>
        </w:tc>
        <w:tc>
          <w:tcPr>
            <w:tcW w:w="1660" w:type="dxa"/>
            <w:vAlign w:val="bottom"/>
            <w:tcBorders>
              <w:right w:val="single" w:sz="8" w:color="auto"/>
            </w:tcBorders>
          </w:tcPr>
          <w:p>
            <w:pPr>
              <w:jc w:val="right"/>
              <w:ind w:right="414"/>
              <w:spacing w:after="0" w:line="233" w:lineRule="exact"/>
              <w:rPr>
                <w:sz w:val="20"/>
                <w:szCs w:val="20"/>
                <w:color w:val="auto"/>
              </w:rPr>
            </w:pPr>
            <w:r>
              <w:rPr>
                <w:rFonts w:ascii="Times New Roman" w:cs="Times New Roman" w:eastAsia="Times New Roman" w:hAnsi="Times New Roman"/>
                <w:sz w:val="21"/>
                <w:szCs w:val="21"/>
                <w:color w:val="auto"/>
              </w:rPr>
              <w:t>1.875%</w:t>
            </w:r>
          </w:p>
        </w:tc>
        <w:tc>
          <w:tcPr>
            <w:tcW w:w="2500" w:type="dxa"/>
            <w:vAlign w:val="bottom"/>
            <w:tcBorders>
              <w:right w:val="single" w:sz="8" w:color="auto"/>
            </w:tcBorders>
          </w:tcPr>
          <w:p>
            <w:pPr>
              <w:jc w:val="right"/>
              <w:ind w:right="834"/>
              <w:spacing w:after="0" w:line="233" w:lineRule="exact"/>
              <w:rPr>
                <w:sz w:val="20"/>
                <w:szCs w:val="20"/>
                <w:color w:val="auto"/>
              </w:rPr>
            </w:pPr>
            <w:r>
              <w:rPr>
                <w:rFonts w:ascii="Times New Roman" w:cs="Times New Roman" w:eastAsia="Times New Roman" w:hAnsi="Times New Roman"/>
                <w:sz w:val="21"/>
                <w:szCs w:val="21"/>
                <w:color w:val="auto"/>
              </w:rPr>
              <w:t>1.875%</w:t>
            </w:r>
          </w:p>
        </w:tc>
        <w:tc>
          <w:tcPr>
            <w:tcW w:w="1580" w:type="dxa"/>
            <w:vAlign w:val="bottom"/>
            <w:tcBorders>
              <w:right w:val="single" w:sz="8" w:color="auto"/>
            </w:tcBorders>
          </w:tcPr>
          <w:p>
            <w:pPr>
              <w:jc w:val="right"/>
              <w:ind w:right="374"/>
              <w:spacing w:after="0" w:line="233" w:lineRule="exact"/>
              <w:rPr>
                <w:sz w:val="20"/>
                <w:szCs w:val="20"/>
                <w:color w:val="auto"/>
              </w:rPr>
            </w:pPr>
            <w:r>
              <w:rPr>
                <w:rFonts w:ascii="Times New Roman" w:cs="Times New Roman" w:eastAsia="Times New Roman" w:hAnsi="Times New Roman"/>
                <w:sz w:val="21"/>
                <w:szCs w:val="21"/>
                <w:color w:val="auto"/>
              </w:rPr>
              <w:t>0.875%</w:t>
            </w:r>
          </w:p>
        </w:tc>
      </w:tr>
      <w:tr>
        <w:trPr>
          <w:trHeight w:val="278"/>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w:t>
            </w:r>
          </w:p>
        </w:tc>
        <w:tc>
          <w:tcPr>
            <w:tcW w:w="19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bl>
    <w:p>
      <w:pPr>
        <w:spacing w:after="0" w:line="291" w:lineRule="exact"/>
        <w:rPr>
          <w:sz w:val="20"/>
          <w:szCs w:val="20"/>
          <w:color w:val="auto"/>
        </w:rPr>
      </w:pPr>
    </w:p>
    <w:p>
      <w:pPr>
        <w:jc w:val="both"/>
        <w:ind w:right="20" w:firstLine="624"/>
        <w:spacing w:after="0" w:line="254" w:lineRule="auto"/>
        <w:rPr>
          <w:sz w:val="20"/>
          <w:szCs w:val="20"/>
          <w:color w:val="auto"/>
        </w:rPr>
      </w:pPr>
      <w:r>
        <w:rPr>
          <w:rFonts w:ascii="Times New Roman" w:cs="Times New Roman" w:eastAsia="Times New Roman" w:hAnsi="Times New Roman"/>
          <w:sz w:val="21"/>
          <w:szCs w:val="21"/>
          <w:color w:val="auto"/>
        </w:rPr>
        <w:t xml:space="preserve">The Applicable Rate shall be determined and adjusted quarterly on the third Business Day after the day on which the Borrower provides a Compliance Certificate of a Responsible Officer pursuant to </w:t>
      </w:r>
      <w:r>
        <w:rPr>
          <w:rFonts w:ascii="Times New Roman" w:cs="Times New Roman" w:eastAsia="Times New Roman" w:hAnsi="Times New Roman"/>
          <w:sz w:val="21"/>
          <w:szCs w:val="21"/>
          <w:u w:val="single" w:color="auto"/>
          <w:color w:val="auto"/>
        </w:rPr>
        <w:t>Sections 6.02(a)</w:t>
      </w:r>
      <w:r>
        <w:rPr>
          <w:rFonts w:ascii="Times New Roman" w:cs="Times New Roman" w:eastAsia="Times New Roman" w:hAnsi="Times New Roman"/>
          <w:sz w:val="21"/>
          <w:szCs w:val="21"/>
          <w:color w:val="auto"/>
        </w:rPr>
        <w:t>, for the most recently ended fiscal quarter (or fiscal year, as applicable) of the Borrower (each such date, a “</w:t>
      </w:r>
      <w:r>
        <w:rPr>
          <w:rFonts w:ascii="Times New Roman" w:cs="Times New Roman" w:eastAsia="Times New Roman" w:hAnsi="Times New Roman"/>
          <w:sz w:val="21"/>
          <w:szCs w:val="21"/>
          <w:u w:val="single" w:color="auto"/>
          <w:color w:val="auto"/>
        </w:rPr>
        <w:t>Calculation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Applicable Rate shall be based on Pricing Level I until the first Calculation Date occurring after the </w:t>
      </w:r>
      <w:r>
        <w:rPr>
          <w:rFonts w:ascii="Times New Roman" w:cs="Times New Roman" w:eastAsia="Times New Roman" w:hAnsi="Times New Roman"/>
          <w:sz w:val="21"/>
          <w:szCs w:val="21"/>
          <w:b w:val="1"/>
          <w:bCs w:val="1"/>
          <w:color w:val="FF0000"/>
          <w:strike w:val="1"/>
        </w:rPr>
        <w:t>Closing</w:t>
      </w:r>
      <w:r>
        <w:rPr>
          <w:rFonts w:ascii="Times New Roman" w:cs="Times New Roman" w:eastAsia="Times New Roman" w:hAnsi="Times New Roman"/>
          <w:sz w:val="21"/>
          <w:szCs w:val="21"/>
          <w:b w:val="1"/>
          <w:bCs w:val="1"/>
          <w:u w:val="single" w:color="auto"/>
          <w:color w:val="0000FF"/>
        </w:rPr>
        <w:t>Amendment No. 2 Effective</w:t>
      </w:r>
      <w:r>
        <w:rPr>
          <w:rFonts w:ascii="Times New Roman" w:cs="Times New Roman" w:eastAsia="Times New Roman" w:hAnsi="Times New Roman"/>
          <w:sz w:val="21"/>
          <w:szCs w:val="21"/>
          <w:color w:val="auto"/>
        </w:rPr>
        <w:t xml:space="preserve"> Date and, thereafter the Pricing Level shall be determined by reference to the Consolidated Leverage Ratio as of the last day of the most recently ended fiscal quarter of the Borrower preceding the applicable Calculation Date and (b) if the Borrower fails to provide an Officer’s Compliance Certificate when due as required by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for the most recently ended fiscal quarter (or fiscal year, as applicable) of the Borrower preceding the applicable Calculation Date, then, at the option of the Administrative Agent or upon the request of the Required Lenders, the Applicable Rate from the date on which such Officer’s Compliance Certificate was required to have been delivered shall be based on Pricing Level IV until such time as such Officer’s Compliance Certificate is delivered, at which time the Pricing Level shall be determined by reference to the Consolidated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Credit Extensions then existing or subsequently made or issued.</w:t>
      </w:r>
    </w:p>
    <w:p>
      <w:pPr>
        <w:spacing w:after="0" w:line="185" w:lineRule="exact"/>
        <w:rPr>
          <w:sz w:val="20"/>
          <w:szCs w:val="20"/>
          <w:color w:val="auto"/>
        </w:rPr>
      </w:pPr>
    </w:p>
    <w:p>
      <w:pPr>
        <w:jc w:val="both"/>
        <w:ind w:right="20" w:firstLine="624"/>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the foregoing, in the event that any Compliance Certificate of a Responsible Officer delivered pursuant to </w:t>
      </w:r>
      <w:r>
        <w:rPr>
          <w:rFonts w:ascii="Times New Roman" w:cs="Times New Roman" w:eastAsia="Times New Roman" w:hAnsi="Times New Roman"/>
          <w:sz w:val="21"/>
          <w:szCs w:val="21"/>
          <w:u w:val="single" w:color="auto"/>
          <w:color w:val="auto"/>
        </w:rPr>
        <w:t>Sections 6.02(a)</w:t>
      </w:r>
      <w:r>
        <w:rPr>
          <w:rFonts w:ascii="Times New Roman" w:cs="Times New Roman" w:eastAsia="Times New Roman" w:hAnsi="Times New Roman"/>
          <w:sz w:val="21"/>
          <w:szCs w:val="21"/>
          <w:color w:val="auto"/>
        </w:rPr>
        <w:t xml:space="preserve"> is shown to be inaccurate, and such inaccuracy, if corrected, would have led to the application of a higher Pricing Level for any period (an “</w:t>
      </w:r>
      <w:r>
        <w:rPr>
          <w:rFonts w:ascii="Times New Roman" w:cs="Times New Roman" w:eastAsia="Times New Roman" w:hAnsi="Times New Roman"/>
          <w:sz w:val="21"/>
          <w:szCs w:val="21"/>
          <w:u w:val="single" w:color="auto"/>
          <w:color w:val="auto"/>
        </w:rPr>
        <w:t>Applicable Period</w:t>
      </w:r>
      <w:r>
        <w:rPr>
          <w:rFonts w:ascii="Times New Roman" w:cs="Times New Roman" w:eastAsia="Times New Roman" w:hAnsi="Times New Roman"/>
          <w:sz w:val="21"/>
          <w:szCs w:val="21"/>
          <w:color w:val="auto"/>
        </w:rPr>
        <w:t>”) than the Applicable Rate applied for such Applicable Period, then the Borrower shall promptly deliver to the Administrative Agent a corrected Compliance Certificate for such Applicable Period and the Applicable Rate for such period shall be the higher Pricing Level. This provision shall survive the Discharge of the Obligations for sixty (60) days.</w:t>
      </w:r>
    </w:p>
    <w:p>
      <w:pPr>
        <w:spacing w:after="0" w:line="200" w:lineRule="exact"/>
        <w:rPr>
          <w:sz w:val="20"/>
          <w:szCs w:val="20"/>
          <w:color w:val="auto"/>
        </w:rPr>
      </w:pPr>
    </w:p>
    <w:p>
      <w:pPr>
        <w:spacing w:after="0" w:line="228" w:lineRule="exact"/>
        <w:rPr>
          <w:sz w:val="20"/>
          <w:szCs w:val="20"/>
          <w:color w:val="auto"/>
        </w:rPr>
      </w:pPr>
    </w:p>
    <w:p>
      <w:pPr>
        <w:jc w:val="both"/>
        <w:ind w:right="20"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Time</w:t>
      </w:r>
      <w:r>
        <w:rPr>
          <w:rFonts w:ascii="Times New Roman" w:cs="Times New Roman" w:eastAsia="Times New Roman" w:hAnsi="Times New Roman"/>
          <w:sz w:val="21"/>
          <w:szCs w:val="21"/>
          <w:color w:val="auto"/>
        </w:rPr>
        <w:t>” means, with respect to any borrowings and payments in any Alternative Currency or Discretionary Alternative Currency, such local time in the place of settlement for such Alternative Currency or Discretionary Alternative Currency as, in each case, shall have been specified by the Administrative Agent.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0000FF"/>
        </w:rPr>
        <w:t>“Approved Borrower Portal” has the meaning specified in Section 10.09(a).</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10.03(a)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60"/>
          </w:cols>
          <w:pgMar w:left="320" w:top="1391" w:right="319" w:bottom="1440" w:gutter="0" w:footer="0" w:header="0"/>
        </w:sectPr>
      </w:pPr>
    </w:p>
    <w:bookmarkStart w:id="111" w:name="page112"/>
    <w:bookmarkEnd w:id="111"/>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Fund that is administered or managed by (a) a Lender, (b) an Affiliate of a Lender or (c) an entity or an Affiliate of an entity that administers or manages a Lender.</w:t>
      </w:r>
    </w:p>
    <w:p>
      <w:pPr>
        <w:spacing w:after="0" w:line="142"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Arrangers</w:t>
      </w:r>
      <w:r>
        <w:rPr>
          <w:rFonts w:ascii="Times New Roman" w:cs="Times New Roman" w:eastAsia="Times New Roman" w:hAnsi="Times New Roman"/>
          <w:sz w:val="21"/>
          <w:szCs w:val="21"/>
          <w:color w:val="auto"/>
        </w:rPr>
        <w:t>” means JPMCB, Bank of America, N.A. and Mizuho Bank, Ltd., in their capacities as joint lead arrangers and joint bookrunners for the credit facility provided for herein.</w:t>
      </w:r>
    </w:p>
    <w:p>
      <w:pPr>
        <w:spacing w:after="0" w:line="103"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 Group</w:t>
      </w:r>
      <w:r>
        <w:rPr>
          <w:rFonts w:ascii="Times New Roman" w:cs="Times New Roman" w:eastAsia="Times New Roman" w:hAnsi="Times New Roman"/>
          <w:sz w:val="21"/>
          <w:szCs w:val="21"/>
          <w:color w:val="auto"/>
        </w:rPr>
        <w:t>” means two or more Eligible Assignees that are Affiliates of one another or two or more Approved Funds managed by the same investment advisor.</w:t>
      </w:r>
    </w:p>
    <w:p>
      <w:pPr>
        <w:spacing w:after="0" w:line="103"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and accepted by the Administrative Agent, in substantially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any other form (including electronic records generated by the use of an electronic platform) approved by the Administrative Agent.</w:t>
      </w:r>
    </w:p>
    <w:p>
      <w:pPr>
        <w:spacing w:after="0" w:line="14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Audited Financial Statements</w:t>
      </w:r>
      <w:r>
        <w:rPr>
          <w:rFonts w:ascii="Times New Roman" w:cs="Times New Roman" w:eastAsia="Times New Roman" w:hAnsi="Times New Roman"/>
          <w:sz w:val="21"/>
          <w:szCs w:val="21"/>
          <w:color w:val="auto"/>
        </w:rPr>
        <w:t xml:space="preserve">” means the audited consolidated balance sheet of the Borrower and its Subsidiaries as of December 31, </w:t>
      </w:r>
      <w:r>
        <w:rPr>
          <w:rFonts w:ascii="Times New Roman" w:cs="Times New Roman" w:eastAsia="Times New Roman" w:hAnsi="Times New Roman"/>
          <w:sz w:val="21"/>
          <w:szCs w:val="21"/>
          <w:b w:val="1"/>
          <w:bCs w:val="1"/>
          <w:color w:val="FF0000"/>
          <w:strike w:val="1"/>
        </w:rPr>
        <w:t>2020</w:t>
      </w:r>
      <w:r>
        <w:rPr>
          <w:rFonts w:ascii="Times New Roman" w:cs="Times New Roman" w:eastAsia="Times New Roman" w:hAnsi="Times New Roman"/>
          <w:sz w:val="21"/>
          <w:szCs w:val="21"/>
          <w:b w:val="1"/>
          <w:bCs w:val="1"/>
          <w:u w:val="single" w:color="auto"/>
          <w:color w:val="0000FF"/>
        </w:rPr>
        <w:t>2023</w:t>
      </w:r>
      <w:r>
        <w:rPr>
          <w:rFonts w:ascii="Times New Roman" w:cs="Times New Roman" w:eastAsia="Times New Roman" w:hAnsi="Times New Roman"/>
          <w:sz w:val="21"/>
          <w:szCs w:val="21"/>
          <w:color w:val="auto"/>
        </w:rPr>
        <w:t>, and the related consolidated statements of operations, comprehensive income / (loss), stockholders’ equity and cash flows for the fiscal year of the Borrower and its Subsidiaries then ended, including the notes thereto.</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Auto-Extension Letter of Credit</w:t>
      </w:r>
      <w:r>
        <w:rPr>
          <w:rFonts w:ascii="Times New Roman" w:cs="Times New Roman" w:eastAsia="Times New Roman" w:hAnsi="Times New Roman"/>
          <w:sz w:val="21"/>
          <w:szCs w:val="21"/>
          <w:color w:val="auto"/>
        </w:rPr>
        <w:t>” has the meaning specified in Section 2.04(b)(iii).</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xml:space="preserve">” means the period from and including the Effective Date to the earlier of the Maturity Date and the date of termination of the Aggregate Commitments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2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Title 11 of the United States Code entitled “Bankruptcy”, as now and hereafter in effect, or any successor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1" w:right="339" w:bottom="1440" w:gutter="0" w:footer="0" w:header="0"/>
        </w:sectPr>
      </w:pPr>
    </w:p>
    <w:bookmarkStart w:id="112" w:name="page113"/>
    <w:bookmarkEnd w:id="112"/>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2.17 (for the avoidance of doubt, only until the Benchmark Replacement has been determined pursuant to Section 2.17(b)),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Borrowing</w:t>
      </w:r>
      <w:r>
        <w:rPr>
          <w:rFonts w:ascii="Times New Roman" w:cs="Times New Roman" w:eastAsia="Times New Roman" w:hAnsi="Times New Roman"/>
          <w:sz w:val="21"/>
          <w:szCs w:val="21"/>
          <w:color w:val="auto"/>
        </w:rPr>
        <w:t>” means a Borrowing comprised of Base Rate Loans.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Committed Borrowing</w:t>
      </w:r>
      <w:r>
        <w:rPr>
          <w:rFonts w:ascii="Times New Roman" w:cs="Times New Roman" w:eastAsia="Times New Roman" w:hAnsi="Times New Roman"/>
          <w:sz w:val="21"/>
          <w:szCs w:val="21"/>
          <w:color w:val="auto"/>
        </w:rPr>
        <w:t>” means a Committed Borrowing comprised of Base Rate Committed Loans.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Committed Loan</w:t>
      </w:r>
      <w:r>
        <w:rPr>
          <w:rFonts w:ascii="Times New Roman" w:cs="Times New Roman" w:eastAsia="Times New Roman" w:hAnsi="Times New Roman"/>
          <w:sz w:val="21"/>
          <w:szCs w:val="21"/>
          <w:color w:val="auto"/>
        </w:rPr>
        <w:t>” means a Committed Loan that is a Base Rate Loan.</w:t>
      </w:r>
    </w:p>
    <w:p>
      <w:pPr>
        <w:spacing w:after="0" w:line="2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 Committed Loan that bears interest by reference to the Base Rate. Base Rate Loans may be denominated only in US Dollars.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1" w:right="339" w:bottom="1440" w:gutter="0" w:footer="0" w:header="0"/>
        </w:sectPr>
      </w:pPr>
    </w:p>
    <w:bookmarkStart w:id="113" w:name="page114"/>
    <w:bookmarkEnd w:id="113"/>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or control as required by the Beneficial Ownership Regulation.</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36"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69" w:lineRule="exact"/>
        <w:rPr>
          <w:sz w:val="20"/>
          <w:szCs w:val="20"/>
          <w:color w:val="auto"/>
        </w:rPr>
      </w:pPr>
    </w:p>
    <w:p>
      <w:pPr>
        <w:jc w:val="both"/>
        <w:ind w:right="20"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29"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Borrowing</w:t>
      </w:r>
      <w:r>
        <w:rPr>
          <w:rFonts w:ascii="Times New Roman" w:cs="Times New Roman" w:eastAsia="Times New Roman" w:hAnsi="Times New Roman"/>
          <w:sz w:val="21"/>
          <w:szCs w:val="21"/>
          <w:color w:val="auto"/>
        </w:rPr>
        <w:t xml:space="preserve">” means a borrowing consisting of simultaneous Bid Loans of the same Type and in the same currency from each of the Lenders whose offer to make one or more Bid Loans as part of such borrowing has been accepted under the auction bidding procedures described in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Loan Lender</w:t>
      </w:r>
      <w:r>
        <w:rPr>
          <w:rFonts w:ascii="Times New Roman" w:cs="Times New Roman" w:eastAsia="Times New Roman" w:hAnsi="Times New Roman"/>
          <w:sz w:val="21"/>
          <w:szCs w:val="21"/>
          <w:color w:val="auto"/>
        </w:rPr>
        <w:t>” means, in respect of any Bid Loan, the Lender making such Bid Loan.</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Request</w:t>
      </w:r>
      <w:r>
        <w:rPr>
          <w:rFonts w:ascii="Times New Roman" w:cs="Times New Roman" w:eastAsia="Times New Roman" w:hAnsi="Times New Roman"/>
          <w:sz w:val="21"/>
          <w:szCs w:val="21"/>
          <w:color w:val="auto"/>
        </w:rPr>
        <w:t xml:space="preserve">” means a written request for one or more Bid Loans substantially in the form of </w:t>
      </w: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means Incyte Corporation, a Delaware corporation.</w:t>
      </w:r>
    </w:p>
    <w:p>
      <w:pPr>
        <w:spacing w:after="0" w:line="205"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0000FF"/>
        </w:rPr>
        <w:t>“Borrower Communications” means, collectively, any Committed Loan Notice, Bid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w:t>
      </w:r>
      <w:r>
        <w:rPr>
          <w:rFonts w:ascii="Times New Roman" w:cs="Times New Roman" w:eastAsia="Times New Roman" w:hAnsi="Times New Roman"/>
          <w:sz w:val="21"/>
          <w:szCs w:val="21"/>
          <w:color w:val="auto"/>
        </w:rPr>
        <w:t>” means a Committed Borrowing or a Bid Borrowing, as the context may require.</w:t>
      </w:r>
    </w:p>
    <w:p>
      <w:pPr>
        <w:spacing w:after="0" w:line="20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Minimum</w:t>
      </w:r>
      <w:r>
        <w:rPr>
          <w:rFonts w:ascii="Times New Roman" w:cs="Times New Roman" w:eastAsia="Times New Roman" w:hAnsi="Times New Roman"/>
          <w:sz w:val="21"/>
          <w:szCs w:val="21"/>
          <w:color w:val="auto"/>
        </w:rPr>
        <w:t>” means (a) in the case of a Term Benchmark Borrowing denominated in US Dollars, $5,000,000, (b) in the case of a Base Rate Borrowing, $500,000, (c) in the case of an Absolute Rate Borrowing denominated in US Dollars, $5,000,000 and (d) in the case of a Borrowing denominated in an Alternative Currency or in a Discretionary Alternative Currency, the smallest amount of such currency that is an integral multiple of 1,000,000 units of such currency and that has a US Dollar Equivalent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1" w:right="339" w:bottom="1440" w:gutter="0" w:footer="0" w:header="0"/>
        </w:sectPr>
      </w:pPr>
    </w:p>
    <w:bookmarkStart w:id="114" w:name="page115"/>
    <w:bookmarkEnd w:id="114"/>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Multiple</w:t>
      </w:r>
      <w:r>
        <w:rPr>
          <w:rFonts w:ascii="Times New Roman" w:cs="Times New Roman" w:eastAsia="Times New Roman" w:hAnsi="Times New Roman"/>
          <w:sz w:val="21"/>
          <w:szCs w:val="21"/>
          <w:color w:val="auto"/>
        </w:rPr>
        <w:t>” means (a) in the case of a Term Benchmark Borrowing denominated in US Dollars, $1,000,000, (b) in the case of a Base Rate Borrowing, $100,000, (c) in the case of an Absolute Rate Borrowing denominated in US Dollars, $1,000,000 and (d) in the case of a Borrowing denominated in any Alternative Currency or in a Discretionary Alternative Currency, 1,000,000 units of such currency.</w:t>
      </w:r>
    </w:p>
    <w:p>
      <w:pPr>
        <w:spacing w:after="0" w:line="16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or a Sunday) on which banks are open for business in New York City, provided that, in addition to the foregoing, a Business Day shall be:</w:t>
      </w:r>
    </w:p>
    <w:p>
      <w:pPr>
        <w:spacing w:after="0" w:line="142" w:lineRule="exact"/>
        <w:rPr>
          <w:sz w:val="20"/>
          <w:szCs w:val="20"/>
          <w:color w:val="auto"/>
        </w:rPr>
      </w:pPr>
    </w:p>
    <w:p>
      <w:pPr>
        <w:jc w:val="both"/>
        <w:ind w:left="960" w:right="40" w:firstLine="623"/>
        <w:spacing w:after="0" w:line="274" w:lineRule="auto"/>
        <w:tabs>
          <w:tab w:leader="none" w:pos="190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relation to RFR Loans and any interest rate settings, fundings, disbursements, settlements or payments of any such RFR Loan, or any other dealings of such RFR Loan, any such day that is only a U.S. Government Securities Business Day;</w:t>
      </w:r>
    </w:p>
    <w:p>
      <w:pPr>
        <w:spacing w:after="0" w:line="153" w:lineRule="exact"/>
        <w:rPr>
          <w:rFonts w:ascii="Times New Roman" w:cs="Times New Roman" w:eastAsia="Times New Roman" w:hAnsi="Times New Roman"/>
          <w:sz w:val="19"/>
          <w:szCs w:val="19"/>
          <w:color w:val="auto"/>
        </w:rPr>
      </w:pPr>
    </w:p>
    <w:p>
      <w:pPr>
        <w:jc w:val="both"/>
        <w:ind w:left="960" w:right="40" w:firstLine="623"/>
        <w:spacing w:after="0" w:line="266" w:lineRule="auto"/>
        <w:tabs>
          <w:tab w:leader="none" w:pos="190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 and</w:t>
      </w:r>
    </w:p>
    <w:p>
      <w:pPr>
        <w:spacing w:after="0" w:line="161" w:lineRule="exact"/>
        <w:rPr>
          <w:rFonts w:ascii="Times New Roman" w:cs="Times New Roman" w:eastAsia="Times New Roman" w:hAnsi="Times New Roman"/>
          <w:sz w:val="19"/>
          <w:szCs w:val="19"/>
          <w:color w:val="auto"/>
        </w:rPr>
      </w:pPr>
    </w:p>
    <w:p>
      <w:pPr>
        <w:jc w:val="both"/>
        <w:ind w:left="960" w:right="40" w:firstLine="623"/>
        <w:spacing w:after="0" w:line="274" w:lineRule="auto"/>
        <w:tabs>
          <w:tab w:leader="none" w:pos="190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when used in connection with a Bid Loan that is an Absolute Rate Loan denominated in any Discretionary Alternative Currency, the term “Business Day” shall also exclude any day on which banks are not open for foreign exchange business in the principal financial center of the country of such Discretionary Alternative Currency.</w:t>
      </w:r>
    </w:p>
    <w:p>
      <w:pPr>
        <w:spacing w:after="0" w:line="153"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 Obligations</w:t>
      </w:r>
      <w:r>
        <w:rPr>
          <w:rFonts w:ascii="Times New Roman" w:cs="Times New Roman" w:eastAsia="Times New Roman" w:hAnsi="Times New Roman"/>
          <w:sz w:val="21"/>
          <w:szCs w:val="21"/>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21"/>
          <w:szCs w:val="21"/>
          <w:u w:val="single" w:color="auto"/>
          <w:color w:val="auto"/>
        </w:rPr>
        <w:t>ASU</w:t>
      </w:r>
      <w:r>
        <w:rPr>
          <w:rFonts w:ascii="Times New Roman" w:cs="Times New Roman" w:eastAsia="Times New Roman" w:hAnsi="Times New Roman"/>
          <w:sz w:val="21"/>
          <w:szCs w:val="21"/>
          <w:color w:val="auto"/>
        </w:rPr>
        <w:t xml:space="preserve">”)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means to pledge and deposit with or deliver to the Administrative Agent, for the benefit of the Administrative Agent, the applicable L/C Issuer and the Lenders, as collateral for L/C Obligations or obligations of Lenders to fund participations in respect thereof (as the context may require), cash or deposit account balances or, if the applicable L/C Issuer benefitting from such collateral shall agree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1" w:right="339" w:bottom="1440" w:gutter="0" w:footer="0" w:header="0"/>
        </w:sectPr>
      </w:pPr>
    </w:p>
    <w:bookmarkStart w:id="115" w:name="page116"/>
    <w:bookmarkEnd w:id="115"/>
    <w:p>
      <w:pPr>
        <w:jc w:val="both"/>
        <w:spacing w:after="0" w:line="267" w:lineRule="auto"/>
        <w:rPr>
          <w:sz w:val="20"/>
          <w:szCs w:val="20"/>
          <w:color w:val="auto"/>
        </w:rPr>
      </w:pPr>
      <w:r>
        <w:rPr>
          <w:rFonts w:ascii="Times New Roman" w:cs="Times New Roman" w:eastAsia="Times New Roman" w:hAnsi="Times New Roman"/>
          <w:sz w:val="21"/>
          <w:szCs w:val="21"/>
          <w:color w:val="auto"/>
        </w:rPr>
        <w:t>sole discretion, other credit support (including backstop letters of credit), in each case pursuant to documentation in form and substance reasonably satisfactory to (a) the Administrative Agent and (b) the applicable L/C Issuer. “</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shall have a meaning correlative to the foregoing and shall include the proceeds of such cash collateral and other credit support.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CFC</w:t>
      </w:r>
      <w:r>
        <w:rPr>
          <w:rFonts w:ascii="Times New Roman" w:cs="Times New Roman" w:eastAsia="Times New Roman" w:hAnsi="Times New Roman"/>
          <w:sz w:val="21"/>
          <w:szCs w:val="21"/>
          <w:color w:val="auto"/>
        </w:rPr>
        <w:t>” means a “controlled foreign corporation” as defined in Section 957(a) of the Code.</w:t>
      </w:r>
    </w:p>
    <w:p>
      <w:pPr>
        <w:spacing w:after="0" w:line="19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9" w:lineRule="exact"/>
        <w:rPr>
          <w:sz w:val="20"/>
          <w:szCs w:val="20"/>
          <w:color w:val="auto"/>
        </w:rPr>
      </w:pPr>
    </w:p>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the occurrence of any of the following: (a) an event or series of events by which any “person” or “group” (as such terms are used in Sections 13(d) and 14(d) of the Securities Exchange Act, but excluding any employee benefit plan of the Borrower or its Subsidiaries, and any Person acting in its capacity as trustee, agent or other fiduciary or administrator of any such plan) is or becomes the “beneficial owner” (as defined in Rules 13d-3 and 13d-5 under the Securities Exchange Act), directly or indirectly, of more than 50% of the total voting power of the Equity Interests in Borrower on a fully-diluted basis or (b) within a period of twelve (12) consecutive calendar months, a majority of the members of the board of directors or other equivalent governing body of the Borrower cease to be composed of individuals (i) who were members of that board or equivalent governing body on the first day of such period, (ii) whose election, nomination or appointment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w:t>
      </w:r>
    </w:p>
    <w:p>
      <w:pPr>
        <w:spacing w:after="0" w:line="167"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1" w:right="339" w:bottom="1440" w:gutter="0" w:footer="0" w:header="0"/>
        </w:sectPr>
      </w:pPr>
    </w:p>
    <w:bookmarkStart w:id="116" w:name="page117"/>
    <w:bookmarkEnd w:id="116"/>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xml:space="preserve">” means, as to each Lender, its obligation (a) to make Committed Loans to the Borrower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w:t>
      </w:r>
      <w:r>
        <w:rPr>
          <w:rFonts w:ascii="Times New Roman" w:cs="Times New Roman" w:eastAsia="Times New Roman" w:hAnsi="Times New Roman"/>
          <w:sz w:val="21"/>
          <w:szCs w:val="21"/>
          <w:color w:val="auto"/>
        </w:rPr>
        <w:t xml:space="preserve"> and (b) to purchase participations in L/C Obligations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or in the Assignment and Assumption or the Incremental Joinder Agreement or other documentation or record (as such term is defined in Section 9-102(a)</w:t>
      </w:r>
    </w:p>
    <w:p>
      <w:pPr>
        <w:spacing w:after="0" w:line="2" w:lineRule="exact"/>
        <w:rPr>
          <w:sz w:val="20"/>
          <w:szCs w:val="20"/>
          <w:color w:val="auto"/>
        </w:rPr>
      </w:pPr>
    </w:p>
    <w:p>
      <w:pPr>
        <w:ind w:firstLine="6"/>
        <w:spacing w:after="0" w:line="261" w:lineRule="auto"/>
        <w:tabs>
          <w:tab w:leader="none" w:pos="45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New York Uniform Commercial Code) pursuant to which such Lender shall have assumed its Commitment, as applicable, as such amount may be adjusted from time to time in accordance with this Agreement.</w:t>
      </w:r>
    </w:p>
    <w:p>
      <w:pPr>
        <w:spacing w:after="0" w:line="166"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Borrowing</w:t>
      </w:r>
      <w:r>
        <w:rPr>
          <w:rFonts w:ascii="Times New Roman" w:cs="Times New Roman" w:eastAsia="Times New Roman" w:hAnsi="Times New Roman"/>
          <w:sz w:val="21"/>
          <w:szCs w:val="21"/>
          <w:color w:val="auto"/>
        </w:rPr>
        <w:t>” means Committed Loans of the same Type and in the same currency made, converted or continued on the same date and, in the case of Term Benchmark Committed Loans, as to which a single Interest Period is in effect.</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Loan Notice</w:t>
      </w:r>
      <w:r>
        <w:rPr>
          <w:rFonts w:ascii="Times New Roman" w:cs="Times New Roman" w:eastAsia="Times New Roman" w:hAnsi="Times New Roman"/>
          <w:sz w:val="21"/>
          <w:szCs w:val="21"/>
          <w:color w:val="auto"/>
        </w:rPr>
        <w:t xml:space="preserve">” means a notice of (a) a borrowing of Committed Loans, (b) a conversion of any Committed Borrowing from one Type to the other or (c) a continuation of any Term Benchmark Committed Borrowing, in each case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which shall be substantially in </w:t>
      </w:r>
      <w:r>
        <w:rPr>
          <w:rFonts w:ascii="Times New Roman" w:cs="Times New Roman" w:eastAsia="Times New Roman" w:hAnsi="Times New Roman"/>
          <w:sz w:val="21"/>
          <w:szCs w:val="21"/>
          <w:b w:val="1"/>
          <w:bCs w:val="1"/>
          <w:color w:val="FF0000"/>
          <w:strike w:val="1"/>
        </w:rPr>
        <w:t>the</w:t>
      </w:r>
      <w:r>
        <w:rPr>
          <w:rFonts w:ascii="Times New Roman" w:cs="Times New Roman" w:eastAsia="Times New Roman" w:hAnsi="Times New Roman"/>
          <w:sz w:val="21"/>
          <w:szCs w:val="21"/>
          <w:b w:val="1"/>
          <w:bCs w:val="1"/>
          <w:u w:val="single" w:color="auto"/>
          <w:color w:val="0000FF"/>
        </w:rPr>
        <w:t>such</w:t>
      </w:r>
      <w:r>
        <w:rPr>
          <w:rFonts w:ascii="Times New Roman" w:cs="Times New Roman" w:eastAsia="Times New Roman" w:hAnsi="Times New Roman"/>
          <w:sz w:val="21"/>
          <w:szCs w:val="21"/>
          <w:color w:val="auto"/>
        </w:rPr>
        <w:t xml:space="preserve"> form </w:t>
      </w:r>
      <w:r>
        <w:rPr>
          <w:rFonts w:ascii="Times New Roman" w:cs="Times New Roman" w:eastAsia="Times New Roman" w:hAnsi="Times New Roman"/>
          <w:sz w:val="21"/>
          <w:szCs w:val="21"/>
          <w:b w:val="1"/>
          <w:bCs w:val="1"/>
          <w:color w:val="FF0000"/>
          <w:strike w:val="1"/>
        </w:rPr>
        <w:t>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FF0000"/>
          <w:strike w:val="1"/>
        </w:rPr>
        <w:t>Exhibit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or any other form</w:t>
      </w:r>
      <w:r>
        <w:rPr>
          <w:rFonts w:ascii="Times New Roman" w:cs="Times New Roman" w:eastAsia="Times New Roman" w:hAnsi="Times New Roman"/>
          <w:sz w:val="21"/>
          <w:szCs w:val="21"/>
          <w:b w:val="1"/>
          <w:bCs w:val="1"/>
          <w:u w:val="single" w:color="auto"/>
          <w:color w:val="0000FF"/>
        </w:rPr>
        <w:t>as may be</w:t>
      </w:r>
      <w:r>
        <w:rPr>
          <w:rFonts w:ascii="Times New Roman" w:cs="Times New Roman" w:eastAsia="Times New Roman" w:hAnsi="Times New Roman"/>
          <w:sz w:val="21"/>
          <w:szCs w:val="21"/>
          <w:color w:val="auto"/>
        </w:rPr>
        <w:t xml:space="preserve"> approved by the Administrative Agent </w:t>
      </w:r>
      <w:r>
        <w:rPr>
          <w:rFonts w:ascii="Times New Roman" w:cs="Times New Roman" w:eastAsia="Times New Roman" w:hAnsi="Times New Roman"/>
          <w:sz w:val="21"/>
          <w:szCs w:val="21"/>
          <w:b w:val="1"/>
          <w:bCs w:val="1"/>
          <w:color w:val="0000FF"/>
        </w:rPr>
        <w:t>and separately provided to the Borrower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-47625</wp:posOffset>
            </wp:positionV>
            <wp:extent cx="23729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128"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L/C Issuers by means of electronic communications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10.03</w:t>
      </w:r>
      <w:r>
        <w:rPr>
          <w:rFonts w:ascii="Times New Roman" w:cs="Times New Roman" w:eastAsia="Times New Roman" w:hAnsi="Times New Roman"/>
          <w:sz w:val="21"/>
          <w:szCs w:val="21"/>
          <w:color w:val="auto"/>
        </w:rPr>
        <w:t>, including through an Approved Electronic Platform.</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Materials</w:t>
      </w:r>
      <w:r>
        <w:rPr>
          <w:rFonts w:ascii="Times New Roman" w:cs="Times New Roman" w:eastAsia="Times New Roman" w:hAnsi="Times New Roman"/>
          <w:sz w:val="21"/>
          <w:szCs w:val="21"/>
          <w:color w:val="auto"/>
        </w:rPr>
        <w:t>” means materials and/or information provided by or on behalf of the Loan Parties hereunder.</w:t>
      </w:r>
    </w:p>
    <w:p>
      <w:pPr>
        <w:spacing w:after="0" w:line="20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Competitive Bid</w:t>
      </w:r>
      <w:r>
        <w:rPr>
          <w:rFonts w:ascii="Times New Roman" w:cs="Times New Roman" w:eastAsia="Times New Roman" w:hAnsi="Times New Roman"/>
          <w:sz w:val="21"/>
          <w:szCs w:val="21"/>
          <w:color w:val="auto"/>
        </w:rPr>
        <w:t xml:space="preserve">” means a written offer by a Lender to make one or more Bid Loans, substantially in the form of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 duly completed and signed by a Lender.</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means, for any period, for the Borrower and its Subsidiaries on a consolidated basis, an amount equal to:</w:t>
      </w:r>
    </w:p>
    <w:p>
      <w:pPr>
        <w:spacing w:after="0" w:line="129" w:lineRule="exact"/>
        <w:rPr>
          <w:sz w:val="20"/>
          <w:szCs w:val="20"/>
          <w:color w:val="auto"/>
        </w:rPr>
      </w:pPr>
    </w:p>
    <w:p>
      <w:pPr>
        <w:ind w:left="1280" w:hanging="562"/>
        <w:spacing w:after="0"/>
        <w:tabs>
          <w:tab w:leader="none" w:pos="12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Net Income for such period, plus,</w:t>
      </w:r>
    </w:p>
    <w:p>
      <w:pPr>
        <w:spacing w:after="0" w:line="209"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and only to the extent deducted in calculating Consolidated Net Income for such period, the sum of: (i) interest expense, (ii)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1" w:right="339" w:bottom="1440" w:gutter="0" w:footer="0" w:header="0"/>
        </w:sectPr>
      </w:pPr>
    </w:p>
    <w:bookmarkStart w:id="117" w:name="page118"/>
    <w:bookmarkEnd w:id="117"/>
    <w:p>
      <w:pPr>
        <w:jc w:val="both"/>
        <w:spacing w:after="0" w:line="262" w:lineRule="auto"/>
        <w:rPr>
          <w:sz w:val="20"/>
          <w:szCs w:val="20"/>
          <w:color w:val="auto"/>
        </w:rPr>
      </w:pPr>
      <w:r>
        <w:rPr>
          <w:rFonts w:ascii="Times New Roman" w:cs="Times New Roman" w:eastAsia="Times New Roman" w:hAnsi="Times New Roman"/>
          <w:sz w:val="21"/>
          <w:szCs w:val="21"/>
          <w:color w:val="auto"/>
        </w:rPr>
        <w:t>expense, (iii) depreciation and amortization expense, (iv) losses attributable to noncontrolling interest, (v) stock-based compensation expense, (vi) asset impairment charges (including impairment of intangibles or goodwill), (vii) restructuring charges,</w:t>
      </w:r>
    </w:p>
    <w:p>
      <w:pPr>
        <w:jc w:val="both"/>
        <w:ind w:firstLine="6"/>
        <w:spacing w:after="0" w:line="253" w:lineRule="auto"/>
        <w:tabs>
          <w:tab w:leader="none" w:pos="50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charges, losses and expenses associated with any Acquisition, including Milestone Payments, integration charges, charges associated with the revaluation of assets or liabilities (including noncash charges recorded in respect of purchase accounting), any contingent or deferred payments (including earn-outs, contingent liabilities that are based, in whole or in part, on future estimated cash flows, royalties, non-compete payments and consulting payments, but excluding ongoing royalties associated therewith paid in cash in such period) made in connection with such Acquisition and any revaluation adjustments thereof, (ix) one-time non-recurring up-front and milestone payments payable under research and development licensing agreements, collaboration agreements or development agreements relating to uncommercialized product candidates, (x) charges, losses and expenses associated with unrealized losses on long term investments, (xi) charges, losses and expenses associated with the sale of assets (other than sales of inventory in the ordinary course of business) and losses attributable to discontinued operations, (xii) transaction fees and expenses incurred in connection with any Acquisition (or other similar investment), sale of assets (other than sales of inventory in the ordinary course of business), issuance or repayment of Indebtedness, issuance of equity securities by the Borrower, refinancing transaction or amendment or other modification of definitive agreements governing any Indebtedness (in each case, including any such transaction consummated prior to the Effective Date and any such transaction undertaken but not completed), (xiii) losses attributable to early extinguishment of Indebtedness or obligations under any Swap Contract, (xiv) litigation charges and settlements, (xv) non-cash charges (including non-cash exchange, translation or performance losses) relating to foreign currency hedging transactions or extraordinary, unusual or nonrecurring non-cash charges related to currency fluctuations, (xvi) one time clinical research and outside services costs and expenses associated with the acquisition of priority review or similar vouchers in connection with applications for regulatory approval of product candidates, (xvii) the amount of any non-cash charges attributable to losses in a joint venture, (xviii) other extraordinary, unusual or nonrecurring charges or expenses and (xix) any other noncash charges not otherwise specified in the foregoing clauses (i) through (xviii),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718"/>
        <w:spacing w:after="0" w:line="255" w:lineRule="auto"/>
        <w:tabs>
          <w:tab w:leader="none" w:pos="1265"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and only to the extent included in calculating Consolidated Net Income for such period, the sum of (i) interest income, (ii) income tax benefit, (iii) income attributable to non-controlling interest, (iv) gains associated with any Acquisition, including gains associated with the revaluation of assets and liabilities, break-up or termination fees and gains on any revaluation adjustment of any contingent or deferred payments (including earn-outs, non-compete payments and consulting payments but excluding ongoing royalty payments) made in connection with such Acquisition, (v) unrealized gains on long term investments, (vi) gains associated with the sale of assets outside the ordinary course of business and income attributable to discontinued operations, (vii) gains attributable to early extinguishment of Indebtedness or obligations under any Swap Contract,</w:t>
      </w:r>
    </w:p>
    <w:p>
      <w:pPr>
        <w:spacing w:after="0" w:line="3" w:lineRule="exact"/>
        <w:rPr>
          <w:rFonts w:ascii="Times New Roman" w:cs="Times New Roman" w:eastAsia="Times New Roman" w:hAnsi="Times New Roman"/>
          <w:sz w:val="21"/>
          <w:szCs w:val="21"/>
          <w:color w:val="auto"/>
        </w:rPr>
      </w:pPr>
    </w:p>
    <w:p>
      <w:pPr>
        <w:ind w:firstLine="6"/>
        <w:spacing w:after="0" w:line="261" w:lineRule="auto"/>
        <w:tabs>
          <w:tab w:leader="none" w:pos="48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litigation gains and settlements, (ix) non-cash gains (including non-cash exchange, translation or performance gains) relating to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71" w:right="339" w:bottom="1440" w:gutter="0" w:footer="0" w:header="0"/>
        </w:sectPr>
      </w:pPr>
    </w:p>
    <w:bookmarkStart w:id="118" w:name="page119"/>
    <w:bookmarkEnd w:id="118"/>
    <w:p>
      <w:pPr>
        <w:jc w:val="both"/>
        <w:spacing w:after="0" w:line="266" w:lineRule="auto"/>
        <w:rPr>
          <w:sz w:val="20"/>
          <w:szCs w:val="20"/>
          <w:color w:val="auto"/>
        </w:rPr>
      </w:pPr>
      <w:r>
        <w:rPr>
          <w:rFonts w:ascii="Times New Roman" w:cs="Times New Roman" w:eastAsia="Times New Roman" w:hAnsi="Times New Roman"/>
          <w:sz w:val="21"/>
          <w:szCs w:val="21"/>
          <w:color w:val="auto"/>
        </w:rPr>
        <w:t>currency hedging transactions or extraordinary, unusual or nonrecurring non-cash gains related to currency fluctuations, (x) one-time non-recurring up-front and milestone payments received under research and development licensing agreements, collaboration agreements or development agreements relating to uncommercialized product candidates and (xi) other extraordinary, unusual or nonrecurring gains or other items of income.</w:t>
      </w:r>
    </w:p>
    <w:p>
      <w:pPr>
        <w:spacing w:after="0" w:line="1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For the purposes of calculating Consolidated EBITDA for any period of four consecutive fiscal quarters (each, a “</w:t>
      </w:r>
      <w:r>
        <w:rPr>
          <w:rFonts w:ascii="Times New Roman" w:cs="Times New Roman" w:eastAsia="Times New Roman" w:hAnsi="Times New Roman"/>
          <w:sz w:val="21"/>
          <w:szCs w:val="21"/>
          <w:u w:val="single" w:color="auto"/>
          <w:color w:val="auto"/>
        </w:rPr>
        <w:t>Reference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xml:space="preserve">”), if at any time during such Reference Period Borrower or any Subsidiary shall have made any Material Disposition or a Material Acquisition, Consolidated EBITDA for such Reference Period shall be calculated after giving pro forma effect thereto in accordance with </w:t>
      </w:r>
      <w:r>
        <w:rPr>
          <w:rFonts w:ascii="Times New Roman" w:cs="Times New Roman" w:eastAsia="Times New Roman" w:hAnsi="Times New Roman"/>
          <w:sz w:val="21"/>
          <w:szCs w:val="21"/>
          <w:u w:val="single" w:color="auto"/>
          <w:color w:val="auto"/>
        </w:rPr>
        <w:t>Section 1.03(c)</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Leverage Ratio</w:t>
      </w:r>
      <w:r>
        <w:rPr>
          <w:rFonts w:ascii="Times New Roman" w:cs="Times New Roman" w:eastAsia="Times New Roman" w:hAnsi="Times New Roman"/>
          <w:sz w:val="21"/>
          <w:szCs w:val="21"/>
          <w:color w:val="auto"/>
        </w:rPr>
        <w:t>” means, as of any date of determination, the ratio of (a) Consolidated Total Debt as of such date to (b) Consolidated EBITDA for the period of the four fiscal quarters of the Borrower then most recently ended.</w:t>
      </w:r>
    </w:p>
    <w:p>
      <w:pPr>
        <w:spacing w:after="0" w:line="11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means, for any period, the consolidated net income (or loss) of the Borrower and its Subsidiaries for such period, determined on a consolidated basis in accordance with GAAP.</w:t>
      </w:r>
    </w:p>
    <w:p>
      <w:pPr>
        <w:spacing w:after="0" w:line="111"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FF0000"/>
          <w:strike w:val="1"/>
        </w:rPr>
        <w:t>Consolidated Net Tangible Assets</w:t>
      </w:r>
      <w:r>
        <w:rPr>
          <w:rFonts w:ascii="Times New Roman" w:cs="Times New Roman" w:eastAsia="Times New Roman" w:hAnsi="Times New Roman"/>
          <w:sz w:val="21"/>
          <w:szCs w:val="21"/>
          <w:b w:val="1"/>
          <w:bCs w:val="1"/>
          <w:color w:val="FF0000"/>
          <w:strike w:val="1"/>
        </w:rPr>
        <w:t>” means, at any time, total assets (less applicable reserves and other properly deductible items) after deducting all goodwill, in each case of the Borrower and its Subsidiaries at such time that would be reflected on a consolidated balance sheet of the Borrower and its Subsidiaries prepared in accordance with GAAP.</w:t>
      </w:r>
    </w:p>
    <w:p>
      <w:pPr>
        <w:spacing w:after="0" w:line="120"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Assets</w:t>
      </w:r>
      <w:r>
        <w:rPr>
          <w:rFonts w:ascii="Times New Roman" w:cs="Times New Roman" w:eastAsia="Times New Roman" w:hAnsi="Times New Roman"/>
          <w:sz w:val="21"/>
          <w:szCs w:val="21"/>
          <w:color w:val="auto"/>
        </w:rPr>
        <w:t>” means, at any time, the total assets of the Borrower and its Subsidiaries at such time that would be reflected on a consolidated balance sheet of the Borrower and its Subsidiaries prepared in accordance with GAAP.</w:t>
      </w:r>
    </w:p>
    <w:p>
      <w:pPr>
        <w:spacing w:after="0" w:line="76" w:lineRule="exact"/>
        <w:rPr>
          <w:sz w:val="20"/>
          <w:szCs w:val="20"/>
          <w:color w:val="auto"/>
        </w:rPr>
      </w:pPr>
    </w:p>
    <w:p>
      <w:pPr>
        <w:jc w:val="both"/>
        <w:ind w:firstLine="624"/>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Debt</w:t>
      </w:r>
      <w:r>
        <w:rPr>
          <w:rFonts w:ascii="Times New Roman" w:cs="Times New Roman" w:eastAsia="Times New Roman" w:hAnsi="Times New Roman"/>
          <w:sz w:val="21"/>
          <w:szCs w:val="21"/>
          <w:color w:val="auto"/>
        </w:rPr>
        <w:t xml:space="preserve">” means, at any time, for Borrower and its Subsidiaries on a consolidated basis, the aggregate amount of (a) (i) all Indebtedness for borrowed money and all Indebtedness constituting obligations evidenced by bonds, debentures, notes, loan agreements or other similar instruments and (ii) all Capital Lease Obligations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excess, if any, of</w:t>
      </w:r>
    </w:p>
    <w:p>
      <w:pPr>
        <w:spacing w:after="0" w:line="3" w:lineRule="exact"/>
        <w:rPr>
          <w:sz w:val="20"/>
          <w:szCs w:val="20"/>
          <w:color w:val="auto"/>
        </w:rPr>
      </w:pPr>
    </w:p>
    <w:p>
      <w:pPr>
        <w:jc w:val="both"/>
        <w:ind w:firstLine="6"/>
        <w:spacing w:after="0"/>
        <w:tabs>
          <w:tab w:leader="none" w:pos="28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cash, cash equivalents and marketable securities of the Borrower and its Subsidiaries, as reflected (under such line items) on a consolidated balance sheet of the Borrower and its Subsidiaries prepared as of such date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such cash, cash equivalents and marketable securities do not appear (and would not be required to appear) as “restricted” on a consolidated balance sheet of the Borrower and its Subsidiaries prepared in accordance with GAAP, and</w:t>
      </w:r>
    </w:p>
    <w:p>
      <w:pPr>
        <w:spacing w:after="0" w:line="1" w:lineRule="exact"/>
        <w:rPr>
          <w:rFonts w:ascii="Times New Roman" w:cs="Times New Roman" w:eastAsia="Times New Roman" w:hAnsi="Times New Roman"/>
          <w:sz w:val="21"/>
          <w:szCs w:val="21"/>
          <w:color w:val="auto"/>
        </w:rPr>
      </w:pPr>
    </w:p>
    <w:p>
      <w:pPr>
        <w:jc w:val="both"/>
        <w:ind w:firstLine="6"/>
        <w:spacing w:after="0" w:line="239" w:lineRule="auto"/>
        <w:tabs>
          <w:tab w:leader="none" w:pos="30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such marketable securities, an active trading market exists therefor and price quotations are available and such marketable securities are not subject to any lock-up or other contractual restriction on the sale or other disposition thereof by the Borrower and its Subsidiaries (it being understood and agreed, for the avoidance of doubt, that U.S. Government debt securities owned by the Borrower or its Subsidiaries that are reflected on such consolidated balance sheet satisfy the foregoing criteria in this clause (y)), over (ii) $500,000,000. Notwithstanding the foregoing, solely for the purposes of determining Consolidated Total Debt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1"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21"/>
          <w:szCs w:val="21"/>
          <w:color w:val="auto"/>
        </w:rPr>
        <w:t>after the definitive agreement for any Acquisition shall have been executed and prior to the consummation of such Acquisition, any Acquisition Indebtedness with respect thereto shall be excluded from clause (a) above (and the proceeds thereof shall be excluded from clause (b) above).</w:t>
      </w:r>
    </w:p>
    <w:p>
      <w:pPr>
        <w:spacing w:after="0" w:line="148"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1" w:lineRule="exact"/>
        <w:rPr>
          <w:sz w:val="20"/>
          <w:szCs w:val="20"/>
          <w:color w:val="auto"/>
        </w:rPr>
      </w:pPr>
    </w:p>
    <w:p>
      <w:pPr>
        <w:jc w:val="both"/>
        <w:ind w:firstLine="624"/>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have meanings correlative thereto.</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2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Co-Syndication Agent</w:t>
      </w:r>
      <w:r>
        <w:rPr>
          <w:rFonts w:ascii="Times New Roman" w:cs="Times New Roman" w:eastAsia="Times New Roman" w:hAnsi="Times New Roman"/>
          <w:sz w:val="21"/>
          <w:szCs w:val="21"/>
          <w:color w:val="auto"/>
        </w:rPr>
        <w:t>” means Bank of America, N.A. and Mizuho Bank, Ltd., in their capacities as co-syndication agent for the credit facility provided for herein.</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196" w:lineRule="exact"/>
        <w:rPr>
          <w:sz w:val="20"/>
          <w:szCs w:val="20"/>
          <w:color w:val="auto"/>
        </w:rPr>
      </w:pPr>
    </w:p>
    <w:p>
      <w:pPr>
        <w:ind w:left="1900" w:hanging="622"/>
        <w:spacing w:after="0"/>
        <w:tabs>
          <w:tab w:leader="none" w:pos="19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18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182"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Paty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11.20</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Extension</w:t>
      </w:r>
      <w:r>
        <w:rPr>
          <w:rFonts w:ascii="Times New Roman" w:cs="Times New Roman" w:eastAsia="Times New Roman" w:hAnsi="Times New Roman"/>
          <w:sz w:val="21"/>
          <w:szCs w:val="21"/>
          <w:color w:val="auto"/>
        </w:rPr>
        <w:t>” means a Borrowing or an L/C Credit Extension, or any of the foregoing, as the context might require.</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each L/C Issuer or any other Lender.</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624"/>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court protection, insolvency, reorganization, examinership or similar debtor relief Laws of the United States or other applicable jurisdictions from time to time in effect and affecting the rights of creditors generally.</w:t>
      </w:r>
    </w:p>
    <w:p>
      <w:pPr>
        <w:spacing w:after="0" w:line="144" w:lineRule="exact"/>
        <w:rPr>
          <w:sz w:val="20"/>
          <w:szCs w:val="20"/>
          <w:color w:val="auto"/>
        </w:rPr>
      </w:pPr>
    </w:p>
    <w:p>
      <w:pPr>
        <w:jc w:val="both"/>
        <w:ind w:right="20" w:firstLine="62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or condition that constitutes an Event of Default or that, with the giving of any notice, the passage of time, or both, would be an Event of Default.</w:t>
      </w:r>
    </w:p>
    <w:p>
      <w:pPr>
        <w:spacing w:after="0" w:line="128"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58" w:right="339" w:bottom="1440" w:gutter="0" w:footer="0" w:header="0"/>
        </w:sectPr>
      </w:pPr>
    </w:p>
    <w:bookmarkStart w:id="120" w:name="page121"/>
    <w:bookmarkEnd w:id="120"/>
    <w:p>
      <w:pPr>
        <w:jc w:val="both"/>
        <w:ind w:firstLine="624"/>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xml:space="preserve">, any Lender that, (a) has failed to (i) fund all or any portion of its Loans within two (2) Business Days of the date required to be funded by it hereunder unless such Lender notifies the Administrative Agent and Borrower in writing that such failure is the result of such Lender’s good faith determination that one or more conditions precedent to funding (each of which conditions precedent, together with any applicable Default, shall be specifically identified and supported by reasonable background information provided by such Lender in such writing) has not been satisfied, or (ii) pay to the Administrative Agent, any L/C Issuer or any other Lender any other amount required to be paid by it hereunder (including in respect of its participation in Letters of Credit) within two (2) Business Days of the date when due, (b) has notified the Borrower, the Administrative Agent or any L/C Issuer in writing, or has made a public statement to the effect, that it does not intend to comply with its funding obligations hereunder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and supported by reasonable background information provided by such Lender in such writing or public statement) cannot be satisfied) or generally under other agreements in which it commits to extend credit, (c) has failed, within three (3) Business Days after written request by the Administrative Agent, the Borrower, to confirm in writing to the Administrative Agent and the Borrower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by the Administrative Agent and the Borrower of such written confirmation in form and substance satisfactory to the Administrative Agent and Borrower, or (d) has, or has a direct or indirect parent company that has, (i) become the subject of a Bail-In Action, (ii) become the subject of a proceeding under any Debtor Relief Law or (iii) had appointed for it a receiver, custodian, conservator, trustee, administrator, examiner,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or the Borrower that a Lender is a Defaulting Lender under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upon delivery of written notice of such determination to the Administrative Agent, the Borrower, Borrower, each L/C Issuer and such Lender.</w:t>
      </w:r>
    </w:p>
    <w:p>
      <w:pPr>
        <w:spacing w:after="0" w:line="197"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Discharge of the Obligations</w:t>
      </w:r>
      <w:r>
        <w:rPr>
          <w:rFonts w:ascii="Times New Roman" w:cs="Times New Roman" w:eastAsia="Times New Roman" w:hAnsi="Times New Roman"/>
          <w:sz w:val="21"/>
          <w:szCs w:val="21"/>
          <w:color w:val="auto"/>
        </w:rPr>
        <w:t>” means (and shall have occurred when) (a) all Obligations (other than contingent obligations as to which no claim has been asserted) shall have been paid in full in cash, (b) no L/C Borrowing and no Letter of Credit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71" w:right="339" w:bottom="1440" w:gutter="0" w:footer="0" w:header="0"/>
        </w:sectPr>
      </w:pPr>
    </w:p>
    <w:bookmarkStart w:id="121" w:name="page122"/>
    <w:bookmarkEnd w:id="121"/>
    <w:p>
      <w:pPr>
        <w:jc w:val="both"/>
        <w:spacing w:after="0" w:line="267" w:lineRule="auto"/>
        <w:rPr>
          <w:sz w:val="20"/>
          <w:szCs w:val="20"/>
          <w:color w:val="auto"/>
        </w:rPr>
      </w:pPr>
      <w:r>
        <w:rPr>
          <w:rFonts w:ascii="Times New Roman" w:cs="Times New Roman" w:eastAsia="Times New Roman" w:hAnsi="Times New Roman"/>
          <w:sz w:val="21"/>
          <w:szCs w:val="21"/>
          <w:color w:val="auto"/>
        </w:rPr>
        <w:t>outstanding (other than Letters of Credit that have been Cash Collateralized in full or as to which other arrangements satisfactory to the applicable L/C Issuer and the Administrative Agent shall have been made) and (c) all Commitments shall have terminated or expired.</w:t>
      </w:r>
    </w:p>
    <w:p>
      <w:pPr>
        <w:spacing w:after="0" w:line="17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Discretionary Alternative Currency</w:t>
      </w:r>
      <w:r>
        <w:rPr>
          <w:rFonts w:ascii="Times New Roman" w:cs="Times New Roman" w:eastAsia="Times New Roman" w:hAnsi="Times New Roman"/>
          <w:sz w:val="21"/>
          <w:szCs w:val="21"/>
          <w:color w:val="auto"/>
        </w:rPr>
        <w:t>” means any lawful currency, other than US Dollars, that is freely transferable and freely convertible into US Dollars. No Loans denominated in a Discretionary Alternative Currency may be Base Rate Loans.</w:t>
      </w:r>
    </w:p>
    <w:p>
      <w:pPr>
        <w:spacing w:after="0" w:line="142" w:lineRule="exact"/>
        <w:rPr>
          <w:sz w:val="20"/>
          <w:szCs w:val="20"/>
          <w:color w:val="auto"/>
        </w:rPr>
      </w:pPr>
    </w:p>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Competitor</w:t>
      </w:r>
      <w:r>
        <w:rPr>
          <w:rFonts w:ascii="Times New Roman" w:cs="Times New Roman" w:eastAsia="Times New Roman" w:hAnsi="Times New Roman"/>
          <w:sz w:val="21"/>
          <w:szCs w:val="21"/>
          <w:color w:val="auto"/>
        </w:rPr>
        <w:t xml:space="preserve">” means (a) Persons that are reasonably determined by the Borrower to be competitors of the Borrower or its Subsidiaries and which are specifically identified by the Borrower to the Administrative Agent and the Lenders in writing and delivered in accordance with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prior to the Effective Date, (b) any other Person that is reasonably determined by the Borrower to be a competitor of the Borrower or its Subsidiaries and which is specifically identified in a written supplement to the list of “Disqualified Competitors”, which supplement shall become effective three (3) Business Days after delivery thereof to the Administrative Agent and the Lenders in accordance with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and (c) in the case of the foregoing clauses (a) and (b), any of such entities’ Affiliates to the extent such Affiliates (x) are clearly identifiable as Affiliates of such Persons based solely on the similarity of such Affiliates’ and such Persons’ names and (y) are not bona fide debt investment funds. It is understood and agreed that (i) any supplement to the list of Persons that are Disqualified Competitors contemplated by the foregoing clause (b)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Competitor, (iii) the Borrower’s failure to deliver such list (or supplement thereto) in accordance with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shall render such list (or supplement) not received and not effective and (iv) “Disqualified Competitor” shall exclude any Person that the Borrower has designated as no longer being a “Disqualified Competitor” by written notice delivered to the Administrative Agent from time to time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1"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Dispose</w:t>
      </w:r>
      <w:r>
        <w:rPr>
          <w:rFonts w:ascii="Times New Roman" w:cs="Times New Roman" w:eastAsia="Times New Roman" w:hAnsi="Times New Roman"/>
          <w:sz w:val="21"/>
          <w:szCs w:val="21"/>
          <w:color w:val="auto"/>
        </w:rPr>
        <w:t>” means the sale, transfer, license, lease or other disposition of any property by any Person, including any sale and leaseback transaction and any sale, assignment, transfer or other disposal, with or without recourse, of any notes or accounts receivable or any rights and claims associated therewith.</w:t>
      </w:r>
    </w:p>
    <w:p>
      <w:pPr>
        <w:spacing w:after="0" w:line="17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Subsidiary</w:t>
      </w:r>
      <w:r>
        <w:rPr>
          <w:rFonts w:ascii="Times New Roman" w:cs="Times New Roman" w:eastAsia="Times New Roman" w:hAnsi="Times New Roman"/>
          <w:sz w:val="21"/>
          <w:szCs w:val="21"/>
          <w:color w:val="auto"/>
        </w:rPr>
        <w:t>” means a Subsidiary organized under the laws of a jurisdiction located in the United States of America other than a Subsidiary (i) that is a Subsidiary of a CFC or (ii) substantially all of the assets of which are Equity Interests or Equity Interests and debt interests in one or more CFCs.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DQ List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11.06(h)(iv)</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that is subject to the supervision of an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71" w:right="339" w:bottom="1440" w:gutter="0" w:footer="0" w:header="0"/>
        </w:sectPr>
      </w:pPr>
    </w:p>
    <w:bookmarkStart w:id="122" w:name="page123"/>
    <w:bookmarkEnd w:id="122"/>
    <w:p>
      <w:pPr>
        <w:jc w:val="both"/>
        <w:spacing w:after="0" w:line="267" w:lineRule="auto"/>
        <w:rPr>
          <w:sz w:val="20"/>
          <w:szCs w:val="20"/>
          <w:color w:val="auto"/>
        </w:rPr>
      </w:pPr>
      <w:r>
        <w:rPr>
          <w:rFonts w:ascii="Times New Roman" w:cs="Times New Roman" w:eastAsia="Times New Roman" w:hAnsi="Times New Roman"/>
          <w:sz w:val="21"/>
          <w:szCs w:val="21"/>
          <w:color w:val="auto"/>
        </w:rPr>
        <w:t>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member state of the European Union, Iceland, Liechtenstein and Norway.</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jc w:val="both"/>
        <w:ind w:firstLine="624"/>
        <w:spacing w:after="0" w:line="30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means the date on which the conditions precedent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have been</w:t>
      </w:r>
      <w:r>
        <w:rPr>
          <w:rFonts w:ascii="Times New Roman" w:cs="Times New Roman" w:eastAsia="Times New Roman" w:hAnsi="Times New Roman"/>
          <w:sz w:val="21"/>
          <w:szCs w:val="21"/>
          <w:b w:val="1"/>
          <w:bCs w:val="1"/>
          <w:u w:val="single" w:color="auto"/>
          <w:color w:val="0000FF"/>
        </w:rPr>
        <w:t>were</w:t>
      </w:r>
      <w:r>
        <w:rPr>
          <w:rFonts w:ascii="Times New Roman" w:cs="Times New Roman" w:eastAsia="Times New Roman" w:hAnsi="Times New Roman"/>
          <w:sz w:val="21"/>
          <w:szCs w:val="21"/>
          <w:color w:val="auto"/>
        </w:rPr>
        <w:t xml:space="preserve"> satisfied, which date </w:t>
      </w:r>
      <w:r>
        <w:rPr>
          <w:rFonts w:ascii="Times New Roman" w:cs="Times New Roman" w:eastAsia="Times New Roman" w:hAnsi="Times New Roman"/>
          <w:sz w:val="21"/>
          <w:szCs w:val="21"/>
          <w:b w:val="1"/>
          <w:bCs w:val="1"/>
          <w:color w:val="FF0000"/>
          <w:strike w:val="1"/>
        </w:rPr>
        <w:t>is</w:t>
      </w:r>
      <w:r>
        <w:rPr>
          <w:rFonts w:ascii="Times New Roman" w:cs="Times New Roman" w:eastAsia="Times New Roman" w:hAnsi="Times New Roman"/>
          <w:sz w:val="21"/>
          <w:szCs w:val="21"/>
          <w:b w:val="1"/>
          <w:bCs w:val="1"/>
          <w:u w:val="single" w:color="auto"/>
          <w:color w:val="0000FF"/>
        </w:rPr>
        <w:t>was</w:t>
      </w:r>
      <w:r>
        <w:rPr>
          <w:rFonts w:ascii="Times New Roman" w:cs="Times New Roman" w:eastAsia="Times New Roman" w:hAnsi="Times New Roman"/>
          <w:sz w:val="21"/>
          <w:szCs w:val="21"/>
          <w:color w:val="auto"/>
        </w:rPr>
        <w:t xml:space="preserve"> August 18, 2021.</w:t>
      </w:r>
    </w:p>
    <w:p>
      <w:pPr>
        <w:spacing w:after="0" w:line="12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4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any Person that meets the requirements to be an assignee under </w:t>
      </w:r>
      <w:r>
        <w:rPr>
          <w:rFonts w:ascii="Times New Roman" w:cs="Times New Roman" w:eastAsia="Times New Roman" w:hAnsi="Times New Roman"/>
          <w:sz w:val="21"/>
          <w:szCs w:val="21"/>
          <w:u w:val="single" w:color="auto"/>
          <w:color w:val="auto"/>
        </w:rPr>
        <w:t>Sections 11.06(b)(iii)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11.06(b)(v)</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11.06(b)(iii)</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any and all federal, state, local and foreign statutes, Laws, regulations, ordinances, rules, judgments, orders, or decrees relating to pollution, the protection of the environment or the release of any hazardous or toxic materials into the environment.</w:t>
      </w:r>
    </w:p>
    <w:p>
      <w:pPr>
        <w:spacing w:after="0" w:line="153"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directly or indirectly resulting from or based upon (a) violation of any Environmental Law or permit required thereunder, (b) the generation, use, handling, transportation, storage, treatment or disposal of any Hazardous Materials, (c) exposure to any Hazardous Materials, (d) the release or threatened release of any Hazardous Materials into the environment or (e) any governmental order or acquisition or divestiture agreement or other consensual arrangement pursuant to which liability is assumed or imposed with respect to any of the foregoing.</w:t>
      </w:r>
    </w:p>
    <w:p>
      <w:pPr>
        <w:spacing w:after="0" w:line="17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71" w:right="339" w:bottom="1440" w:gutter="0" w:footer="0" w:header="0"/>
        </w:sectPr>
      </w:pPr>
    </w:p>
    <w:bookmarkStart w:id="123" w:name="page124"/>
    <w:bookmarkEnd w:id="123"/>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voting or nonvoting, and whether or not such shares, warrants, options, rights or other interests are outstanding on any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Indebtedness that is convertible into any Equity Interests shall not constitute Equity Interests prior to the conversion thereof.</w:t>
      </w:r>
    </w:p>
    <w:p>
      <w:pPr>
        <w:spacing w:after="0" w:line="135" w:lineRule="exact"/>
        <w:rPr>
          <w:sz w:val="20"/>
          <w:szCs w:val="20"/>
          <w:color w:val="auto"/>
        </w:rPr>
      </w:pPr>
    </w:p>
    <w:p>
      <w:pPr>
        <w:jc w:val="both"/>
        <w:ind w:firstLine="62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 from time to time, and the rules and regulations promulgated thereunder.</w:t>
      </w:r>
    </w:p>
    <w:p>
      <w:pPr>
        <w:spacing w:after="0" w:line="115" w:lineRule="exact"/>
        <w:rPr>
          <w:sz w:val="20"/>
          <w:szCs w:val="20"/>
          <w:color w:val="auto"/>
        </w:rPr>
      </w:pPr>
    </w:p>
    <w:p>
      <w:pPr>
        <w:jc w:val="both"/>
        <w:ind w:firstLine="624"/>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trade or business (whether or not incorporated) under common control with Borrower within the meaning of Section 414(b) or (c) of the Code or Section 4001(14) of ERISA (and Sections 414(m) and (o) of the Code for purposes of provisions relating to Section 412 of the Code).</w:t>
      </w:r>
    </w:p>
    <w:p>
      <w:pPr>
        <w:spacing w:after="0" w:line="152" w:lineRule="exact"/>
        <w:rPr>
          <w:sz w:val="20"/>
          <w:szCs w:val="20"/>
          <w:color w:val="auto"/>
        </w:rPr>
      </w:pPr>
    </w:p>
    <w:p>
      <w:pPr>
        <w:jc w:val="both"/>
        <w:ind w:firstLine="624"/>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or Multiemployer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(within the meaning of Sections 4203 and 4205 of ERISA) by the Borrower or any ERISA Affiliate from a Multiemployer Plan if there is any potential liability therefor, (d) the filing by a Pension Plan administrator of a notice of intent to terminate pursuant to Section 4041(a)(2) of ERISA or the commencement of proceedings by the PBGC to terminate pursuant to Section 4042 of ERISA, a Pension Plan or Multiemployer Plan, (e) the appointment of a trustee to administer any Pension Plan or Multiemployer Plan, (f) the incurrence by the Borrower or any ERISA Affiliate of any liability under Title IV of ERISA with respect to the termination of any Pension Plan pursuant to Section 4041 of ERISA or (g) the determination that any Pension Plan or Multiemployer Plan is considered an at-risk plan or a plan in endangered or critical status within the meaning of Sections 430, 431 and 432 of the Code or Sections 303, 304 and 305 of ERISA.</w:t>
      </w:r>
    </w:p>
    <w:p>
      <w:pPr>
        <w:spacing w:after="0" w:line="151" w:lineRule="exact"/>
        <w:rPr>
          <w:sz w:val="20"/>
          <w:szCs w:val="20"/>
          <w:color w:val="auto"/>
        </w:rPr>
      </w:pPr>
    </w:p>
    <w:p>
      <w:pPr>
        <w:jc w:val="both"/>
        <w:ind w:firstLine="62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24"/>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Rate</w:t>
      </w:r>
      <w:r>
        <w:rPr>
          <w:rFonts w:ascii="Times New Roman" w:cs="Times New Roman" w:eastAsia="Times New Roman" w:hAnsi="Times New Roman"/>
          <w:sz w:val="21"/>
          <w:szCs w:val="21"/>
          <w:color w:val="auto"/>
        </w:rPr>
        <w:t xml:space="preserve">” means on any day, for purposes of determining the US Dollar Equivalent of any currency other than US Dollars, the rate at which such other currency may be exchanged into US Dollars (or, solely for purposes of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 xml:space="preserve">, the rate at which US Dollars may be exchanged into such other currency) at the time of determination on such day as last provided (either by publication or otherwise provided to the Administrative Agent) by the applicable Reuters source on the Business Day (New York City time) immediately preceding the date of determination. In the event that such rate is not so provided to the Administrative Agent, the Exchange Rate shall be determined by reference to such other publicly available service for displaying exchange rates as may be agreed upon by the Administrative Agent and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absence of such an agreement, the Administrative Agent may use any reasonable method it deems appropriate to determine such rate,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71" w:right="339" w:bottom="1440" w:gutter="0" w:footer="0" w:header="0"/>
        </w:sectPr>
      </w:pPr>
    </w:p>
    <w:bookmarkStart w:id="124" w:name="page125"/>
    <w:bookmarkEnd w:id="124"/>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with respect to the Administrative Agent, any Lender, any L/C Issuer or any other recipient of any payment to be made by or on account of any obligation of the Loan Parties hereunder or under any other Loan Document, (a) Taxes imposed on or measured by its net income (however denominated), branch profits Taxes and franchise Taxes, in each case, (i) imposed on it, by the United States (or any political subdivision or taxing authority thereof or therein), or by the jurisdiction (or any political subdivision or taxing authority thereof or therein) under the Laws of which such recipient is organized or in which its principal office is located or, in the case of any Lender, in which its applicable Lending Office is located, or (ii) that are Other Connection Taxes, (b) any withholding Tax that is imposed by the United States on amounts payable to a recipient with respect to an applicable interest in the Loan or Commitment pursuant to any Law in effect at the time such recipient acquires such interest in the Loan or Commitment (other than pursuant to an assignment request by the Borrower under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or designates a new Lending Office, except to the extent that such recipient (or its assignor, in the case of an assignment) was entitled, immediately before the designation of a new Lending Office (or assignment), to receive additional amounts from the Loan Parties with respect to such withholding Tax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(c) any Tax that is attributable to a recipient’s failure to comply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3.01(g)</w:t>
      </w:r>
      <w:r>
        <w:rPr>
          <w:rFonts w:ascii="Times New Roman" w:cs="Times New Roman" w:eastAsia="Times New Roman" w:hAnsi="Times New Roman"/>
          <w:sz w:val="21"/>
          <w:szCs w:val="21"/>
          <w:color w:val="auto"/>
        </w:rPr>
        <w:t>, and (d) any withholding Taxes imposed pursuant to FATCA.</w:t>
      </w:r>
    </w:p>
    <w:p>
      <w:pPr>
        <w:spacing w:after="0" w:line="176"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 of Credit</w:t>
      </w:r>
      <w:r>
        <w:rPr>
          <w:rFonts w:ascii="Times New Roman" w:cs="Times New Roman" w:eastAsia="Times New Roman" w:hAnsi="Times New Roman"/>
          <w:sz w:val="21"/>
          <w:szCs w:val="21"/>
          <w:color w:val="auto"/>
        </w:rPr>
        <w:t xml:space="preserve">” means any letter of credit issued and outstanding as of the Effective Date and listed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issuer thereof is a Lender as of the Effective Date. Each such letter of credit so designated shall be deemed to constitute a Letter of Credit and a Letter of Credit issued hereunder on the Effective Date for all purposes under this Agreement and the other Loan Documents.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FASB ASC</w:t>
      </w:r>
      <w:r>
        <w:rPr>
          <w:rFonts w:ascii="Times New Roman" w:cs="Times New Roman" w:eastAsia="Times New Roman" w:hAnsi="Times New Roman"/>
          <w:sz w:val="21"/>
          <w:szCs w:val="21"/>
          <w:color w:val="auto"/>
        </w:rPr>
        <w:t>” means the Accounting Standards Codification of the Financial Accounting Standards Board.</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66"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rate as so determined would be be less than zero, such rate shall be deemed to be zero for all purposes of this Agreement.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71" w:right="339" w:bottom="1440" w:gutter="0" w:footer="0" w:header="0"/>
        </w:sectPr>
      </w:pPr>
    </w:p>
    <w:bookmarkStart w:id="125" w:name="page126"/>
    <w:bookmarkEnd w:id="125"/>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Borrower ending on December 31st of each calendar year.</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not a US Person.</w:t>
      </w:r>
    </w:p>
    <w:p>
      <w:pPr>
        <w:spacing w:after="0" w:line="196" w:lineRule="exact"/>
        <w:rPr>
          <w:sz w:val="20"/>
          <w:szCs w:val="20"/>
          <w:color w:val="auto"/>
        </w:rPr>
      </w:pPr>
    </w:p>
    <w:p>
      <w:pPr>
        <w:jc w:val="both"/>
        <w:ind w:firstLine="624"/>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Exposure</w:t>
      </w:r>
      <w:r>
        <w:rPr>
          <w:rFonts w:ascii="Times New Roman" w:cs="Times New Roman" w:eastAsia="Times New Roman" w:hAnsi="Times New Roman"/>
          <w:sz w:val="21"/>
          <w:szCs w:val="21"/>
          <w:color w:val="auto"/>
        </w:rPr>
        <w:t>” means, at any time there is a Defaulting Lender, with respect to any L/C Issuer, such Defaulting Lender’s Applicable Percentage of the outstanding L/C Obligations with respect to Letters of Credit issued by such L/C Issuer, other than any such L/C Obligations as to which such Defaulting Lender’s participation obligation has been reallocated to other Lenders or Cash Collateralized in accordance with the terms hereof.</w:t>
      </w:r>
    </w:p>
    <w:p>
      <w:pPr>
        <w:spacing w:after="0" w:line="148"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w:t>
      </w:r>
      <w:r>
        <w:rPr>
          <w:rFonts w:ascii="Times New Roman" w:cs="Times New Roman" w:eastAsia="Times New Roman" w:hAnsi="Times New Roman"/>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15" w:lineRule="exact"/>
        <w:rPr>
          <w:sz w:val="20"/>
          <w:szCs w:val="20"/>
          <w:color w:val="auto"/>
        </w:rPr>
      </w:pPr>
    </w:p>
    <w:p>
      <w:pPr>
        <w:jc w:val="both"/>
        <w:ind w:firstLine="62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generally accepted accounting principles in the United States, applied in accordance with the consistency requirements thereof.</w:t>
      </w:r>
    </w:p>
    <w:p>
      <w:pPr>
        <w:spacing w:after="0" w:line="128" w:lineRule="exact"/>
        <w:rPr>
          <w:sz w:val="20"/>
          <w:szCs w:val="20"/>
          <w:color w:val="auto"/>
        </w:rPr>
      </w:pPr>
    </w:p>
    <w:p>
      <w:pPr>
        <w:jc w:val="both"/>
        <w:ind w:firstLine="624"/>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8" w:lineRule="exact"/>
        <w:rPr>
          <w:sz w:val="20"/>
          <w:szCs w:val="20"/>
          <w:color w:val="auto"/>
        </w:rPr>
      </w:pPr>
    </w:p>
    <w:p>
      <w:pPr>
        <w:jc w:val="both"/>
        <w:ind w:firstLine="624"/>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1"/>
          <w:szCs w:val="21"/>
          <w:u w:val="single" w:color="auto"/>
          <w:color w:val="auto"/>
        </w:rPr>
        <w:t>primary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obligor</w:t>
      </w:r>
      <w:r>
        <w:rPr>
          <w:rFonts w:ascii="Times New Roman" w:cs="Times New Roman" w:eastAsia="Times New Roman" w:hAnsi="Times New Roman"/>
          <w:sz w:val="21"/>
          <w:szCs w:val="21"/>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will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as a verb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58" w:right="339" w:bottom="1440" w:gutter="0" w:footer="0" w:header="0"/>
        </w:sectPr>
      </w:pPr>
    </w:p>
    <w:bookmarkStart w:id="126" w:name="page127"/>
    <w:bookmarkEnd w:id="126"/>
    <w:p>
      <w:pPr>
        <w:jc w:val="both"/>
        <w:ind w:right="20"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Guaranteed Parties</w:t>
      </w:r>
      <w:r>
        <w:rPr>
          <w:rFonts w:ascii="Times New Roman" w:cs="Times New Roman" w:eastAsia="Times New Roman" w:hAnsi="Times New Roman"/>
          <w:sz w:val="21"/>
          <w:szCs w:val="21"/>
          <w:color w:val="auto"/>
        </w:rPr>
        <w:t>” means, collectively, the Administrative Agent, the Arrangers, the Lenders, each L/C Issuer and each Indemnitee.</w:t>
      </w:r>
    </w:p>
    <w:p>
      <w:pPr>
        <w:spacing w:after="0" w:line="14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 Counterpart</w:t>
      </w:r>
      <w:r>
        <w:rPr>
          <w:rFonts w:ascii="Times New Roman" w:cs="Times New Roman" w:eastAsia="Times New Roman" w:hAnsi="Times New Roman"/>
          <w:sz w:val="21"/>
          <w:szCs w:val="21"/>
          <w:color w:val="auto"/>
        </w:rPr>
        <w:t xml:space="preserve">” means the Guarantor Counterpart Agreement to be entered into by the Borrower (if applicable) or any Domestic Subsidiary that may become a Subsidiary Guarantor after the Effective Date, in each case, in favor of the Administrative Agent,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with such modifications thereto as may be reasonably agreed by the Administrative Agent and Borrower in accordance with </w:t>
      </w:r>
      <w:r>
        <w:rPr>
          <w:rFonts w:ascii="Times New Roman" w:cs="Times New Roman" w:eastAsia="Times New Roman" w:hAnsi="Times New Roman"/>
          <w:sz w:val="21"/>
          <w:szCs w:val="21"/>
          <w:u w:val="single" w:color="auto"/>
          <w:color w:val="auto"/>
        </w:rPr>
        <w:t>Section 10.10(b)</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means, collectively, the Subsidiary Guarantors.</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all explosive, radioactive, hazardous or toxic substances or wastes and other pollutants, including petroleum or petroleum distillates, asbestos or asbestos-containing materials, polychlorinated biphenyls, radon gas, infectious or medical wastes, in each case, that are regulated, or for which liability may be imposed, pursuant to any Environmental Law.</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Effective Date</w:t>
      </w:r>
      <w:r>
        <w:rPr>
          <w:rFonts w:ascii="Times New Roman" w:cs="Times New Roman" w:eastAsia="Times New Roman" w:hAnsi="Times New Roman"/>
          <w:sz w:val="21"/>
          <w:szCs w:val="21"/>
          <w:color w:val="auto"/>
        </w:rPr>
        <w:t>” has the meaning specified in Section 2.14(d).</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Joinder Agreement</w:t>
      </w:r>
      <w:r>
        <w:rPr>
          <w:rFonts w:ascii="Times New Roman" w:cs="Times New Roman" w:eastAsia="Times New Roman" w:hAnsi="Times New Roman"/>
          <w:sz w:val="21"/>
          <w:szCs w:val="21"/>
          <w:color w:val="auto"/>
        </w:rPr>
        <w:t xml:space="preserve">” means a joinder agreement among the Borrower, the Administrative Agent and one or more Eligible Assignees that, pursuant to such agreement, provides a Commitment as contemplated by </w:t>
      </w:r>
      <w:r>
        <w:rPr>
          <w:rFonts w:ascii="Times New Roman" w:cs="Times New Roman" w:eastAsia="Times New Roman" w:hAnsi="Times New Roman"/>
          <w:sz w:val="21"/>
          <w:szCs w:val="21"/>
          <w:u w:val="single" w:color="auto"/>
          <w:color w:val="auto"/>
        </w:rPr>
        <w:t>Section 2.14(c)</w:t>
      </w:r>
      <w:r>
        <w:rPr>
          <w:rFonts w:ascii="Times New Roman" w:cs="Times New Roman" w:eastAsia="Times New Roman" w:hAnsi="Times New Roman"/>
          <w:sz w:val="21"/>
          <w:szCs w:val="21"/>
          <w:color w:val="auto"/>
        </w:rPr>
        <w:t>, in each case in form and substance reasonably satisfactory to the Administrative Agent.</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 Amendment</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to any Person at any time, without duplication, all of the following, whether or not included as indebtedness or liabilities in accordance with GAAP:</w:t>
      </w:r>
    </w:p>
    <w:p>
      <w:pPr>
        <w:spacing w:after="0" w:line="129" w:lineRule="exact"/>
        <w:rPr>
          <w:sz w:val="20"/>
          <w:szCs w:val="20"/>
          <w:color w:val="auto"/>
        </w:rPr>
      </w:pPr>
    </w:p>
    <w:p>
      <w:pPr>
        <w:ind w:firstLine="718"/>
        <w:spacing w:after="0" w:line="285" w:lineRule="auto"/>
        <w:tabs>
          <w:tab w:leader="none" w:pos="126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w:t>
      </w:r>
    </w:p>
    <w:p>
      <w:pPr>
        <w:spacing w:after="0" w:line="141"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 or contingent obligations of such Person arising under letters of credit (including standby and commercial), bankers’ acceptances, bank guarantees, surety bonds and similar instruments;</w:t>
      </w:r>
    </w:p>
    <w:p>
      <w:pPr>
        <w:spacing w:after="0" w:line="155"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obligations of such Person under any Swap Contract;</w:t>
      </w:r>
    </w:p>
    <w:p>
      <w:pPr>
        <w:spacing w:after="0" w:line="222"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pay the deferred purchase price of property or services (other than trade accounts payable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71" w:right="339" w:bottom="1440" w:gutter="0" w:footer="0" w:header="0"/>
        </w:sectPr>
      </w:pPr>
    </w:p>
    <w:bookmarkStart w:id="127" w:name="page128"/>
    <w:bookmarkEnd w:id="127"/>
    <w:p>
      <w:pPr>
        <w:spacing w:after="0" w:line="285" w:lineRule="auto"/>
        <w:rPr>
          <w:sz w:val="20"/>
          <w:szCs w:val="20"/>
          <w:color w:val="auto"/>
        </w:rPr>
      </w:pPr>
      <w:r>
        <w:rPr>
          <w:rFonts w:ascii="Times New Roman" w:cs="Times New Roman" w:eastAsia="Times New Roman" w:hAnsi="Times New Roman"/>
          <w:sz w:val="21"/>
          <w:szCs w:val="21"/>
          <w:color w:val="auto"/>
        </w:rPr>
        <w:t xml:space="preserve">and purchase price adjustments, earnouts and similar contingent payments due with respect to Acquisitions either permitted hereby or completed prior to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w:t>
      </w:r>
    </w:p>
    <w:p>
      <w:pPr>
        <w:spacing w:after="0" w:line="129" w:lineRule="exact"/>
        <w:rPr>
          <w:sz w:val="20"/>
          <w:szCs w:val="20"/>
          <w:color w:val="auto"/>
        </w:rPr>
      </w:pPr>
    </w:p>
    <w:p>
      <w:pPr>
        <w:jc w:val="both"/>
        <w:ind w:firstLine="718"/>
        <w:spacing w:after="0" w:line="267" w:lineRule="auto"/>
        <w:tabs>
          <w:tab w:leader="none" w:pos="126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which would constitute Indebtedness of any other Person (excluding prepaid interest thereon) secured by a Lien on property owned or being purchased by such Person (including indebtedness arising under conditional sales or other title retention agreements), whether or not such indebtedness will have been assumed by such Person or is limited in recourse;</w:t>
      </w:r>
    </w:p>
    <w:p>
      <w:pPr>
        <w:spacing w:after="0" w:line="148"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Lease Obligations; and</w:t>
      </w:r>
    </w:p>
    <w:p>
      <w:pPr>
        <w:spacing w:after="0" w:line="209"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Guarantees of such Person in respect of any of the foregoing of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Indebtedness shall not include any performance guarantee or any other Guarantee that is not a Guarantee of other Indebtedness.</w:t>
      </w:r>
    </w:p>
    <w:p>
      <w:pPr>
        <w:spacing w:after="0" w:line="12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For all purposes hereof, the Indebtedness of any Person will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(except for customary exceptions to non-recourse provisions such as fraud, misappropriation of funds and environmental liabilities). The amount of any net obligation under any Swap Contract on any date will be deemed to be the Swap Termination Value thereof as of such date.</w:t>
      </w:r>
    </w:p>
    <w:p>
      <w:pPr>
        <w:spacing w:after="0" w:line="153"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Other Taxes (other than any such Taxes that are Excluded Taxes).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11.04(b)</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xml:space="preserve">” means (a) a natural person, (b) any Defaulting Lender or any of its Subsidiaries, or any Person that,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(c) the Borrower, or any of its Subsidiaries or any of its Affiliates, (d) a company, investment vehicle or trust for, or owned and operated for the primary benefit of, a natural person or relative(s) thereof, or (e) unless the Borrower’s prior consent is obtained and in accordance with </w:t>
      </w:r>
      <w:r>
        <w:rPr>
          <w:rFonts w:ascii="Times New Roman" w:cs="Times New Roman" w:eastAsia="Times New Roman" w:hAnsi="Times New Roman"/>
          <w:sz w:val="21"/>
          <w:szCs w:val="21"/>
          <w:u w:val="single" w:color="auto"/>
          <w:color w:val="auto"/>
        </w:rPr>
        <w:t>Section 11.06(h)</w:t>
      </w:r>
      <w:r>
        <w:rPr>
          <w:rFonts w:ascii="Times New Roman" w:cs="Times New Roman" w:eastAsia="Times New Roman" w:hAnsi="Times New Roman"/>
          <w:sz w:val="21"/>
          <w:szCs w:val="21"/>
          <w:color w:val="auto"/>
        </w:rPr>
        <w:t>, a Disqualified Competitor.</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as to any Absolute Rate Loan and any Term Benchmark Loan, the last day of each Interest Period applicable to such Loan and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if any Interest Period for a Term Benchmark Loan exceeds three (3) months, the respective dates that fall every three (3) months after the beginning of such Interest Period will also be Interest Payment Dates therefor and (ii) if any Interest Period for an Absolute Rate Loan exceeds ninety (90) days, then,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71" w:right="339" w:bottom="1440" w:gutter="0" w:footer="0" w:header="0"/>
        </w:sectPr>
      </w:pPr>
    </w:p>
    <w:bookmarkStart w:id="128" w:name="page129"/>
    <w:bookmarkEnd w:id="128"/>
    <w:p>
      <w:pPr>
        <w:jc w:val="both"/>
        <w:spacing w:after="0" w:line="262" w:lineRule="auto"/>
        <w:rPr>
          <w:sz w:val="20"/>
          <w:szCs w:val="20"/>
          <w:color w:val="auto"/>
        </w:rPr>
      </w:pPr>
      <w:r>
        <w:rPr>
          <w:rFonts w:ascii="Times New Roman" w:cs="Times New Roman" w:eastAsia="Times New Roman" w:hAnsi="Times New Roman"/>
          <w:sz w:val="21"/>
          <w:szCs w:val="21"/>
          <w:color w:val="auto"/>
        </w:rPr>
        <w:t>otherwise specified in the applicable Bid Request, each day prior to the last day of such Interest Period that occurs at intervals of ninety (90) days will also be an Interest Payment Date therefor,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as to any Base Rate Loan, the first Business Day following the last day of each March, June, September and December and the Maturity Date.</w:t>
      </w:r>
    </w:p>
    <w:p>
      <w:pPr>
        <w:spacing w:after="0" w:line="153"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(a) as to each Term Benchmark Loan, the period commencing on the date such Term Benchmark Loan is disbursed or converted to or continued as a Term Benchmark Loan and ending on the numerically corresponding day that is one, three or six months thereafter (in each case, subject to the availability for the Benchmark applicable to the relevant Loan or Commitment), as selected by the Borrower in the applicable Committed Loan Notice or Bid Request, as the case may be, and (b) as to each Absolute Rate Loan, a period of not less than 14 days and not more than 180 days, as selected by the Borrower in the applicable Bid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46" w:lineRule="exact"/>
        <w:rPr>
          <w:sz w:val="20"/>
          <w:szCs w:val="20"/>
          <w:color w:val="auto"/>
        </w:rPr>
      </w:pPr>
    </w:p>
    <w:p>
      <w:pPr>
        <w:jc w:val="both"/>
        <w:ind w:left="640" w:firstLine="638"/>
        <w:spacing w:after="0" w:line="274" w:lineRule="auto"/>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in the case of a Term Benchmark Loan, such Business Day falls in another calendar month, in which case such Interest Period shall end on the immediately preceding Business Day;</w:t>
      </w:r>
    </w:p>
    <w:p>
      <w:pPr>
        <w:spacing w:after="0" w:line="140"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pertaining to a Term Benchmark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48"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will extend beyond the Maturity Date; and</w:t>
      </w:r>
    </w:p>
    <w:p>
      <w:pPr>
        <w:spacing w:after="0" w:line="209" w:lineRule="exact"/>
        <w:rPr>
          <w:rFonts w:ascii="Times New Roman" w:cs="Times New Roman" w:eastAsia="Times New Roman" w:hAnsi="Times New Roman"/>
          <w:sz w:val="21"/>
          <w:szCs w:val="21"/>
          <w:color w:val="auto"/>
        </w:rPr>
      </w:pPr>
    </w:p>
    <w:p>
      <w:pPr>
        <w:ind w:left="640" w:firstLine="638"/>
        <w:spacing w:after="0" w:line="285" w:lineRule="auto"/>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tenor that has been removed from this definition pursuant to Section 2.17(e) shall be available for specification in such </w:t>
      </w:r>
      <w:r>
        <w:rPr>
          <w:rFonts w:ascii="Times New Roman" w:cs="Times New Roman" w:eastAsia="Times New Roman" w:hAnsi="Times New Roman"/>
          <w:sz w:val="21"/>
          <w:szCs w:val="21"/>
          <w:b w:val="1"/>
          <w:bCs w:val="1"/>
          <w:color w:val="FF0000"/>
          <w:strike w:val="1"/>
        </w:rPr>
        <w:t>committed</w:t>
      </w:r>
      <w:r>
        <w:rPr>
          <w:rFonts w:ascii="Times New Roman" w:cs="Times New Roman" w:eastAsia="Times New Roman" w:hAnsi="Times New Roman"/>
          <w:sz w:val="21"/>
          <w:szCs w:val="21"/>
          <w:b w:val="1"/>
          <w:bCs w:val="1"/>
          <w:u w:val="single" w:color="auto"/>
          <w:color w:val="0000FF"/>
        </w:rPr>
        <w:t>Committed</w:t>
      </w:r>
      <w:r>
        <w:rPr>
          <w:rFonts w:ascii="Times New Roman" w:cs="Times New Roman" w:eastAsia="Times New Roman" w:hAnsi="Times New Roman"/>
          <w:sz w:val="21"/>
          <w:szCs w:val="21"/>
          <w:color w:val="auto"/>
        </w:rPr>
        <w:t xml:space="preserve"> Loan Notice or Bid Request.</w:t>
      </w:r>
    </w:p>
    <w:p>
      <w:pPr>
        <w:spacing w:after="0" w:line="129" w:lineRule="exact"/>
        <w:rPr>
          <w:sz w:val="20"/>
          <w:szCs w:val="20"/>
          <w:color w:val="auto"/>
        </w:rPr>
      </w:pPr>
    </w:p>
    <w:p>
      <w:pPr>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 Rights</w:t>
      </w:r>
      <w:r>
        <w:rPr>
          <w:rFonts w:ascii="Times New Roman" w:cs="Times New Roman" w:eastAsia="Times New Roman" w:hAnsi="Times New Roman"/>
          <w:sz w:val="21"/>
          <w:szCs w:val="21"/>
          <w:color w:val="auto"/>
        </w:rPr>
        <w:t>” means trademarks, service marks, trade names, copyrights, patents, patent rights, franchises, licenses and other intellectual property rights.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means the United States Internal Revenue Service.</w:t>
      </w:r>
    </w:p>
    <w:p>
      <w:pPr>
        <w:spacing w:after="0" w:line="209" w:lineRule="exact"/>
        <w:rPr>
          <w:sz w:val="20"/>
          <w:szCs w:val="20"/>
          <w:color w:val="auto"/>
        </w:rPr>
      </w:pPr>
    </w:p>
    <w:p>
      <w:pPr>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xml:space="preserve"> ” means, with respect to any Letter of Credit, the “International Standby Practices 1998” published in the International Chamber of Commerce Publication No. 590 (or such later version thereof as may be in effect at the time of issuance).</w:t>
      </w:r>
    </w:p>
    <w:p>
      <w:pPr>
        <w:spacing w:after="0" w:line="129" w:lineRule="exact"/>
        <w:rPr>
          <w:sz w:val="20"/>
          <w:szCs w:val="20"/>
          <w:color w:val="auto"/>
        </w:rPr>
      </w:pPr>
    </w:p>
    <w:p>
      <w:pPr>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Issuer Documents</w:t>
      </w:r>
      <w:r>
        <w:rPr>
          <w:rFonts w:ascii="Times New Roman" w:cs="Times New Roman" w:eastAsia="Times New Roman" w:hAnsi="Times New Roman"/>
          <w:sz w:val="21"/>
          <w:szCs w:val="21"/>
          <w:color w:val="auto"/>
        </w:rPr>
        <w:t>” means with respect to any Letter of Credit, the Letter of Credit Application and any other document, agreement and instrument (other than this Agreement or any other Loan Document) entered into by the applicable L/C Issuer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71" w:right="339" w:bottom="1440" w:gutter="0" w:footer="0" w:header="0"/>
        </w:sectPr>
      </w:pPr>
    </w:p>
    <w:bookmarkStart w:id="129" w:name="page130"/>
    <w:bookmarkEnd w:id="129"/>
    <w:p>
      <w:pPr>
        <w:jc w:val="both"/>
        <w:spacing w:after="0" w:line="285" w:lineRule="auto"/>
        <w:rPr>
          <w:sz w:val="20"/>
          <w:szCs w:val="20"/>
          <w:color w:val="auto"/>
        </w:rPr>
      </w:pPr>
      <w:r>
        <w:rPr>
          <w:rFonts w:ascii="Times New Roman" w:cs="Times New Roman" w:eastAsia="Times New Roman" w:hAnsi="Times New Roman"/>
          <w:sz w:val="21"/>
          <w:szCs w:val="21"/>
          <w:color w:val="auto"/>
        </w:rPr>
        <w:t>the Borrower (or any Subsidiary of the Borrower that is a co-applicant in respect thereof) or in favor of such L/C Issuer and relating to such Letter of Credit.</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JPMCB</w:t>
      </w:r>
      <w:r>
        <w:rPr>
          <w:rFonts w:ascii="Times New Roman" w:cs="Times New Roman" w:eastAsia="Times New Roman" w:hAnsi="Times New Roman"/>
          <w:sz w:val="21"/>
          <w:szCs w:val="21"/>
          <w:color w:val="auto"/>
        </w:rPr>
        <w:t>” means JPMorgan Chase Bank, N.A. and its successors.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39"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Advance</w:t>
      </w:r>
      <w:r>
        <w:rPr>
          <w:rFonts w:ascii="Times New Roman" w:cs="Times New Roman" w:eastAsia="Times New Roman" w:hAnsi="Times New Roman"/>
          <w:sz w:val="21"/>
          <w:szCs w:val="21"/>
          <w:color w:val="auto"/>
        </w:rPr>
        <w:t>” means, with respect to each Lender, such Lender’s funding of its participation in any L/C Borrowing in accordance with its Applicable Percentage.</w:t>
      </w:r>
    </w:p>
    <w:p>
      <w:pPr>
        <w:spacing w:after="0" w:line="103"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Borrowing</w:t>
      </w:r>
      <w:r>
        <w:rPr>
          <w:rFonts w:ascii="Times New Roman" w:cs="Times New Roman" w:eastAsia="Times New Roman" w:hAnsi="Times New Roman"/>
          <w:sz w:val="21"/>
          <w:szCs w:val="21"/>
          <w:color w:val="auto"/>
        </w:rPr>
        <w:t>” means an extension of credit resulting from a drawing under any Letter of Credit that has not been reimbursed on the date when made or refinanced as a Committed Borrowing.</w:t>
      </w:r>
    </w:p>
    <w:p>
      <w:pPr>
        <w:spacing w:after="0" w:line="11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Credit Extension</w:t>
      </w:r>
      <w:r>
        <w:rPr>
          <w:rFonts w:ascii="Times New Roman" w:cs="Times New Roman" w:eastAsia="Times New Roman" w:hAnsi="Times New Roman"/>
          <w:sz w:val="21"/>
          <w:szCs w:val="21"/>
          <w:color w:val="auto"/>
        </w:rPr>
        <w:t>” means, with respect to any Letter of Credit, the issuance or renewal thereof or extension of the expiry date thereof, or the increase of the amount thereof.</w:t>
      </w:r>
    </w:p>
    <w:p>
      <w:pPr>
        <w:spacing w:after="0" w:line="115"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means (a) JPMCB and (b) any other Lender that agrees to act in such capacity appointed by the Borrower with the consent of the Administrative Agent (such consent not to be unreasonably withheld, conditioned or delayed), such appointment evidenced by a written agreement, in form and substance reasonably satisfactory to the Administrative Agent and the Borrower, executed by the Borrower, the Administrative Agent and such appointed Lender. Each L/C Issuer may, in its discretion, arrange for one or more Letters of Credit to be issued by Affiliates </w:t>
      </w:r>
      <w:r>
        <w:rPr>
          <w:rFonts w:ascii="Times New Roman" w:cs="Times New Roman" w:eastAsia="Times New Roman" w:hAnsi="Times New Roman"/>
          <w:sz w:val="21"/>
          <w:szCs w:val="21"/>
          <w:b w:val="1"/>
          <w:bCs w:val="1"/>
          <w:u w:val="single" w:color="auto"/>
          <w:color w:val="0000FF"/>
        </w:rPr>
        <w:t>or branch offices</w:t>
      </w:r>
      <w:r>
        <w:rPr>
          <w:rFonts w:ascii="Times New Roman" w:cs="Times New Roman" w:eastAsia="Times New Roman" w:hAnsi="Times New Roman"/>
          <w:sz w:val="21"/>
          <w:szCs w:val="21"/>
          <w:color w:val="auto"/>
        </w:rPr>
        <w:t xml:space="preserve"> of such L/C Issuer, in which case the term “L/C Issuer” shall include any such Affiliate </w:t>
      </w:r>
      <w:r>
        <w:rPr>
          <w:rFonts w:ascii="Times New Roman" w:cs="Times New Roman" w:eastAsia="Times New Roman" w:hAnsi="Times New Roman"/>
          <w:sz w:val="21"/>
          <w:szCs w:val="21"/>
          <w:b w:val="1"/>
          <w:bCs w:val="1"/>
          <w:u w:val="single" w:color="auto"/>
          <w:color w:val="0000FF"/>
        </w:rPr>
        <w:t>or branch office</w:t>
      </w:r>
      <w:r>
        <w:rPr>
          <w:rFonts w:ascii="Times New Roman" w:cs="Times New Roman" w:eastAsia="Times New Roman" w:hAnsi="Times New Roman"/>
          <w:sz w:val="21"/>
          <w:szCs w:val="21"/>
          <w:color w:val="auto"/>
        </w:rPr>
        <w:t xml:space="preserve"> with respect to Letters of Credit issued by such Affiliate (it being agreed that such L/C Issuer shall, or shall cause such Affiliate </w:t>
      </w:r>
      <w:r>
        <w:rPr>
          <w:rFonts w:ascii="Times New Roman" w:cs="Times New Roman" w:eastAsia="Times New Roman" w:hAnsi="Times New Roman"/>
          <w:sz w:val="21"/>
          <w:szCs w:val="21"/>
          <w:b w:val="1"/>
          <w:bCs w:val="1"/>
          <w:u w:val="single" w:color="auto"/>
          <w:color w:val="0000FF"/>
        </w:rPr>
        <w:t>or branch office</w:t>
      </w:r>
      <w:r>
        <w:rPr>
          <w:rFonts w:ascii="Times New Roman" w:cs="Times New Roman" w:eastAsia="Times New Roman" w:hAnsi="Times New Roman"/>
          <w:sz w:val="21"/>
          <w:szCs w:val="21"/>
          <w:color w:val="auto"/>
        </w:rPr>
        <w:t xml:space="preserve"> to, comply with the requirements of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with respect to such Letters of Credit). Each reference herein to the “L/C Issuer” in connection with a Letter of Credit or other matter shall be deemed to be a reference to the relevant L/C Issuer with respect thereto.</w:t>
      </w:r>
    </w:p>
    <w:p>
      <w:pPr>
        <w:spacing w:after="0" w:line="15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Obligations</w:t>
      </w:r>
      <w:r>
        <w:rPr>
          <w:rFonts w:ascii="Times New Roman" w:cs="Times New Roman" w:eastAsia="Times New Roman" w:hAnsi="Times New Roman"/>
          <w:sz w:val="21"/>
          <w:szCs w:val="21"/>
          <w:color w:val="auto"/>
        </w:rPr>
        <w:t xml:space="preserve">” means, as of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will be determined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71"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w:t>
      </w:r>
      <w:r>
        <w:rPr>
          <w:rFonts w:ascii="Times New Roman" w:cs="Times New Roman" w:eastAsia="Times New Roman" w:hAnsi="Times New Roman"/>
          <w:sz w:val="21"/>
          <w:szCs w:val="21"/>
          <w:b w:val="1"/>
          <w:bCs w:val="1"/>
          <w:u w:val="single" w:color="auto"/>
          <w:color w:val="0000FF"/>
        </w:rPr>
        <w:t>in the governing rules or laws or</w:t>
      </w:r>
      <w:r>
        <w:rPr>
          <w:rFonts w:ascii="Times New Roman" w:cs="Times New Roman" w:eastAsia="Times New Roman" w:hAnsi="Times New Roman"/>
          <w:sz w:val="21"/>
          <w:szCs w:val="21"/>
          <w:color w:val="auto"/>
        </w:rPr>
        <w:t xml:space="preserve">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11.04(d)</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xml:space="preserve">” means the Persons listed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and any other Person that shall have become a party hereto pursuant to an Assignment and Assumption or an Incremental Joinder Agreement, other than any such Person that shall have ceased to be a party hereto pursuant to an Assignment and Assumption. Unless the context otherwise requires, the term “Lenders” includes the L/C Issuers.</w:t>
      </w:r>
    </w:p>
    <w:p>
      <w:pPr>
        <w:spacing w:after="0" w:line="169"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Lending Office</w:t>
      </w:r>
      <w:r>
        <w:rPr>
          <w:rFonts w:ascii="Times New Roman" w:cs="Times New Roman" w:eastAsia="Times New Roman" w:hAnsi="Times New Roman"/>
          <w:sz w:val="21"/>
          <w:szCs w:val="21"/>
          <w:color w:val="auto"/>
        </w:rPr>
        <w:t>” means, as to any Lender, the office or branch of such Lender described as such in such Lender’s Administrative Questionnaire, or such other office or branch as such Lender may from time to time notify to the Borrower, and the Administrative Agent.</w:t>
      </w:r>
    </w:p>
    <w:p>
      <w:pPr>
        <w:spacing w:after="0" w:line="153"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any letter of credit issued or deemed to have been issued hereunder, including each Existing Letter of Credit.</w:t>
      </w:r>
    </w:p>
    <w:p>
      <w:pPr>
        <w:spacing w:after="0" w:line="14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Application</w:t>
      </w:r>
      <w:r>
        <w:rPr>
          <w:rFonts w:ascii="Times New Roman" w:cs="Times New Roman" w:eastAsia="Times New Roman" w:hAnsi="Times New Roman"/>
          <w:sz w:val="21"/>
          <w:szCs w:val="21"/>
          <w:color w:val="auto"/>
        </w:rPr>
        <w:t>” means an application and agreement for the issuance or amendment of a Letter of Credit in the form from time to time in use by the applicable L/C Issuer and provided to the Borrower upon its request for such issuance or amendment of such Letter of Credit.</w:t>
      </w:r>
    </w:p>
    <w:p>
      <w:pPr>
        <w:spacing w:after="0" w:line="153"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Commitment</w:t>
      </w:r>
      <w:r>
        <w:rPr>
          <w:rFonts w:ascii="Times New Roman" w:cs="Times New Roman" w:eastAsia="Times New Roman" w:hAnsi="Times New Roman"/>
          <w:sz w:val="21"/>
          <w:szCs w:val="21"/>
          <w:color w:val="auto"/>
        </w:rPr>
        <w:t xml:space="preserve">” means, with respect to any L/C Issuer, the maximum permitted Outstanding Amount of the L/C Obligations that may be attributable to Letters of Credit issued by such L/C Issuer. The initial amount of each L/C Issuer’s Letter of Credit Commitment is set forth on </w:t>
      </w:r>
      <w:r>
        <w:rPr>
          <w:rFonts w:ascii="Times New Roman" w:cs="Times New Roman" w:eastAsia="Times New Roman" w:hAnsi="Times New Roman"/>
          <w:sz w:val="21"/>
          <w:szCs w:val="21"/>
          <w:u w:val="single" w:color="auto"/>
          <w:color w:val="auto"/>
        </w:rPr>
        <w:t>Schedule 2.04(a)</w:t>
      </w:r>
      <w:r>
        <w:rPr>
          <w:rFonts w:ascii="Times New Roman" w:cs="Times New Roman" w:eastAsia="Times New Roman" w:hAnsi="Times New Roman"/>
          <w:sz w:val="21"/>
          <w:szCs w:val="21"/>
          <w:color w:val="auto"/>
        </w:rPr>
        <w:t xml:space="preserve"> or, in the case of any L/C Issuer that becomes an L/C Issuer pursuant to clause (d) of the definition of such term, in the agreement referred to in such clause. The Letter of Credit Commitment of any L/C Issuer may be increased or reduced from time to time by a written agreement between such L/C Issuer and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copy of such written agreement shall have been delivered to the Administrative Agent.</w:t>
      </w:r>
    </w:p>
    <w:p>
      <w:pPr>
        <w:spacing w:after="0" w:line="17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Expiration Date</w:t>
      </w:r>
      <w:r>
        <w:rPr>
          <w:rFonts w:ascii="Times New Roman" w:cs="Times New Roman" w:eastAsia="Times New Roman" w:hAnsi="Times New Roman"/>
          <w:sz w:val="21"/>
          <w:szCs w:val="21"/>
          <w:color w:val="auto"/>
        </w:rPr>
        <w:t>” means the day that is five (5) Business Days prior to the Maturity Date (or, if such day is not a Business Day, the immediately preceding Business Day).</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2.04(h)</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71" w:right="339" w:bottom="1440" w:gutter="0" w:footer="0" w:header="0"/>
        </w:sectPr>
      </w:pPr>
    </w:p>
    <w:bookmarkStart w:id="131" w:name="page132"/>
    <w:bookmarkEnd w:id="131"/>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Sublimit</w:t>
      </w:r>
      <w:r>
        <w:rPr>
          <w:rFonts w:ascii="Times New Roman" w:cs="Times New Roman" w:eastAsia="Times New Roman" w:hAnsi="Times New Roman"/>
          <w:sz w:val="21"/>
          <w:szCs w:val="21"/>
          <w:color w:val="auto"/>
        </w:rPr>
        <w:t>” means an amount equal to the lesser of $25,000,000 and the Aggregate Commitments. The Letter of Credit Sublimit is part of, and not in addition to, the Aggregate Commitments.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0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xml:space="preserve">” means any mortgage, pledge, hypothecation, encumbrance, lien (statutory or other), charge or other security interest or preferential arrangement in the nature of a security interest of any kind (including any conditional sale or other title retention agreement, any easement and right of way or other encumbrance on title to real property, and any financing lease having substantially the same economic effect as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 operating lease be deemed to be a Lien.</w:t>
      </w:r>
    </w:p>
    <w:p>
      <w:pPr>
        <w:spacing w:after="0" w:line="139"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Limited Condition Transaction</w:t>
      </w:r>
      <w:r>
        <w:rPr>
          <w:rFonts w:ascii="Times New Roman" w:cs="Times New Roman" w:eastAsia="Times New Roman" w:hAnsi="Times New Roman"/>
          <w:sz w:val="21"/>
          <w:szCs w:val="21"/>
          <w:color w:val="auto"/>
        </w:rPr>
        <w:t>” means any investment or Acquisition (whether by merger, amalgamation, consolidation or other business combination or the acquisition of Equity Interests or otherwise), whose consummation is not conditioned on the availability of, or on obtaining, third party financing.</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 Committed Loan or a Bid Loan, as the context may require.</w:t>
      </w:r>
    </w:p>
    <w:p>
      <w:pPr>
        <w:spacing w:after="0" w:line="20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means this Agreement, each Incremental Joinder Agreement, each Guarantor Counterpart and, other than for purposes of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each agreement referred to in the definition of “L/C Issuer” pursuant to which any Lender becomes an L/C Issuer hereunder, each agreement referred to in the definition of “Letter of Credit Commitment” as to the amount thereof with respect to any L/C Issuer, each Letter of Credit Application and any agreement creating or perfecting rights in Cash Collateral pursuant to the provisions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and each Note.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Parties</w:t>
      </w:r>
      <w:r>
        <w:rPr>
          <w:rFonts w:ascii="Times New Roman" w:cs="Times New Roman" w:eastAsia="Times New Roman" w:hAnsi="Times New Roman"/>
          <w:sz w:val="21"/>
          <w:szCs w:val="21"/>
          <w:color w:val="auto"/>
        </w:rPr>
        <w:t>” means, collectively, the Borrower and the Guarantors.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Local Time</w:t>
      </w:r>
      <w:r>
        <w:rPr>
          <w:rFonts w:ascii="Times New Roman" w:cs="Times New Roman" w:eastAsia="Times New Roman" w:hAnsi="Times New Roman"/>
          <w:sz w:val="21"/>
          <w:szCs w:val="21"/>
          <w:color w:val="auto"/>
        </w:rPr>
        <w:t>” means, with respect to a Loan or Borrowing denominated in US Dollars, New York City time.</w:t>
      </w:r>
    </w:p>
    <w:p>
      <w:pPr>
        <w:spacing w:after="0" w:line="209"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Default</w:t>
      </w:r>
      <w:r>
        <w:rPr>
          <w:rFonts w:ascii="Times New Roman" w:cs="Times New Roman" w:eastAsia="Times New Roman" w:hAnsi="Times New Roman"/>
          <w:sz w:val="21"/>
          <w:szCs w:val="21"/>
          <w:color w:val="auto"/>
        </w:rPr>
        <w:t xml:space="preserve">” means a Default that has occurred and is continuing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(solely with respect to this Agreement, including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means any Acquisition that involves the payment of non-contingent consideration (including the aggregate principal amount of any Indebtedness that is assumed or refinanced by the Borrower or any Subsidiary concurrent with or following such Acquisition) by the Borrower and its Subsidiaries in excess of $200,000,000 (including the value of any Equity Interests of the Borrower or any of its Subsidiaries used as consideration in such Acquisition). For purposes hereof, any Acquisition that is a Qualified Acquisition shall be deemed to be a Material Acquisition.</w:t>
      </w:r>
    </w:p>
    <w:p>
      <w:pPr>
        <w:spacing w:after="0" w:line="139"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a material adverse change in, or a material adverse effect upon, the business, results of operations or financial condition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71" w:right="339" w:bottom="1440" w:gutter="0" w:footer="0" w:header="0"/>
        </w:sectPr>
      </w:pPr>
    </w:p>
    <w:bookmarkStart w:id="132" w:name="page133"/>
    <w:bookmarkEnd w:id="132"/>
    <w:p>
      <w:pPr>
        <w:jc w:val="both"/>
        <w:spacing w:after="0" w:line="267" w:lineRule="auto"/>
        <w:rPr>
          <w:sz w:val="20"/>
          <w:szCs w:val="20"/>
          <w:color w:val="auto"/>
        </w:rPr>
      </w:pPr>
      <w:r>
        <w:rPr>
          <w:rFonts w:ascii="Times New Roman" w:cs="Times New Roman" w:eastAsia="Times New Roman" w:hAnsi="Times New Roman"/>
          <w:sz w:val="21"/>
          <w:szCs w:val="21"/>
          <w:color w:val="auto"/>
        </w:rPr>
        <w:t>Borrower and its Subsidiaries taken as a whole, (b) a material adverse effect on the ability of any Loan Party to perform its payment Obligations under any Loan Document to which it is a party, or (c) a material adverse effect on the rights and remedies of the Administrative Agent or any Lender under any Loan Document.</w:t>
      </w:r>
    </w:p>
    <w:p>
      <w:pPr>
        <w:spacing w:after="0" w:line="135"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Disposition</w:t>
      </w:r>
      <w:r>
        <w:rPr>
          <w:rFonts w:ascii="Times New Roman" w:cs="Times New Roman" w:eastAsia="Times New Roman" w:hAnsi="Times New Roman"/>
          <w:sz w:val="21"/>
          <w:szCs w:val="21"/>
          <w:color w:val="auto"/>
        </w:rPr>
        <w:t>” means any Disposition (in a single transaction or series of related transactions) of (a) assets comprising all or substantially all of the assets of any Person, or of all or substantially all or any significant portion of a business or operating unit of a business, division, product line (including rights in respect of any drug or other pharmaceutical product) or line of business of any Person or (b) Equity Interests in any Subsidiary if, as a result thereof, such Subsidiary shall cease to be a Subsidiary, in each case, that involves gross proceeds to Borrower and its Subsidiaries (including as proceeds the aggregate principal amount of any Indebtedness that is assumed by the acquiror) in excess of $200,000,000.</w:t>
      </w:r>
    </w:p>
    <w:p>
      <w:pPr>
        <w:spacing w:after="0" w:line="132"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Indebtedness</w:t>
      </w:r>
      <w:r>
        <w:rPr>
          <w:rFonts w:ascii="Times New Roman" w:cs="Times New Roman" w:eastAsia="Times New Roman" w:hAnsi="Times New Roman"/>
          <w:sz w:val="21"/>
          <w:szCs w:val="21"/>
          <w:color w:val="auto"/>
        </w:rPr>
        <w:t>” means Indebtedness (other than the Obligations) of any one or more of the Borrower and its Subsidiaries in an aggregate principal amount exceeding $75,000,000.</w:t>
      </w:r>
    </w:p>
    <w:p>
      <w:pPr>
        <w:spacing w:after="0" w:line="8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means (a) the Borrower and each Subsidiary Guarantor and (b) each other Domestic Subsidiary, whether existing as of the Effective Date or formed or acquired thereafter (i) the revenues of which, as of the end of any fiscal quarter, for the period of the four fiscal quarters of the Borrower then most recently ended, were equal to or greater than 10% of the consolidated revenues of the Borrower and its Subsidiaries for such period or (ii) the consolidated assets of which, as of the end of any fiscal quarter, were equal to or greater than 10% of the Consolidated Total Assets of the Borrower and its Subsidiaries, in each case, as reflected on the most recent annual or quarterly consolidated financial statements of the Borrower and its Subsidiaries.</w:t>
      </w:r>
    </w:p>
    <w:p>
      <w:pPr>
        <w:spacing w:after="0" w:line="142" w:lineRule="exact"/>
        <w:rPr>
          <w:sz w:val="20"/>
          <w:szCs w:val="20"/>
          <w:color w:val="auto"/>
        </w:rPr>
      </w:pPr>
    </w:p>
    <w:p>
      <w:pPr>
        <w:jc w:val="both"/>
        <w:ind w:firstLine="624"/>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xml:space="preserve">” means the third anniversary of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date is not a Business Day, the Maturity Date shall be the immediately preceding Business Day.</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has the meaning assigned to it in Section 11.09.</w:t>
      </w:r>
    </w:p>
    <w:p>
      <w:pPr>
        <w:spacing w:after="0" w:line="196"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 means payments made under contractual arrangements arising in connection with any acquisition (or licensing) of assets (including rights in respect of any drug candidate, drug or other pharmaceutical product) or Equity Interests by the Borrower or any Subsidiary to the sellers (or licensors) of such assets (including rights in respect of any drug candidate, drug or other pharmaceutical product) or Equity Interests acquired (or licensed) under such contractual arrangements based on the achievement of specified revenue, profit or other performance targets (financial or otherwise).</w:t>
      </w:r>
    </w:p>
    <w:p>
      <w:pPr>
        <w:spacing w:after="0" w:line="141"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MNPI</w:t>
      </w:r>
      <w:r>
        <w:rPr>
          <w:rFonts w:ascii="Times New Roman" w:cs="Times New Roman" w:eastAsia="Times New Roman" w:hAnsi="Times New Roman"/>
          <w:sz w:val="21"/>
          <w:szCs w:val="21"/>
          <w:color w:val="auto"/>
        </w:rPr>
        <w:t>” means material non-public information (within the meaning of the United States federal or state securities Laws or the securities Laws of other applicable jurisdictions) with respect to Borrower or its Subsidiaries, or the respective securities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71" w:right="339" w:bottom="1440" w:gutter="0" w:footer="0" w:header="0"/>
        </w:sectPr>
      </w:pPr>
    </w:p>
    <w:bookmarkStart w:id="133" w:name="page134"/>
    <w:bookmarkEnd w:id="133"/>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any employee benefit plan of the type described in Section 4001(a)(3) of ERISA that is subject to Title IV of ERISA and to which Borrower or any ERISA Affiliate makes or is obligated to make contributions.</w:t>
      </w:r>
    </w:p>
    <w:p>
      <w:pPr>
        <w:spacing w:after="0" w:line="125" w:lineRule="exact"/>
        <w:rPr>
          <w:sz w:val="20"/>
          <w:szCs w:val="20"/>
          <w:color w:val="auto"/>
        </w:rPr>
      </w:pPr>
    </w:p>
    <w:p>
      <w:pPr>
        <w:jc w:val="both"/>
        <w:ind w:firstLine="624"/>
        <w:spacing w:after="0" w:line="289" w:lineRule="auto"/>
        <w:rPr>
          <w:sz w:val="20"/>
          <w:szCs w:val="20"/>
          <w:color w:val="auto"/>
        </w:rPr>
      </w:pP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FF0000"/>
          <w:strike w:val="1"/>
        </w:rPr>
        <w:t>Net Worth</w:t>
      </w:r>
      <w:r>
        <w:rPr>
          <w:rFonts w:ascii="Times New Roman" w:cs="Times New Roman" w:eastAsia="Times New Roman" w:hAnsi="Times New Roman"/>
          <w:sz w:val="21"/>
          <w:szCs w:val="21"/>
          <w:b w:val="1"/>
          <w:bCs w:val="1"/>
          <w:color w:val="FF0000"/>
          <w:strike w:val="1"/>
        </w:rPr>
        <w:t>” means, as at any time, (a) the Consolidated Total Assets at such time less (b) all liabilities of the Borrower and its Subsidiaries at such time, calculated in accordance with GAAP on a consolidated basis.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2.04(b)(iii)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Non-Qualifying Lender</w:t>
      </w:r>
      <w:r>
        <w:rPr>
          <w:rFonts w:ascii="Times New Roman" w:cs="Times New Roman" w:eastAsia="Times New Roman" w:hAnsi="Times New Roman"/>
          <w:sz w:val="21"/>
          <w:szCs w:val="21"/>
          <w:color w:val="auto"/>
        </w:rPr>
        <w:t>” means a Lender that is (a) not a U.S. citizen, (b) not a “resident of a member State of the European Union”, (c) a Disqualified Competitor or (d) a Defaulting Lender. For the avoidance of doubt, any Lender that is a U.S. corporation that is publicly traded, or is a Subsidiary of a publicly traded U.S. corporation, shall not be treated as a Non-Qualifying Lender.</w:t>
      </w:r>
    </w:p>
    <w:p>
      <w:pPr>
        <w:spacing w:after="0" w:line="200" w:lineRule="exact"/>
        <w:rPr>
          <w:sz w:val="20"/>
          <w:szCs w:val="20"/>
          <w:color w:val="auto"/>
        </w:rPr>
      </w:pPr>
    </w:p>
    <w:p>
      <w:pPr>
        <w:spacing w:after="0" w:line="209"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xml:space="preserve">” means a promissory note made by the Borrower in favor of a Lender evidencing Loans made by such Lender to the Borrower, substantially in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0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any of the aforesaid rates as so determined would be less than zero, such rate shall be deemed to be zero for purposes of this Agreement.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09" w:lineRule="exact"/>
        <w:rPr>
          <w:sz w:val="20"/>
          <w:szCs w:val="20"/>
          <w:color w:val="auto"/>
        </w:rPr>
      </w:pPr>
    </w:p>
    <w:p>
      <w:pPr>
        <w:jc w:val="both"/>
        <w:ind w:firstLine="624"/>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(a) the due and punctual payment by the Borrower of (i) the principal of and interest (including interest accruing during the pendency of any proceeding under any Debtor Relief Laws, regardless of whether allowed or allowable in such proceeding) on the Loans, when and as due, whether at maturity, by acceleration, upon one or more dates set for prepayment or otherwise, (ii) each payment required to be made by the Borrower in respect of any Letter of Credit, when and as due, including payments in respect of reimbursement of disbursements and interest thereon, and (iii) all other monetary obligations of the Borrower under this Agreement and each of the other Loan Documents, including obligations to pay fees, expense reimbursement obligations and indemnification obligations, whether primary, secondary, direct, indirect (including those acquired by assumption), absolute or contingent, due or to become due, now existing or hereafter arising (including monetary obligations incurred during the pendency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71" w:right="339" w:bottom="1440" w:gutter="0" w:footer="0" w:header="0"/>
        </w:sectPr>
      </w:pPr>
    </w:p>
    <w:bookmarkStart w:id="134" w:name="page135"/>
    <w:bookmarkEnd w:id="134"/>
    <w:p>
      <w:pPr>
        <w:jc w:val="both"/>
        <w:spacing w:after="0" w:line="259" w:lineRule="auto"/>
        <w:rPr>
          <w:sz w:val="20"/>
          <w:szCs w:val="20"/>
          <w:color w:val="auto"/>
        </w:rPr>
      </w:pPr>
      <w:r>
        <w:rPr>
          <w:rFonts w:ascii="Times New Roman" w:cs="Times New Roman" w:eastAsia="Times New Roman" w:hAnsi="Times New Roman"/>
          <w:sz w:val="21"/>
          <w:szCs w:val="21"/>
          <w:color w:val="auto"/>
        </w:rPr>
        <w:t>of any proceeding under any Debtor Relief Laws, regardless of whether allowed or allowable in such proceeding) and obligations to provide Cash Collateral with respect to Letters of Credit and (b) all other debts, liabilities, obligations, covenants and duties of any Loan Party arising under this Agreement or any other Loan Document, whether primary, secondary, direct, indirect (including those acquired by assumption), absolute or contingent, due or to become due, now existing or hereafter arising (including all such debts, liabilities, obligations, covenants and duties incurred during the pendency of any proceeding under any Debtor Relief Laws, regardless of whether allowed or allowable in such proceeding).</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 Guarantee</w:t>
      </w:r>
      <w:r>
        <w:rPr>
          <w:rFonts w:ascii="Times New Roman" w:cs="Times New Roman" w:eastAsia="Times New Roman" w:hAnsi="Times New Roman"/>
          <w:sz w:val="21"/>
          <w:szCs w:val="21"/>
          <w:color w:val="auto"/>
        </w:rPr>
        <w:t xml:space="preserve">” means the Guarantee of the Guarantors contained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U.S. Department of Treasury.</w:t>
      </w:r>
    </w:p>
    <w:p>
      <w:pPr>
        <w:spacing w:after="0" w:line="196"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(b) with respect to any limited liability company, the certificate or articles of formation, association or organization (or analogous constitutional documents)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3"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by any jurisdiction with which such recipient has a present or former connection (other than on account of the execution, delivery, performance, filing, recording and enforcement of, and the other activities contemplated in, this Agreement).</w:t>
      </w:r>
    </w:p>
    <w:p>
      <w:pPr>
        <w:spacing w:after="0" w:line="14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or documentary Taxes or any other excise or property Taxes, charges or similar levies arising from any payment made hereunder or under any other Loan Document or from the execution, delivery, registration, performance or enforcement of, or otherwise with respect to, this Agreement or any other Loan Document, except any such Taxes that are Other Connection Taxes imposed with respect to an assignment (other than pursuant to an assignment request by the Borrower under Section 11.13).</w:t>
      </w:r>
    </w:p>
    <w:p>
      <w:pPr>
        <w:spacing w:after="0" w:line="15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Outstanding Amount</w:t>
      </w:r>
      <w:r>
        <w:rPr>
          <w:rFonts w:ascii="Times New Roman" w:cs="Times New Roman" w:eastAsia="Times New Roman" w:hAnsi="Times New Roman"/>
          <w:sz w:val="21"/>
          <w:szCs w:val="21"/>
          <w:color w:val="auto"/>
        </w:rPr>
        <w:t>” means (a) with respect to Committed Loans on any date, the sum of the US Dollar Equivalents of the outstanding principal amounts thereof after giving effect to any borrowings and prepayments or repayments of such Committed Loans occurring on such date, (b) with respect to Bid Loans on any date, the sum of the US Dollar Equivalents of the outstanding principal amounts thereof after giving effect to any borrowings and prepayments or repayments of such Bid Loans occurring on such date, and (c) with respect to any L/C Obligations on any date, the sum of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71" w:right="339" w:bottom="1440" w:gutter="0" w:footer="0" w:header="0"/>
        </w:sectPr>
      </w:pPr>
    </w:p>
    <w:bookmarkStart w:id="135" w:name="page136"/>
    <w:bookmarkEnd w:id="135"/>
    <w:p>
      <w:pPr>
        <w:jc w:val="both"/>
        <w:spacing w:after="0" w:line="267" w:lineRule="auto"/>
        <w:rPr>
          <w:sz w:val="20"/>
          <w:szCs w:val="20"/>
          <w:color w:val="auto"/>
        </w:rPr>
      </w:pPr>
      <w:r>
        <w:rPr>
          <w:rFonts w:ascii="Times New Roman" w:cs="Times New Roman" w:eastAsia="Times New Roman" w:hAnsi="Times New Roman"/>
          <w:sz w:val="21"/>
          <w:szCs w:val="21"/>
          <w:color w:val="auto"/>
        </w:rPr>
        <w:t>Equivalents of the outstanding amounts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48"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rate as so determined would be less than zero, such rate shall be deemed to be zero for purposes of this Agreement.</w:t>
      </w:r>
    </w:p>
    <w:p>
      <w:pPr>
        <w:spacing w:after="0" w:line="166"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Rate</w:t>
      </w:r>
      <w:r>
        <w:rPr>
          <w:rFonts w:ascii="Times New Roman" w:cs="Times New Roman" w:eastAsia="Times New Roman" w:hAnsi="Times New Roman"/>
          <w:sz w:val="21"/>
          <w:szCs w:val="21"/>
          <w:color w:val="auto"/>
        </w:rPr>
        <w:t>” means, for any day, (a) with respect to any amount denominated in US Dollars, the NYFRB Rate, and (b) with respect to any amount denominated in an Alternative Currency or a Discretionary Alternative Currency, an overnight rate reasonably determined by the Administrative Agent or the applicable L/C Issuer, as the case may be, in accordance with banking industry rules on interbank compensation.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11.06(e)</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11.06(e)</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means the USA PATRIOT Act (Title III of Pub. L. 107-56 (signed into law October 26, 2001)).</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FF0000"/>
          <w:strike w:val="1"/>
        </w:rPr>
        <w:t>11.21</w:t>
      </w:r>
      <w:r>
        <w:rPr>
          <w:rFonts w:ascii="Times New Roman" w:cs="Times New Roman" w:eastAsia="Times New Roman" w:hAnsi="Times New Roman"/>
          <w:sz w:val="21"/>
          <w:szCs w:val="21"/>
          <w:b w:val="1"/>
          <w:bCs w:val="1"/>
          <w:u w:val="single" w:color="auto"/>
          <w:color w:val="0000FF"/>
        </w:rPr>
        <w:t>10.06(c)(i)</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FF0000"/>
          <w:strike w:val="1"/>
        </w:rPr>
        <w:t>11.21</w:t>
      </w:r>
      <w:r>
        <w:rPr>
          <w:rFonts w:ascii="Times New Roman" w:cs="Times New Roman" w:eastAsia="Times New Roman" w:hAnsi="Times New Roman"/>
          <w:sz w:val="21"/>
          <w:szCs w:val="21"/>
          <w:b w:val="1"/>
          <w:bCs w:val="1"/>
          <w:u w:val="single" w:color="auto"/>
          <w:color w:val="0000FF"/>
        </w:rPr>
        <w:t>10.06(c)(ii)</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referred to and defined in ERISA.</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means any “employee pension benefit plan” (as such term is defined in Section 3(2) of ERISA), other than a Multiemployer Plan, that is subject to Title IV of ERISA and is sponsored or maintained by the Borrower or any ERISA Affiliate or to which Borrower or any ERISA Affiliate has an obligation to contribute.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w:t>
      </w:r>
    </w:p>
    <w:p>
      <w:pPr>
        <w:spacing w:after="0" w:line="222" w:lineRule="exact"/>
        <w:rPr>
          <w:sz w:val="20"/>
          <w:szCs w:val="20"/>
          <w:color w:val="auto"/>
        </w:rPr>
      </w:pPr>
    </w:p>
    <w:p>
      <w:pPr>
        <w:ind w:left="620" w:firstLine="633"/>
        <w:spacing w:after="0" w:line="285" w:lineRule="auto"/>
        <w:tabs>
          <w:tab w:leader="none" w:pos="190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imposed by law for Taxes that have not yet been paid (to the extent such non-payment does not violate Section 6.03) or that are being contested in compliance with Section 6.03 and Liens for unpaid utility charges;</w:t>
      </w:r>
    </w:p>
    <w:p>
      <w:pPr>
        <w:spacing w:after="0" w:line="141" w:lineRule="exact"/>
        <w:rPr>
          <w:rFonts w:ascii="Times New Roman" w:cs="Times New Roman" w:eastAsia="Times New Roman" w:hAnsi="Times New Roman"/>
          <w:sz w:val="21"/>
          <w:szCs w:val="21"/>
          <w:color w:val="auto"/>
        </w:rPr>
      </w:pPr>
    </w:p>
    <w:p>
      <w:pPr>
        <w:jc w:val="both"/>
        <w:ind w:left="620" w:firstLine="633"/>
        <w:spacing w:after="0" w:line="274" w:lineRule="auto"/>
        <w:tabs>
          <w:tab w:leader="none" w:pos="190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carriers’, warehousemen’s, mechanics’, materialmen’s, repairmen’s, supplier’s and other like Liens imposed by law, arising in the ordinary course of business and securing obligations that are not overdue by more than sixty (60) days or are being contested in compliance with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71" w:right="339" w:bottom="1440" w:gutter="0" w:footer="0" w:header="0"/>
        </w:sectPr>
      </w:pPr>
    </w:p>
    <w:bookmarkStart w:id="136" w:name="page137"/>
    <w:bookmarkEnd w:id="136"/>
    <w:p>
      <w:pPr>
        <w:jc w:val="both"/>
        <w:ind w:left="-500" w:firstLine="633"/>
        <w:spacing w:after="0" w:line="266" w:lineRule="auto"/>
        <w:tabs>
          <w:tab w:leader="none" w:pos="78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61" w:lineRule="exact"/>
        <w:rPr>
          <w:rFonts w:ascii="Times New Roman" w:cs="Times New Roman" w:eastAsia="Times New Roman" w:hAnsi="Times New Roman"/>
          <w:sz w:val="21"/>
          <w:szCs w:val="21"/>
          <w:color w:val="auto"/>
        </w:rPr>
      </w:pPr>
    </w:p>
    <w:p>
      <w:pPr>
        <w:jc w:val="both"/>
        <w:ind w:left="-500" w:firstLine="633"/>
        <w:spacing w:after="0" w:line="263" w:lineRule="auto"/>
        <w:tabs>
          <w:tab w:leader="none" w:pos="78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to secure the performance of bids, trade contracts, government contracts, leases, statutory obligations, customer deposit and advances, company credit cards, travel cards and other employee credit card programs,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ind w:left="-500" w:firstLine="633"/>
        <w:spacing w:after="0" w:line="285" w:lineRule="auto"/>
        <w:tabs>
          <w:tab w:leader="none" w:pos="78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 Liens in respect of judgments that do not constitute an Event of Default under Section 8.01(h) or Liens securing appeal or surety bonds related to such judgments;</w:t>
      </w:r>
    </w:p>
    <w:p>
      <w:pPr>
        <w:spacing w:after="0" w:line="141" w:lineRule="exact"/>
        <w:rPr>
          <w:rFonts w:ascii="Times New Roman" w:cs="Times New Roman" w:eastAsia="Times New Roman" w:hAnsi="Times New Roman"/>
          <w:sz w:val="21"/>
          <w:szCs w:val="21"/>
          <w:color w:val="auto"/>
        </w:rPr>
      </w:pPr>
    </w:p>
    <w:p>
      <w:pPr>
        <w:jc w:val="both"/>
        <w:ind w:left="-500" w:firstLine="633"/>
        <w:spacing w:after="0" w:line="266" w:lineRule="auto"/>
        <w:tabs>
          <w:tab w:leader="none" w:pos="77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61" w:lineRule="exact"/>
        <w:rPr>
          <w:rFonts w:ascii="Times New Roman" w:cs="Times New Roman" w:eastAsia="Times New Roman" w:hAnsi="Times New Roman"/>
          <w:sz w:val="21"/>
          <w:szCs w:val="21"/>
          <w:color w:val="auto"/>
        </w:rPr>
      </w:pPr>
    </w:p>
    <w:p>
      <w:pPr>
        <w:jc w:val="both"/>
        <w:ind w:left="-500" w:firstLine="633"/>
        <w:spacing w:after="0" w:line="267" w:lineRule="auto"/>
        <w:tabs>
          <w:tab w:leader="none" w:pos="78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leases, licenses, subleases or sublicenses granted (i) to others not adversely interfering in any material respect with the business of the Borrower and its Subsidiaries as conducted at the time granted, taken as a whole, (ii) between or among any of the Loan Parties or any of their Subsidiaries or (iii) granted to other Persons and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left="-500" w:firstLine="633"/>
        <w:spacing w:after="0" w:line="266" w:lineRule="auto"/>
        <w:tabs>
          <w:tab w:leader="none" w:pos="78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61" w:lineRule="exact"/>
        <w:rPr>
          <w:rFonts w:ascii="Times New Roman" w:cs="Times New Roman" w:eastAsia="Times New Roman" w:hAnsi="Times New Roman"/>
          <w:sz w:val="21"/>
          <w:szCs w:val="21"/>
          <w:color w:val="auto"/>
        </w:rPr>
      </w:pPr>
    </w:p>
    <w:p>
      <w:pPr>
        <w:jc w:val="both"/>
        <w:ind w:left="-500" w:firstLine="633"/>
        <w:spacing w:after="0" w:line="266" w:lineRule="auto"/>
        <w:tabs>
          <w:tab w:leader="none" w:pos="77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61" w:lineRule="exact"/>
        <w:rPr>
          <w:rFonts w:ascii="Times New Roman" w:cs="Times New Roman" w:eastAsia="Times New Roman" w:hAnsi="Times New Roman"/>
          <w:sz w:val="21"/>
          <w:szCs w:val="21"/>
          <w:color w:val="auto"/>
        </w:rPr>
      </w:pPr>
    </w:p>
    <w:p>
      <w:pPr>
        <w:jc w:val="both"/>
        <w:ind w:left="-500" w:firstLine="633"/>
        <w:spacing w:after="0" w:line="267" w:lineRule="auto"/>
        <w:tabs>
          <w:tab w:leader="none" w:pos="77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0120"/>
          </w:cols>
          <w:pgMar w:left="1440" w:top="1371" w:right="339" w:bottom="1440" w:gutter="0" w:footer="0" w:header="0"/>
        </w:sectPr>
      </w:pPr>
    </w:p>
    <w:bookmarkStart w:id="137" w:name="page138"/>
    <w:bookmarkEnd w:id="137"/>
    <w:p>
      <w:pPr>
        <w:jc w:val="both"/>
        <w:ind w:left="620" w:firstLine="633"/>
        <w:spacing w:after="0" w:line="267" w:lineRule="auto"/>
        <w:tabs>
          <w:tab w:leader="none" w:pos="190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4" w:lineRule="exact"/>
        <w:rPr>
          <w:rFonts w:ascii="Times New Roman" w:cs="Times New Roman" w:eastAsia="Times New Roman" w:hAnsi="Times New Roman"/>
          <w:sz w:val="21"/>
          <w:szCs w:val="21"/>
          <w:color w:val="auto"/>
        </w:rPr>
      </w:pPr>
    </w:p>
    <w:p>
      <w:pPr>
        <w:ind w:left="620" w:firstLine="633"/>
        <w:spacing w:after="0" w:line="285" w:lineRule="auto"/>
        <w:tabs>
          <w:tab w:leader="none" w:pos="189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or title of a landlord, lessor or sublessor under any lease of real estate or any Lien affecting solely the interest of the landlord, lessor or sublessor;</w:t>
      </w:r>
    </w:p>
    <w:p>
      <w:pPr>
        <w:spacing w:after="0" w:line="115" w:lineRule="exact"/>
        <w:rPr>
          <w:rFonts w:ascii="Times New Roman" w:cs="Times New Roman" w:eastAsia="Times New Roman" w:hAnsi="Times New Roman"/>
          <w:sz w:val="21"/>
          <w:szCs w:val="21"/>
          <w:color w:val="auto"/>
        </w:rPr>
      </w:pPr>
    </w:p>
    <w:p>
      <w:pPr>
        <w:jc w:val="both"/>
        <w:ind w:left="620" w:firstLine="633"/>
        <w:spacing w:after="0" w:line="267" w:lineRule="auto"/>
        <w:tabs>
          <w:tab w:leader="none" w:pos="189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purported Liens evidenced by the filing of precautionary UCC financing statements or similar filings relating to operating leases of personal property entered into by the Borrower or any of its Subsidiaries in the ordinary course of business;</w:t>
      </w:r>
    </w:p>
    <w:p>
      <w:pPr>
        <w:spacing w:after="0" w:line="121" w:lineRule="exact"/>
        <w:rPr>
          <w:rFonts w:ascii="Times New Roman" w:cs="Times New Roman" w:eastAsia="Times New Roman" w:hAnsi="Times New Roman"/>
          <w:sz w:val="21"/>
          <w:szCs w:val="21"/>
          <w:color w:val="auto"/>
        </w:rPr>
      </w:pPr>
    </w:p>
    <w:p>
      <w:pPr>
        <w:ind w:left="620" w:firstLine="633"/>
        <w:spacing w:after="0" w:line="298" w:lineRule="auto"/>
        <w:tabs>
          <w:tab w:leader="none" w:pos="190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interest or title of a licensor under any license or sublicense entered into by the Borrower or any Subsidiary as a licensee or sublicensee (i) existing on the Effective Date or (ii) in the ordinary course of its business; </w:t>
      </w:r>
      <w:r>
        <w:rPr>
          <w:rFonts w:ascii="Times New Roman" w:cs="Times New Roman" w:eastAsia="Times New Roman" w:hAnsi="Times New Roman"/>
          <w:sz w:val="21"/>
          <w:szCs w:val="21"/>
          <w:b w:val="1"/>
          <w:bCs w:val="1"/>
          <w:color w:val="FF0000"/>
        </w:rPr>
        <w:t>and</w:t>
      </w:r>
    </w:p>
    <w:p>
      <w:pPr>
        <w:spacing w:after="0" w:line="89" w:lineRule="exact"/>
        <w:rPr>
          <w:rFonts w:ascii="Times New Roman" w:cs="Times New Roman" w:eastAsia="Times New Roman" w:hAnsi="Times New Roman"/>
          <w:sz w:val="21"/>
          <w:szCs w:val="21"/>
          <w:color w:val="auto"/>
        </w:rPr>
      </w:pPr>
    </w:p>
    <w:p>
      <w:pPr>
        <w:ind w:firstLine="1240"/>
        <w:spacing w:after="0" w:line="285" w:lineRule="auto"/>
        <w:tabs>
          <w:tab w:leader="none" w:pos="190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real property, immaterial title defects or irregularities that do not, individually or in the aggregate, materially impair the use of such real property; and</w:t>
      </w:r>
    </w:p>
    <w:p>
      <w:pPr>
        <w:spacing w:after="0" w:line="115" w:lineRule="exact"/>
        <w:rPr>
          <w:rFonts w:ascii="Times New Roman" w:cs="Times New Roman" w:eastAsia="Times New Roman" w:hAnsi="Times New Roman"/>
          <w:sz w:val="21"/>
          <w:szCs w:val="21"/>
          <w:color w:val="auto"/>
        </w:rPr>
      </w:pPr>
    </w:p>
    <w:p>
      <w:pPr>
        <w:ind w:left="1920" w:hanging="680"/>
        <w:spacing w:after="0"/>
        <w:tabs>
          <w:tab w:leader="none" w:pos="19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of Intellectual Property rights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6670040</wp:posOffset>
            </wp:positionH>
            <wp:positionV relativeFrom="paragraph">
              <wp:posOffset>-766445</wp:posOffset>
            </wp:positionV>
            <wp:extent cx="2508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“Permitted Encumbrances” shall not include any Lien securing Indebtedness.</w:t>
      </w:r>
    </w:p>
    <w:p>
      <w:pPr>
        <w:spacing w:after="0" w:line="196"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1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means 29 CFR § 2510.3-101 et seq., as modified by Section 3(42) of ERISA, as amended from time to time.</w:t>
      </w:r>
    </w:p>
    <w:p>
      <w:pPr>
        <w:spacing w:after="0" w:line="102"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Prepayment Notice</w:t>
      </w:r>
      <w:r>
        <w:rPr>
          <w:rFonts w:ascii="Times New Roman" w:cs="Times New Roman" w:eastAsia="Times New Roman" w:hAnsi="Times New Roman"/>
          <w:sz w:val="21"/>
          <w:szCs w:val="21"/>
          <w:color w:val="auto"/>
        </w:rPr>
        <w:t xml:space="preserve">” means a notice of a prepayment of any Committed Borrowing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76" w:lineRule="exact"/>
        <w:rPr>
          <w:sz w:val="20"/>
          <w:szCs w:val="20"/>
          <w:color w:val="auto"/>
        </w:rPr>
      </w:pPr>
    </w:p>
    <w:p>
      <w:pPr>
        <w:jc w:val="both"/>
        <w:ind w:firstLine="624"/>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7"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71" w:right="339" w:bottom="1440" w:gutter="0" w:footer="0" w:header="0"/>
        </w:sectPr>
      </w:pPr>
    </w:p>
    <w:bookmarkStart w:id="138" w:name="page139"/>
    <w:bookmarkEnd w:id="138"/>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Acquisition</w:t>
      </w:r>
      <w:r>
        <w:rPr>
          <w:rFonts w:ascii="Times New Roman" w:cs="Times New Roman" w:eastAsia="Times New Roman" w:hAnsi="Times New Roman"/>
          <w:sz w:val="21"/>
          <w:szCs w:val="21"/>
          <w:color w:val="auto"/>
        </w:rPr>
        <w:t xml:space="preserve">” means any Acquisition consummated after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that (a) involves the payment of non-contingent consideration in excess of $200,000,000 (or any two Acquisitions occurring in the same 12-month period involving the payment of non-contingent consideration in excess of $200,000,000 in the aggregate) and (b) has been designated by the Borrower as a “Qualified Acquisition” by written notice to the Administrative Agent.</w:t>
      </w:r>
    </w:p>
    <w:p>
      <w:pPr>
        <w:spacing w:after="0" w:line="16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11.20</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Indemnified Parties</w:t>
      </w:r>
      <w:r>
        <w:rPr>
          <w:rFonts w:ascii="Times New Roman" w:cs="Times New Roman" w:eastAsia="Times New Roman" w:hAnsi="Times New Roman"/>
          <w:sz w:val="21"/>
          <w:szCs w:val="21"/>
          <w:color w:val="auto"/>
        </w:rPr>
        <w:t xml:space="preserve">” means, with respect to any Indemnitee, (a) any controlling Person or controlled Affiliate of such Indemnitee, (b) the respective directors, officers or employees of such Indemnitee or any of its controlling Persons or controlled Affiliates and (c) the respective Agent of such Indemnitee or any of its controlling Persons or controlled Affiliates, in the case of this clause (c), acting at the instructions of such Indemnitee, controlling Person or such controlled Affiliate;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reference to a controlled Affiliate or controlling Person in this definition pertains to a controlled Affiliate or controlling Person involved in the negotiation of this Agreement or any other Loan Document.</w:t>
      </w:r>
    </w:p>
    <w:p>
      <w:pPr>
        <w:spacing w:after="0" w:line="17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Person, such Person’s Affiliates and the directors, officers, employees, agent or advisors of such Person and of such Person’s Affiliates.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0000FF"/>
        </w:rPr>
        <w:t>“Relevant Rate” has the meaning specified in Section 2.17(g).</w:t>
      </w:r>
    </w:p>
    <w:p>
      <w:pPr>
        <w:spacing w:after="0" w:line="226"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events for which the 30-day notice period has been waived under Section 4043 of ERISA.</w:t>
      </w:r>
    </w:p>
    <w:p>
      <w:pPr>
        <w:spacing w:after="0" w:line="14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Request for Credit Extension</w:t>
      </w:r>
      <w:r>
        <w:rPr>
          <w:rFonts w:ascii="Times New Roman" w:cs="Times New Roman" w:eastAsia="Times New Roman" w:hAnsi="Times New Roman"/>
          <w:sz w:val="21"/>
          <w:szCs w:val="21"/>
          <w:color w:val="auto"/>
        </w:rPr>
        <w:t>” means (a) with respect to a borrowing, conversion or continuation of Committed Loans, a Committed Loan Notice, (b) with respect to a Bid Loan, a Bid Request and (c) with respect to an L/C Credit Extension, a Letter of Credit Application.</w:t>
      </w:r>
    </w:p>
    <w:p>
      <w:pPr>
        <w:spacing w:after="0" w:line="153"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means, as of any date of determination, Lenders holding in the aggregate more than 50% of the sum of the aggregate unused Commitments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71"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aggregate principal amount of the Total Outstandings (excluding any portion thereof attributable to Bid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declaring the Loans to be due and payable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for all purposes after the Loans have become due and payable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all the Commitments have expired or terminated, any portion thereof attributable to Bid Loans shall be included) (with the aggregate amount of each Lender’s risk participation and funded participation in L/C Obligations being deemed “held” by such Lender for purposes of this definition);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Commitment of, and the portion of the Total Outstandings held or deemed held by, any Defaulting Lender will be excluded for purposes of making a determination of Required Lenders.</w:t>
      </w:r>
    </w:p>
    <w:p>
      <w:pPr>
        <w:spacing w:after="0" w:line="157" w:lineRule="exact"/>
        <w:rPr>
          <w:sz w:val="20"/>
          <w:szCs w:val="20"/>
          <w:color w:val="auto"/>
        </w:rPr>
      </w:pPr>
    </w:p>
    <w:p>
      <w:pPr>
        <w:jc w:val="both"/>
        <w:ind w:right="20"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29"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xml:space="preserve">” means, with respect to any Person, the chief executive officer, a director, the chief financial officer, the treasurer, the chief legal officer, the chief accounting officer, any vice president or any other duly authorized signatory of such Person (or, in the case of any Person that is partnership, of the general partner of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when such term is used in reference to any document executed by, or certification of, a Responsible Officer, the secretary or assistant secretary or other duly authorized signatory of such Person shall have delivered an incumbency certificate to the Administrative Agent as to the authority of such individual. Any document delivered hereunder that is signed by a Responsible Officer of any Loan Party will be conclusively presumed to have been authorized by all necessary corporate, partnership and/or other action on the part of such Loan Party, and such Responsible Officer will be conclusively presumed to have acted on behalf of such Loan Party.</w:t>
      </w:r>
    </w:p>
    <w:p>
      <w:pPr>
        <w:spacing w:after="0" w:line="15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or warrant to acquire any such Equity Interests in the Borrower or any Subsidiary.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Reuters</w:t>
      </w:r>
      <w:r>
        <w:rPr>
          <w:rFonts w:ascii="Times New Roman" w:cs="Times New Roman" w:eastAsia="Times New Roman" w:hAnsi="Times New Roman"/>
          <w:sz w:val="21"/>
          <w:szCs w:val="21"/>
          <w:color w:val="auto"/>
        </w:rPr>
        <w:t>” means, as applicable, Thomson Reuters Corp., Refinitiv, or any successor thereto.</w:t>
      </w:r>
    </w:p>
    <w:p>
      <w:pPr>
        <w:spacing w:after="0" w:line="20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means (a) with respect to any Loan denominated in any Alternative Currency, each of the following: (i) the date of the Borrowing of such Loan and (ii) with respect to any Term Benchmark Loan,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71" w:right="339" w:bottom="1440" w:gutter="0" w:footer="0" w:header="0"/>
        </w:sectPr>
      </w:pPr>
    </w:p>
    <w:bookmarkStart w:id="140" w:name="page141"/>
    <w:bookmarkEnd w:id="140"/>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w:t>
      </w:r>
      <w:r>
        <w:rPr>
          <w:rFonts w:ascii="Times New Roman" w:cs="Times New Roman" w:eastAsia="Times New Roman" w:hAnsi="Times New Roman"/>
          <w:sz w:val="21"/>
          <w:szCs w:val="21"/>
          <w:color w:val="auto"/>
        </w:rPr>
        <w:t>” when used in reference to any Loan or Borrowing, means that such Loan, or the Loans comprising such Borrowing, bears interest at a rate determined by reference to the Adjusted Daily Simple SOFR.</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Borrowing</w:t>
      </w:r>
      <w:r>
        <w:rPr>
          <w:rFonts w:ascii="Times New Roman" w:cs="Times New Roman" w:eastAsia="Times New Roman" w:hAnsi="Times New Roman"/>
          <w:sz w:val="21"/>
          <w:szCs w:val="21"/>
          <w:color w:val="auto"/>
        </w:rPr>
        <w:t>” means, as to any Borrowing, the RFR Loans comprising such Borrowing.</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Loan</w:t>
      </w:r>
      <w:r>
        <w:rPr>
          <w:rFonts w:ascii="Times New Roman" w:cs="Times New Roman" w:eastAsia="Times New Roman" w:hAnsi="Times New Roman"/>
          <w:sz w:val="21"/>
          <w:szCs w:val="21"/>
          <w:color w:val="auto"/>
        </w:rPr>
        <w:t>” means a Loan that bears interest at a rate based on the Adjusted Daily Simple SOFR.</w:t>
      </w:r>
    </w:p>
    <w:p>
      <w:pPr>
        <w:spacing w:after="0" w:line="22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Same Day Funds</w:t>
      </w:r>
      <w:r>
        <w:rPr>
          <w:rFonts w:ascii="Times New Roman" w:cs="Times New Roman" w:eastAsia="Times New Roman" w:hAnsi="Times New Roman"/>
          <w:sz w:val="21"/>
          <w:szCs w:val="21"/>
          <w:color w:val="auto"/>
        </w:rPr>
        <w:t>” means (a) with respect to disbursements and payments in US Dollars, immediately available funds,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 and (c) with respect to disbursements and payments in a Discretionary Alternative Currency, same day or other funds as may be determined by the Administrative Agent to be customary in the place of disbursement or payment, for the settlement of international banking transactions in the relevant Discretionary Alternative Currency.</w:t>
      </w:r>
    </w:p>
    <w:p>
      <w:pPr>
        <w:spacing w:after="0" w:line="17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xml:space="preserve">” means, at any time, a country, region or territory that is the subject or target of any Sanctions that broadly prohibit dealings with that country, region or territory </w:t>
      </w:r>
      <w:r>
        <w:rPr>
          <w:rFonts w:ascii="Times New Roman" w:cs="Times New Roman" w:eastAsia="Times New Roman" w:hAnsi="Times New Roman"/>
          <w:sz w:val="21"/>
          <w:szCs w:val="21"/>
          <w:b w:val="1"/>
          <w:bCs w:val="1"/>
          <w:color w:val="0000FF"/>
        </w:rPr>
        <w:t>(as of the Amendment No. 2 Effective Date, the so-called Donetsk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-30480</wp:posOffset>
            </wp:positionV>
            <wp:extent cx="37814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81425" cy="8255"/>
                    </a:xfrm>
                    <a:prstGeom prst="rect">
                      <a:avLst/>
                    </a:prstGeom>
                    <a:noFill/>
                  </pic:spPr>
                </pic:pic>
              </a:graphicData>
            </a:graphic>
          </wp:anchor>
        </w:drawing>
      </w:r>
    </w:p>
    <w:p>
      <w:pPr>
        <w:jc w:val="both"/>
        <w:ind w:right="20"/>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0000FF"/>
        </w:rPr>
        <w:t>People’s Republic, the so-called Luhansk People’s Republic, the Crimea, Zaporizhzhia and Kherson Regions of Ukraine, Cuba, Iran, North Korea and Syria)</w:t>
      </w:r>
      <w:r>
        <w:rPr>
          <w:rFonts w:ascii="Times New Roman" w:cs="Times New Roman" w:eastAsia="Times New Roman" w:hAnsi="Times New Roman"/>
          <w:sz w:val="21"/>
          <w:szCs w:val="21"/>
          <w:color w:val="000000"/>
        </w:rPr>
        <w:t>.</w:t>
      </w:r>
    </w:p>
    <w:p>
      <w:pPr>
        <w:spacing w:after="0" w:line="149" w:lineRule="exact"/>
        <w:rPr>
          <w:sz w:val="20"/>
          <w:szCs w:val="20"/>
          <w:color w:val="auto"/>
        </w:rPr>
      </w:pPr>
    </w:p>
    <w:p>
      <w:pPr>
        <w:jc w:val="both"/>
        <w:ind w:firstLine="624"/>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xml:space="preserve">” means, at any time, </w:t>
      </w:r>
      <w:r>
        <w:rPr>
          <w:rFonts w:ascii="Times New Roman" w:cs="Times New Roman" w:eastAsia="Times New Roman" w:hAnsi="Times New Roman"/>
          <w:sz w:val="21"/>
          <w:szCs w:val="21"/>
          <w:b w:val="1"/>
          <w:bCs w:val="1"/>
          <w:u w:val="single" w:color="auto"/>
          <w:color w:val="0000FF"/>
        </w:rPr>
        <w:t>any Person subject or target of any Sanctions, including</w:t>
      </w:r>
      <w:r>
        <w:rPr>
          <w:rFonts w:ascii="Times New Roman" w:cs="Times New Roman" w:eastAsia="Times New Roman" w:hAnsi="Times New Roman"/>
          <w:sz w:val="21"/>
          <w:szCs w:val="21"/>
          <w:color w:val="auto"/>
        </w:rPr>
        <w:t xml:space="preserve"> (a) any Person whose name appears on the list of Specially Designated Nationals and Blocked Persons or on any other similar list of designated Persons </w:t>
      </w:r>
      <w:r>
        <w:rPr>
          <w:rFonts w:ascii="Times New Roman" w:cs="Times New Roman" w:eastAsia="Times New Roman" w:hAnsi="Times New Roman"/>
          <w:sz w:val="21"/>
          <w:szCs w:val="21"/>
          <w:b w:val="1"/>
          <w:bCs w:val="1"/>
          <w:color w:val="FF0000"/>
          <w:strike w:val="1"/>
        </w:rPr>
        <w:t>published</w:t>
      </w:r>
      <w:r>
        <w:rPr>
          <w:rFonts w:ascii="Times New Roman" w:cs="Times New Roman" w:eastAsia="Times New Roman" w:hAnsi="Times New Roman"/>
          <w:sz w:val="21"/>
          <w:szCs w:val="21"/>
          <w:b w:val="1"/>
          <w:bCs w:val="1"/>
          <w:u w:val="single" w:color="auto"/>
          <w:color w:val="0000FF"/>
        </w:rPr>
        <w:t>maintained by the U.S. government, including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by OFAC, the United States Department of State, the United States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Department of the Treasury or the United States Department of Commerce, (b) any Person listed in any Sanctions-related list of designated Persons maintained by His Majesty’s Treasury of the United Kingdom, the European Union or any EU member state, (c) any Person located, organized or resident in a Sanctioned Country</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or</w:t>
      </w:r>
      <w:r>
        <w:rPr>
          <w:rFonts w:ascii="Times New Roman" w:cs="Times New Roman" w:eastAsia="Times New Roman" w:hAnsi="Times New Roman"/>
          <w:sz w:val="21"/>
          <w:szCs w:val="21"/>
          <w:color w:val="000000"/>
        </w:rPr>
        <w:t xml:space="preserve"> (d) any Person subject to Sanctions by reason of a relationship of ownership or control with any such Person or Persons identified in clauses (a) or (b) above </w:t>
      </w:r>
      <w:r>
        <w:rPr>
          <w:rFonts w:ascii="Times New Roman" w:cs="Times New Roman" w:eastAsia="Times New Roman" w:hAnsi="Times New Roman"/>
          <w:sz w:val="21"/>
          <w:szCs w:val="21"/>
          <w:b w:val="1"/>
          <w:bCs w:val="1"/>
          <w:color w:val="FF0000"/>
          <w:strike w:val="1"/>
        </w:rPr>
        <w:t>or (e) any Person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color w:val="FF0000"/>
          <w:strike w:val="1"/>
        </w:rPr>
        <w:t>otherwise the subject of Sanctions.</w:t>
      </w:r>
      <w:r>
        <w:rPr>
          <w:rFonts w:ascii="Times New Roman" w:cs="Times New Roman" w:eastAsia="Times New Roman" w:hAnsi="Times New Roman"/>
          <w:sz w:val="21"/>
          <w:szCs w:val="21"/>
          <w:b w:val="1"/>
          <w:bCs w:val="1"/>
          <w:u w:val="single" w:color="auto"/>
          <w:color w:val="0000FF"/>
          <w:strike w:val="1"/>
        </w:rPr>
        <w:t>(including, without limitation for purposes of defining a Sanctioned Person, as ownership</w:t>
      </w:r>
      <w:r>
        <w:rPr>
          <w:rFonts w:ascii="Times New Roman" w:cs="Times New Roman" w:eastAsia="Times New Roman" w:hAnsi="Times New Roman"/>
          <w:sz w:val="21"/>
          <w:szCs w:val="21"/>
          <w:b w:val="1"/>
          <w:bCs w:val="1"/>
          <w:color w:val="FF0000"/>
          <w:strike w:val="1"/>
        </w:rPr>
        <w:t xml:space="preserve"> </w:t>
      </w:r>
      <w:r>
        <w:rPr>
          <w:rFonts w:ascii="Times New Roman" w:cs="Times New Roman" w:eastAsia="Times New Roman" w:hAnsi="Times New Roman"/>
          <w:sz w:val="21"/>
          <w:szCs w:val="21"/>
          <w:b w:val="1"/>
          <w:bCs w:val="1"/>
          <w:u w:val="single" w:color="auto"/>
          <w:color w:val="0000FF"/>
          <w:strike w:val="1"/>
        </w:rPr>
        <w:t>and control may be defined and/or established in and/or by any applicable laws, rules, regulations, or orders).</w:t>
      </w:r>
    </w:p>
    <w:p>
      <w:pPr>
        <w:spacing w:after="0" w:line="186"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any economic or financial sanctions</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xml:space="preserve"> or trade embargoes </w:t>
      </w:r>
      <w:r>
        <w:rPr>
          <w:rFonts w:ascii="Times New Roman" w:cs="Times New Roman" w:eastAsia="Times New Roman" w:hAnsi="Times New Roman"/>
          <w:sz w:val="21"/>
          <w:szCs w:val="21"/>
          <w:b w:val="1"/>
          <w:bCs w:val="1"/>
          <w:u w:val="single" w:color="auto"/>
          <w:color w:val="0000FF"/>
        </w:rPr>
        <w:t>imposed,</w:t>
      </w:r>
      <w:r>
        <w:rPr>
          <w:rFonts w:ascii="Times New Roman" w:cs="Times New Roman" w:eastAsia="Times New Roman" w:hAnsi="Times New Roman"/>
          <w:sz w:val="21"/>
          <w:szCs w:val="21"/>
          <w:color w:val="auto"/>
        </w:rPr>
        <w:t xml:space="preserve"> administered or enforced by the United States federal government (including OFAC, the United States Department of State, the United States Department of the Treasury and the United States Department of Commerce), His Majesty’s Treasury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7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color w:val="auto"/>
        </w:rPr>
        <w:t>United Kingdom, the European Union or any EU member state in which the Borrower or a Subsidiary is organized or operates.</w:t>
      </w:r>
    </w:p>
    <w:p>
      <w:pPr>
        <w:spacing w:after="0" w:line="2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 or any Governmental Authority succeeding to any of its principal functions.</w:t>
      </w:r>
    </w:p>
    <w:p>
      <w:pPr>
        <w:spacing w:after="0" w:line="15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 Documents</w:t>
      </w:r>
      <w:r>
        <w:rPr>
          <w:rFonts w:ascii="Times New Roman" w:cs="Times New Roman" w:eastAsia="Times New Roman" w:hAnsi="Times New Roman"/>
          <w:sz w:val="21"/>
          <w:szCs w:val="21"/>
          <w:color w:val="auto"/>
        </w:rPr>
        <w:t>” means all reports, schedules, forms, proxy statements, prospectuses (including prospectus supplements), registration statements and other information filed by the Borrower with the SEC or furnished by the Borrower to the SEC pursuant to the Securities Exchange Act.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Exchange Act</w:t>
      </w:r>
      <w:r>
        <w:rPr>
          <w:rFonts w:ascii="Times New Roman" w:cs="Times New Roman" w:eastAsia="Times New Roman" w:hAnsi="Times New Roman"/>
          <w:sz w:val="21"/>
          <w:szCs w:val="21"/>
          <w:color w:val="auto"/>
        </w:rPr>
        <w:t>” means the Securities Exchange Act of 1934.</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Notice Currency</w:t>
      </w:r>
      <w:r>
        <w:rPr>
          <w:rFonts w:ascii="Times New Roman" w:cs="Times New Roman" w:eastAsia="Times New Roman" w:hAnsi="Times New Roman"/>
          <w:sz w:val="21"/>
          <w:szCs w:val="21"/>
          <w:color w:val="auto"/>
        </w:rPr>
        <w:t>” means, at any time, an Alternative Currency or a Discretionary Alternative Currency that is not the currency of a country that is a member of the Organization for Economic Cooperation and Development at such time located in North America or Europe.</w:t>
      </w:r>
    </w:p>
    <w:p>
      <w:pPr>
        <w:spacing w:after="0" w:line="153"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a corporation, partnership, joint venture, limited liability company or other business entity (a) of which a majority of the Equity Interests having ordinary voting power for the election of directors or other governing body (other than Equity Interests having such power only by reason of the happening of a contingency) are at the time beneficially owned, or (b) that is, at the time any determination is made, otherwise Controlled, by such Person or one or more Subsidiaries of such Person or by such Person and one or more Subsidiaries of such Person. Unless otherwise specified, all references herein to a “Subsidiary” or to “Subsidiaries” will refer to a Subsidiary or Subsidiaries of the Borrower.</w:t>
      </w:r>
    </w:p>
    <w:p>
      <w:pPr>
        <w:spacing w:after="0" w:line="17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Guarantor</w:t>
      </w:r>
      <w:r>
        <w:rPr>
          <w:rFonts w:ascii="Times New Roman" w:cs="Times New Roman" w:eastAsia="Times New Roman" w:hAnsi="Times New Roman"/>
          <w:sz w:val="21"/>
          <w:szCs w:val="21"/>
          <w:color w:val="auto"/>
        </w:rPr>
        <w:t xml:space="preserve">” means (a) Incyte Holdings Corporation and (b) each other Subsidiary of the Borrower that, after the Effective Date, becomes a party to this Agreement as a “Guarantor”, either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11.20</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Contract</w:t>
      </w:r>
      <w:r>
        <w:rPr>
          <w:rFonts w:ascii="Times New Roman" w:cs="Times New Roman" w:eastAsia="Times New Roman" w:hAnsi="Times New Roman"/>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71" w:right="339" w:bottom="1440" w:gutter="0" w:footer="0" w:header="0"/>
        </w:sectPr>
      </w:pPr>
    </w:p>
    <w:bookmarkStart w:id="142" w:name="page143"/>
    <w:bookmarkEnd w:id="142"/>
    <w:p>
      <w:pPr>
        <w:jc w:val="both"/>
        <w:spacing w:after="0" w:line="257" w:lineRule="auto"/>
        <w:rPr>
          <w:sz w:val="20"/>
          <w:szCs w:val="20"/>
          <w:color w:val="auto"/>
        </w:rPr>
      </w:pPr>
      <w:r>
        <w:rPr>
          <w:rFonts w:ascii="Times New Roman" w:cs="Times New Roman" w:eastAsia="Times New Roman" w:hAnsi="Times New Roman"/>
          <w:sz w:val="21"/>
          <w:szCs w:val="21"/>
          <w:color w:val="auto"/>
        </w:rPr>
        <w:t>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1"/>
          <w:szCs w:val="21"/>
          <w:u w:val="single" w:color="auto"/>
          <w:color w:val="auto"/>
        </w:rPr>
        <w:t>Master Agreement</w:t>
      </w:r>
      <w:r>
        <w:rPr>
          <w:rFonts w:ascii="Times New Roman" w:cs="Times New Roman" w:eastAsia="Times New Roman" w:hAnsi="Times New Roman"/>
          <w:sz w:val="21"/>
          <w:szCs w:val="21"/>
          <w:color w:val="auto"/>
        </w:rPr>
        <w:t>”), including any such obligations or liabilities under any Master Agreement.</w:t>
      </w:r>
    </w:p>
    <w:p>
      <w:pPr>
        <w:spacing w:after="0" w:line="184"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Termination Value</w:t>
      </w:r>
      <w:r>
        <w:rPr>
          <w:rFonts w:ascii="Times New Roman" w:cs="Times New Roman" w:eastAsia="Times New Roman" w:hAnsi="Times New Roman"/>
          <w:sz w:val="21"/>
          <w:szCs w:val="21"/>
          <w:color w:val="auto"/>
        </w:rPr>
        <w:t xml:space="preserve">” means, in respect of any one or more Swap Contracts, after taking into account the effect of any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this definition, the amount(s) determined as the mark-to-market value(s) for such Swap Contracts, as determined based upon one or more mid-market or other readily available quotations provided by any recognized dealer in such Swap Contracts (which may include a Lender or any Affiliate of a Lender) or any third party in the business of determining such values acceptable to the Administrative Agent.</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1"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or Borrowing, means that such Loan, or the Loans comprising such Borrowing, bears interest at a rate determined by reference to the Adjusted Term SOFR Rate.</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 Borrowing</w:t>
      </w:r>
      <w:r>
        <w:rPr>
          <w:rFonts w:ascii="Times New Roman" w:cs="Times New Roman" w:eastAsia="Times New Roman" w:hAnsi="Times New Roman"/>
          <w:sz w:val="21"/>
          <w:szCs w:val="21"/>
          <w:color w:val="auto"/>
        </w:rPr>
        <w:t>” means a Borrowing comprised of Term Benchmark Loans.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 Loan</w:t>
      </w:r>
      <w:r>
        <w:rPr>
          <w:rFonts w:ascii="Times New Roman" w:cs="Times New Roman" w:eastAsia="Times New Roman" w:hAnsi="Times New Roman"/>
          <w:sz w:val="21"/>
          <w:szCs w:val="21"/>
          <w:color w:val="auto"/>
        </w:rPr>
        <w:t>” means a Loan that bears interest by reference to the Adjusted Term SOFR Rate.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 Rate.</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71" w:right="339" w:bottom="1440" w:gutter="0" w:footer="0" w:header="0"/>
        </w:sectPr>
      </w:pPr>
    </w:p>
    <w:bookmarkStart w:id="143" w:name="page144"/>
    <w:bookmarkEnd w:id="143"/>
    <w:p>
      <w:pPr>
        <w:jc w:val="both"/>
        <w:ind w:firstLine="624"/>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xml:space="preserve"> ”),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Term SOFR Determination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Outstandings</w:t>
      </w:r>
      <w:r>
        <w:rPr>
          <w:rFonts w:ascii="Times New Roman" w:cs="Times New Roman" w:eastAsia="Times New Roman" w:hAnsi="Times New Roman"/>
          <w:sz w:val="21"/>
          <w:szCs w:val="21"/>
          <w:color w:val="auto"/>
        </w:rPr>
        <w:t>” means the aggregate Outstanding Amount of all Loans and all L/C Obligations.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11.06(h)(i)</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means (a) with respect to a Committed Loan, its character as a Base Rate Loan, a Term Benchmark Loan or an RFR Loan, and (b) with respect to a Bid Loan, its character as an Absolute Rate Loan.</w:t>
      </w:r>
    </w:p>
    <w:p>
      <w:pPr>
        <w:spacing w:after="0" w:line="103"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03"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UCP</w:t>
      </w:r>
      <w:r>
        <w:rPr>
          <w:rFonts w:ascii="Times New Roman" w:cs="Times New Roman" w:eastAsia="Times New Roman" w:hAnsi="Times New Roman"/>
          <w:sz w:val="21"/>
          <w:szCs w:val="21"/>
          <w:color w:val="auto"/>
        </w:rPr>
        <w:t>” means, with respect to any Letter of Credit, the “Uniform Customs and Practice for Documentary Credits” published by the International Chamber of Commerce Publication No. 600 (or such later version thereof as may be in effect at the time of issuance).</w:t>
      </w:r>
    </w:p>
    <w:p>
      <w:pPr>
        <w:spacing w:after="0" w:line="140"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mean the United States of America.</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71" w:right="339" w:bottom="1440" w:gutter="0" w:footer="0" w:header="0"/>
        </w:sectPr>
      </w:pPr>
    </w:p>
    <w:bookmarkStart w:id="144" w:name="page145"/>
    <w:bookmarkEnd w:id="144"/>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Unused Commitment Fees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Dollar Equivalent</w:t>
      </w:r>
      <w:r>
        <w:rPr>
          <w:rFonts w:ascii="Times New Roman" w:cs="Times New Roman" w:eastAsia="Times New Roman" w:hAnsi="Times New Roman"/>
          <w:sz w:val="21"/>
          <w:szCs w:val="21"/>
          <w:color w:val="auto"/>
        </w:rPr>
        <w:t xml:space="preserve">” means, at any time, (a) with respect to any amount denominated in US Dollars, such amount and (b) with respect to any amount denominated in any Alternative Currency or any Discretionary Alternative Currency, the equivalent amount thereof in US Dollars as determined by the Administrative Agent pursuant to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xml:space="preserve"> on the basis of the Exchange Rate (determined as of the most recent applicable Revaluation Date) with respect to such Alternative Currency or such Discretionary Alternative Currency in effect for such amount on such date.</w:t>
      </w:r>
    </w:p>
    <w:p>
      <w:pPr>
        <w:spacing w:after="0" w:line="16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 “United States person” within the meaning of Section 7701(a)(30) of the Code.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11.20</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Voidable Transfer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 Owned Subsidiary</w:t>
      </w:r>
      <w:r>
        <w:rPr>
          <w:rFonts w:ascii="Times New Roman" w:cs="Times New Roman" w:eastAsia="Times New Roman" w:hAnsi="Times New Roman"/>
          <w:sz w:val="21"/>
          <w:szCs w:val="21"/>
          <w:color w:val="auto"/>
        </w:rPr>
        <w:t>” means, with respect to any Person, a Subsidiary of such Person all the Equity Interests of which (except for directors’ qualifying shares and other nominal amounts of Equity Interests that are required to be held by other Persons under applicable Law) are, at the time any determination is being made, owned, Controlled or held by such Person and/or one or more Wholly Owned Subsidiaries of such Person.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Withholding Agent</w:t>
      </w:r>
      <w:r>
        <w:rPr>
          <w:rFonts w:ascii="Times New Roman" w:cs="Times New Roman" w:eastAsia="Times New Roman" w:hAnsi="Times New Roman"/>
          <w:sz w:val="21"/>
          <w:szCs w:val="21"/>
          <w:color w:val="auto"/>
        </w:rPr>
        <w:t>” means any Loan Party or the Administrative Agent.</w:t>
      </w:r>
    </w:p>
    <w:p>
      <w:pPr>
        <w:spacing w:after="0" w:line="22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71" w:right="339" w:bottom="1440" w:gutter="0" w:footer="0" w:header="0"/>
        </w:sectPr>
      </w:pPr>
    </w:p>
    <w:bookmarkStart w:id="145" w:name="page146"/>
    <w:bookmarkEnd w:id="145"/>
    <w:p>
      <w:pPr>
        <w:ind w:firstLine="624"/>
        <w:spacing w:after="0" w:line="285"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Other Interpretive Provisions</w:t>
      </w:r>
      <w:r>
        <w:rPr>
          <w:rFonts w:ascii="Times New Roman" w:cs="Times New Roman" w:eastAsia="Times New Roman" w:hAnsi="Times New Roman"/>
          <w:sz w:val="21"/>
          <w:szCs w:val="21"/>
          <w:color w:val="auto"/>
        </w:rPr>
        <w:t>. With reference to this Agreement and each other Loan Document, unless otherwise specified herein or in such other Loan Document:</w:t>
      </w:r>
    </w:p>
    <w:p>
      <w:pPr>
        <w:spacing w:after="0" w:line="142" w:lineRule="exact"/>
        <w:rPr>
          <w:sz w:val="20"/>
          <w:szCs w:val="20"/>
          <w:color w:val="auto"/>
        </w:rPr>
      </w:pPr>
    </w:p>
    <w:p>
      <w:pPr>
        <w:jc w:val="both"/>
        <w:ind w:firstLine="721"/>
        <w:spacing w:after="0" w:line="255" w:lineRule="auto"/>
        <w:tabs>
          <w:tab w:leader="none" w:pos="126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will apply equally to the singular and plural forms of the terms defined. Whenever the context may require, any pronoun will include the corresponding masculine, feminine and neuter forms.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will be deemed to be followed by the phrase “without limitation”.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will be construed to have the same meaning and effect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Unless the context requires otherwise, (i) any definition of or reference to any agreement, instrument or other document (including any Organization Document) will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will be construed to include such Person’s successors and permitted assigns, (iii) the words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will be construed to refer to such Loan Document in its entirety and not to any particular provision thereof, (iv) all references in a Loan Document to Articles, Sections, Exhibits and Schedules will be construed to refer to Articles and Sections of, and Exhibits and Schedules to, the Loan Document in which such references appear, (v) any reference to any law will include all statutory and regulatory provisions consolidating, amending, replacing or interpreting such law and any reference to any law or regulation will, unless otherwise specified, refer to such law or regulation as amended, modified or supplemented from time to time, and (vi) the words “</w:t>
      </w:r>
      <w:r>
        <w:rPr>
          <w:rFonts w:ascii="Times New Roman" w:cs="Times New Roman" w:eastAsia="Times New Roman" w:hAnsi="Times New Roman"/>
          <w:sz w:val="21"/>
          <w:szCs w:val="21"/>
          <w:u w:val="single" w:color="auto"/>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will be construed to have the same meaning and effect and to refer to any and all tangible and intangible assets and properties, including cash, securities, accounts and contract rights.</w:t>
      </w:r>
    </w:p>
    <w:p>
      <w:pPr>
        <w:spacing w:after="0" w:line="174" w:lineRule="exact"/>
        <w:rPr>
          <w:rFonts w:ascii="Times New Roman" w:cs="Times New Roman" w:eastAsia="Times New Roman" w:hAnsi="Times New Roman"/>
          <w:sz w:val="21"/>
          <w:szCs w:val="21"/>
          <w:color w:val="auto"/>
        </w:rPr>
      </w:pPr>
    </w:p>
    <w:p>
      <w:pPr>
        <w:ind w:firstLine="718"/>
        <w:spacing w:after="0" w:line="298" w:lineRule="auto"/>
        <w:tabs>
          <w:tab w:leader="none" w:pos="126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“from” means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including</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until</w:t>
      </w:r>
      <w:r>
        <w:rPr>
          <w:rFonts w:ascii="Times New Roman" w:cs="Times New Roman" w:eastAsia="Times New Roman" w:hAnsi="Times New Roman"/>
          <w:sz w:val="21"/>
          <w:szCs w:val="21"/>
          <w:color w:val="auto"/>
        </w:rPr>
        <w:t>” each mean “</w:t>
      </w:r>
      <w:r>
        <w:rPr>
          <w:rFonts w:ascii="Times New Roman" w:cs="Times New Roman" w:eastAsia="Times New Roman" w:hAnsi="Times New Roman"/>
          <w:sz w:val="21"/>
          <w:szCs w:val="21"/>
          <w:u w:val="single" w:color="auto"/>
          <w:color w:val="auto"/>
        </w:rPr>
        <w:t>to but excluding</w:t>
      </w:r>
      <w:r>
        <w:rPr>
          <w:rFonts w:ascii="Times New Roman" w:cs="Times New Roman" w:eastAsia="Times New Roman" w:hAnsi="Times New Roman"/>
          <w:sz w:val="21"/>
          <w:szCs w:val="21"/>
          <w:color w:val="auto"/>
        </w:rPr>
        <w:t>”; and the word “</w:t>
      </w:r>
      <w:r>
        <w:rPr>
          <w:rFonts w:ascii="Times New Roman" w:cs="Times New Roman" w:eastAsia="Times New Roman" w:hAnsi="Times New Roman"/>
          <w:sz w:val="21"/>
          <w:szCs w:val="21"/>
          <w:u w:val="single" w:color="auto"/>
          <w:color w:val="auto"/>
        </w:rPr>
        <w:t>through</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to and including</w:t>
      </w:r>
      <w:r>
        <w:rPr>
          <w:rFonts w:ascii="Times New Roman" w:cs="Times New Roman" w:eastAsia="Times New Roman" w:hAnsi="Times New Roman"/>
          <w:sz w:val="21"/>
          <w:szCs w:val="21"/>
          <w:color w:val="auto"/>
        </w:rPr>
        <w:t>”.</w:t>
      </w:r>
    </w:p>
    <w:p>
      <w:pPr>
        <w:spacing w:after="0" w:line="129" w:lineRule="exact"/>
        <w:rPr>
          <w:rFonts w:ascii="Times New Roman" w:cs="Times New Roman" w:eastAsia="Times New Roman" w:hAnsi="Times New Roman"/>
          <w:sz w:val="21"/>
          <w:szCs w:val="21"/>
          <w:color w:val="auto"/>
        </w:rPr>
      </w:pPr>
    </w:p>
    <w:p>
      <w:pPr>
        <w:ind w:firstLine="718"/>
        <w:spacing w:after="0" w:line="285" w:lineRule="auto"/>
        <w:tabs>
          <w:tab w:leader="none" w:pos="126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Loan Documents are included for convenience of reference only and will not affect the interpretation of this Agreement or any other Loan Document.</w:t>
      </w:r>
    </w:p>
    <w:p>
      <w:pPr>
        <w:spacing w:after="0" w:line="14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in this Agreement or any other Loan Document to the contrary, (i) for purposes of determining compliance with any covenant (including the computation of any financial covenant, but excluding compliance with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contained herein, Indebtedness of the Borrower and its Subsidiaries shall be deemed to be carried at 100% of the outstanding principal amount thereof, and the effects of FASB ASC 825 and FASB ASC 470-20 shall be disregarded and (ii) treatment of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15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color w:val="auto"/>
        </w:rPr>
        <w:t>leases shall be subject to the proviso set forth in the definition of “Capital Lease Obligations”.</w:t>
      </w:r>
    </w:p>
    <w:p>
      <w:pPr>
        <w:spacing w:after="0" w:line="222" w:lineRule="exact"/>
        <w:rPr>
          <w:sz w:val="20"/>
          <w:szCs w:val="20"/>
          <w:color w:val="auto"/>
        </w:rPr>
      </w:pPr>
    </w:p>
    <w:p>
      <w:pPr>
        <w:jc w:val="both"/>
        <w:ind w:firstLine="718"/>
        <w:spacing w:after="0" w:line="258" w:lineRule="auto"/>
        <w:tabs>
          <w:tab w:leader="none" w:pos="126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GAAP</w:t>
      </w:r>
      <w:r>
        <w:rPr>
          <w:rFonts w:ascii="Times New Roman" w:cs="Times New Roman" w:eastAsia="Times New Roman" w:hAnsi="Times New Roman"/>
          <w:sz w:val="21"/>
          <w:szCs w:val="21"/>
          <w:color w:val="auto"/>
        </w:rPr>
        <w:t xml:space="preserve">. If at any time any change in GAAP would affect the computation of any financial ratio or requirement set forth in any Loan Document, and either Borrower or the Required Lenders shall so request, the Administrative Agent, the Lenders and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until so amended, (i) such ratio or requirement shall continue to be computed in accordance with GAAP prior to such change therein and (ii)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5"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 Forma Calculations</w:t>
      </w:r>
      <w:r>
        <w:rPr>
          <w:rFonts w:ascii="Times New Roman" w:cs="Times New Roman" w:eastAsia="Times New Roman" w:hAnsi="Times New Roman"/>
          <w:sz w:val="21"/>
          <w:szCs w:val="21"/>
          <w:color w:val="auto"/>
        </w:rPr>
        <w:t xml:space="preserve">. All pro forma computations required to be made hereunder giving effect to any Material Acquisition or Material Disposition shall be calculated after giving pro forma effect thereto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of the Borrower for which financial statements shall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(or, prior to the first such delivery, ending with the most recent fiscal quarter referred to in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and, to the extent applicable, the historical earnings and cash flows associated with the assets acquired or disposed of, any related incurrence or reduction of Indebtedness and, in the case of any Material Acquisition, any related cost savings, operating expense reductions and synergies which (i) are calculated on a basis that is consistent with Article 11 of Regulation S-X under the Securities Act or (ii) are implemented, committed to be implemented, the commencement of implementation of which has begun or is reasonably expected to be implemented in good faith by the business that was the subject of any such Material Acquisition within eighteen (18) months of the date of such Material Acquisition and that are factually supportable and quantifiable and expected to have a continuing impact, as if, in the case of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all such cost savings, operating expense reductions and synergies had been effected as of the beginning of such period, decreased by any recurring incremental expenses incurred or to be incurred during such period in order to achieve such cost savings, operating expense reductions and synergies. If any Indebtedness bears a floating rate of interest and is being given pro forma effect, the interest on such Indebtedness shall be calculated as if the rate in effect on the date of determination had been the applicable rate for the entire period (taking into account any Swap Contract applicable to such Indebtedness).</w:t>
      </w:r>
    </w:p>
    <w:p>
      <w:pPr>
        <w:spacing w:after="0" w:line="200" w:lineRule="exact"/>
        <w:rPr>
          <w:sz w:val="20"/>
          <w:szCs w:val="20"/>
          <w:color w:val="auto"/>
        </w:rPr>
      </w:pPr>
    </w:p>
    <w:p>
      <w:pPr>
        <w:spacing w:after="0" w:line="239"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Exchange Rates; US Dollar Equivalents</w:t>
      </w:r>
      <w:r>
        <w:rPr>
          <w:rFonts w:ascii="Times New Roman" w:cs="Times New Roman" w:eastAsia="Times New Roman" w:hAnsi="Times New Roman"/>
          <w:sz w:val="21"/>
          <w:szCs w:val="21"/>
          <w:color w:val="auto"/>
        </w:rPr>
        <w:t>. The Administrative Agent will determine, for each Loan or L/C Obligation denominated in an Alternative Currency or a Discretionary Alternative Currency, as of each applicable Revaluation Date, the Exchange Rate to be used for calculating the US Dollar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71" w:right="339" w:bottom="1440" w:gutter="0" w:footer="0" w:header="0"/>
        </w:sectPr>
      </w:pPr>
    </w:p>
    <w:bookmarkStart w:id="147" w:name="page148"/>
    <w:bookmarkEnd w:id="147"/>
    <w:p>
      <w:pPr>
        <w:jc w:val="both"/>
        <w:spacing w:after="0" w:line="266" w:lineRule="auto"/>
        <w:rPr>
          <w:sz w:val="20"/>
          <w:szCs w:val="20"/>
          <w:color w:val="auto"/>
        </w:rPr>
      </w:pPr>
      <w:r>
        <w:rPr>
          <w:rFonts w:ascii="Times New Roman" w:cs="Times New Roman" w:eastAsia="Times New Roman" w:hAnsi="Times New Roman"/>
          <w:sz w:val="21"/>
          <w:szCs w:val="21"/>
          <w:color w:val="auto"/>
        </w:rPr>
        <w:t>amount thereof. Such Exchange Rate shall become effective as of such Revaluation Date and shall be the Exchange Rate employed in determining the US Dollar Equivalent of such Loan or L/C Obligation until the next Revaluation Date to occur in respect of such Loan or L/C Obligation. The Administrative Agent shall notify the Borrower, the Lenders and the applicable L/C Issuer of each determination of the US Dollar Equivalent of each Loan and each L/C Obligation.</w:t>
      </w:r>
    </w:p>
    <w:p>
      <w:pPr>
        <w:spacing w:after="0" w:line="148" w:lineRule="exact"/>
        <w:rPr>
          <w:sz w:val="20"/>
          <w:szCs w:val="20"/>
          <w:color w:val="auto"/>
        </w:rPr>
      </w:pPr>
    </w:p>
    <w:p>
      <w:pPr>
        <w:jc w:val="both"/>
        <w:ind w:firstLine="624"/>
        <w:spacing w:after="0" w:line="246"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Additional Alternative Currencies</w:t>
      </w:r>
      <w:r>
        <w:rPr>
          <w:rFonts w:ascii="Times New Roman" w:cs="Times New Roman" w:eastAsia="Times New Roman" w:hAnsi="Times New Roman"/>
          <w:sz w:val="21"/>
          <w:szCs w:val="21"/>
          <w:color w:val="auto"/>
        </w:rPr>
        <w:t xml:space="preserve">. (a) The Borrower may from time to time request that Committed Loans be made and/or Letters of Credit be issued in a currency other US Dollars;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requested currency is freely available, freely transferable and freely convertible into US Dollars;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 in the case of any such request with respect to the making of Committed Loans, such request will be subject to the approval of the Administrative Agent and each Lender and (ii) in the case of any such request with respect to Letters of Credit, such request will be subject to the approval of the Administrative Agent and, as to Letters of Credit to be issued by such L/C Issuer, each L/C Issuer.</w:t>
      </w:r>
    </w:p>
    <w:p>
      <w:pPr>
        <w:spacing w:after="0" w:line="171" w:lineRule="exact"/>
        <w:rPr>
          <w:sz w:val="20"/>
          <w:szCs w:val="20"/>
          <w:color w:val="auto"/>
        </w:rPr>
      </w:pPr>
    </w:p>
    <w:p>
      <w:pPr>
        <w:ind w:left="1260" w:hanging="504"/>
        <w:spacing w:after="0"/>
        <w:tabs>
          <w:tab w:leader="none" w:pos="126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request will be made to the Administrative Agent not later than 10:00 a.m., New York City time, twenty</w:t>
      </w:r>
    </w:p>
    <w:p>
      <w:pPr>
        <w:spacing w:after="0" w:line="21" w:lineRule="exact"/>
        <w:rPr>
          <w:rFonts w:ascii="Times New Roman" w:cs="Times New Roman" w:eastAsia="Times New Roman" w:hAnsi="Times New Roman"/>
          <w:sz w:val="21"/>
          <w:szCs w:val="21"/>
          <w:color w:val="auto"/>
        </w:rPr>
      </w:pPr>
    </w:p>
    <w:p>
      <w:pPr>
        <w:ind w:left="500" w:hanging="456"/>
        <w:spacing w:after="0"/>
        <w:tabs>
          <w:tab w:leader="none" w:pos="5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date of the desired Credit Extension (or such other time or date as may be agreed by the</w:t>
      </w:r>
    </w:p>
    <w:p>
      <w:pPr>
        <w:spacing w:after="0" w:line="10" w:lineRule="exact"/>
        <w:rPr>
          <w:sz w:val="20"/>
          <w:szCs w:val="20"/>
          <w:color w:val="auto"/>
        </w:rPr>
      </w:pPr>
    </w:p>
    <w:p>
      <w:pPr>
        <w:jc w:val="both"/>
        <w:ind w:left="40"/>
        <w:spacing w:after="0"/>
        <w:rPr>
          <w:sz w:val="20"/>
          <w:szCs w:val="20"/>
          <w:color w:val="auto"/>
        </w:rPr>
      </w:pPr>
      <w:r>
        <w:rPr>
          <w:rFonts w:ascii="Times New Roman" w:cs="Times New Roman" w:eastAsia="Times New Roman" w:hAnsi="Times New Roman"/>
          <w:sz w:val="21"/>
          <w:szCs w:val="21"/>
          <w:color w:val="auto"/>
        </w:rPr>
        <w:t xml:space="preserve">Administrative Agent and, in the case of any such request pertaining to Letters of Credit, the applicable L/C Issuer, in its or their sole discretion). In the case of any such request pertaining to Committed Loans, the Administrative Agent will promptly notify each Lender thereof; and in the case of any such request pertaining to Letters of Credit, the Administrative Agent will promptly notify each L/C Issuer thereof. Each Lender (in the case of any such request pertaining to Committed Loans) or each L/C Issuer (in the case of any such request pertaining to Letters of Credit) will notify the Administrative Agent, not later than 10:00 a.m., New York City time, ten (10) Business Days after receipt of such request whether it consents, in its sole discretion, to the making of Committed Loans or the issuance of Letters of Credit, as the case may be, in such requested currency. Any failure by a Lender or an L/C Issuer to respond to such request within the time period specified in the preceding sentence will be deemed to be a refusal by such Lender or such L/C Issuer, as the case may be, to permit Committed Loans to be made or Letters of Credit to be issued in such requested currency. If the Administrative Agent and all the Lenders consent to making Committed Loans in such requested currency, the Administrative Agent will so notify the Borrower and such currency will thereupon be deemed to be an “Alternative Currency” hereunder for purposes of any Committed Loans; and if the Administrative Agent and any L/C Issuer consent to the issuance of Letters of Credit in such requested currency, the Administrative Agent will so notify the Borrower and such currency will thereupon be deemed for all purposes to be an “Alternative Currency” hereunder for purposes of any Letter of Credit issuances by such L/C Issuer. If the Administrative Agent shall fail to obtain consent to any request for an additional currency under this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the Administrative Agent will promptly so notify the Borrower.</w:t>
      </w:r>
    </w:p>
    <w:p>
      <w:pPr>
        <w:spacing w:after="0" w:line="193"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71" w:right="339" w:bottom="1440" w:gutter="0" w:footer="0" w:header="0"/>
        </w:sectPr>
      </w:pPr>
    </w:p>
    <w:bookmarkStart w:id="148" w:name="page149"/>
    <w:bookmarkEnd w:id="148"/>
    <w:p>
      <w:pPr>
        <w:jc w:val="both"/>
        <w:spacing w:after="0" w:line="267" w:lineRule="auto"/>
        <w:rPr>
          <w:sz w:val="20"/>
          <w:szCs w:val="20"/>
          <w:color w:val="auto"/>
        </w:rPr>
      </w:pPr>
      <w:r>
        <w:rPr>
          <w:rFonts w:ascii="Times New Roman" w:cs="Times New Roman" w:eastAsia="Times New Roman" w:hAnsi="Times New Roman"/>
          <w:sz w:val="21"/>
          <w:szCs w:val="21"/>
          <w:color w:val="auto"/>
        </w:rPr>
        <w:t>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7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Letter of Credit Amounts</w:t>
      </w:r>
      <w:r>
        <w:rPr>
          <w:rFonts w:ascii="Times New Roman" w:cs="Times New Roman" w:eastAsia="Times New Roman" w:hAnsi="Times New Roman"/>
          <w:sz w:val="21"/>
          <w:szCs w:val="21"/>
          <w:color w:val="auto"/>
        </w:rPr>
        <w:t xml:space="preserve">. Unless otherwise specified herein, the amount of a Letter of Credit at any time will be deemed to be the US Dollar Equivalent of the stated amount of such Letter of Credit in effect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Letter of Credit that, by its terms or the terms of any Issuer Document related thereto, provides for one or more automatic increases in the stated amount thereof, the amount of such Letter of Credit will be deemed to be the US Dollar Equivalent of the maximum stated amount of such Letter of Credit after giving effect to all such increases, whether or not such maximum stated amount is in effect at such time.</w:t>
      </w:r>
    </w:p>
    <w:p>
      <w:pPr>
        <w:spacing w:after="0" w:line="17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Rounding</w:t>
      </w:r>
      <w:r>
        <w:rPr>
          <w:rFonts w:ascii="Times New Roman" w:cs="Times New Roman" w:eastAsia="Times New Roman" w:hAnsi="Times New Roman"/>
          <w:sz w:val="21"/>
          <w:szCs w:val="21"/>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1.09. </w:t>
      </w:r>
      <w:r>
        <w:rPr>
          <w:rFonts w:ascii="Times New Roman" w:cs="Times New Roman" w:eastAsia="Times New Roman" w:hAnsi="Times New Roman"/>
          <w:sz w:val="21"/>
          <w:szCs w:val="21"/>
          <w:u w:val="single" w:color="auto"/>
          <w:color w:val="auto"/>
        </w:rPr>
        <w:t>Interest Rates; Benchmark Notification</w:t>
      </w:r>
      <w:r>
        <w:rPr>
          <w:rFonts w:ascii="Times New Roman" w:cs="Times New Roman" w:eastAsia="Times New Roman" w:hAnsi="Times New Roman"/>
          <w:sz w:val="21"/>
          <w:szCs w:val="21"/>
          <w:color w:val="auto"/>
        </w:rPr>
        <w:t>. The interest rate on a Loan denominated in Dollars may be derived from an interest rate benchmark that may be discontinued or is, or may in the future become, the subject of regulatory reform. Upon the occurrence of a Benchmark Transition Event, Section 2.17(b)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7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1"/>
          <w:szCs w:val="21"/>
          <w:color w:val="auto"/>
        </w:rPr>
        <w:t>ARTICLE II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COMMITMENTS AND CREDIT EXTENSIONS</w:t>
      </w:r>
    </w:p>
    <w:p>
      <w:pPr>
        <w:spacing w:after="0" w:line="22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Committed Loans</w:t>
      </w:r>
      <w:r>
        <w:rPr>
          <w:rFonts w:ascii="Times New Roman" w:cs="Times New Roman" w:eastAsia="Times New Roman" w:hAnsi="Times New Roman"/>
          <w:sz w:val="21"/>
          <w:szCs w:val="21"/>
          <w:color w:val="auto"/>
        </w:rPr>
        <w:t>. Subject to the terms and conditions set forth herein, each Lender severally agrees to make loans (each such loan, a “</w:t>
      </w:r>
      <w:r>
        <w:rPr>
          <w:rFonts w:ascii="Times New Roman" w:cs="Times New Roman" w:eastAsia="Times New Roman" w:hAnsi="Times New Roman"/>
          <w:sz w:val="21"/>
          <w:szCs w:val="21"/>
          <w:u w:val="single" w:color="auto"/>
          <w:color w:val="auto"/>
        </w:rPr>
        <w:t>Committed Loan</w:t>
      </w:r>
      <w:r>
        <w:rPr>
          <w:rFonts w:ascii="Times New Roman" w:cs="Times New Roman" w:eastAsia="Times New Roman" w:hAnsi="Times New Roman"/>
          <w:sz w:val="21"/>
          <w:szCs w:val="21"/>
          <w:color w:val="auto"/>
        </w:rPr>
        <w:t xml:space="preserve">”) to the Borrower in US Dollars or in one or more Alternative Currencies from time to time, on any Business Day during the Availability Period, in an aggregate principal amount that will not result in (a) the Total Outstandings exceeding the Aggregate Commitments, (b) the aggregate Outstanding Amount of the Committed Loans of any Lender, plus such Lender’s Applicable Percentage of the Outstanding Amount of all L/C Obligations exceeding such Lender’s Commitment or (c) the aggregate Outstanding Amount of all Committed Loans, all Bid Loans and all L/C Obligations denominated in Alternative Currencies or Discretionary Alternative Currencies exceeding the Alternative Currency Sublimit. Within the limits of each Lender’s Commitment, and subject to the other terms and conditions hereof, the Borrower may 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Committed Loans denominated in US Dollars may be Base Rate Loans or Term Benchmark Loans, all as further provided herein.</w:t>
      </w:r>
    </w:p>
    <w:p>
      <w:pPr>
        <w:spacing w:after="0" w:line="17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Borrowings, Conversions and Continuations of Committed Loans</w:t>
      </w:r>
      <w:r>
        <w:rPr>
          <w:rFonts w:ascii="Times New Roman" w:cs="Times New Roman" w:eastAsia="Times New Roman" w:hAnsi="Times New Roman"/>
          <w:sz w:val="21"/>
          <w:szCs w:val="21"/>
          <w:color w:val="auto"/>
        </w:rPr>
        <w:t xml:space="preserve">. (a) Each Committed Borrowing, each conversion of any Committed Borrowing denominated in US Dollars from one Type to the other, and each continuation of any Term Benchmark Committed Borrowing will be made upon the Borrower’s notice to the Administrative Agent, which must be given by hand delivery, fax or e-mail to the Administrative Agent of a written Committed Loan Notice, appropriately completed and signed by a Responsible Officer of the Borrower </w:t>
      </w:r>
      <w:r>
        <w:rPr>
          <w:rFonts w:ascii="Times New Roman" w:cs="Times New Roman" w:eastAsia="Times New Roman" w:hAnsi="Times New Roman"/>
          <w:sz w:val="21"/>
          <w:szCs w:val="21"/>
          <w:b w:val="1"/>
          <w:bCs w:val="1"/>
          <w:u w:val="single" w:color="auto"/>
          <w:color w:val="0000FF"/>
        </w:rPr>
        <w:t>(provided that, if such Committed Loan Notice is submitted through an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b w:val="1"/>
          <w:bCs w:val="1"/>
          <w:u w:val="single" w:color="auto"/>
          <w:color w:val="0000FF"/>
        </w:rPr>
        <w:t>Approved Borrower Portal, the foregoing signature requirement may be waived at the sole discretion of the Administrative Agent)</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subject to Section 3.05, a Committed Loan Notice requesting a borrowing of Committed Loans may state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it is conditioned upon the occurrence of one or more events specified therein, in which case such Committed Loan Notice may be revoked by the Borrower (by notice to the Administrative Agent prior to the time specified herein for the funding by the Lenders of the applicable Committed Borrowing) if such condition is not satisfied. Each such written Committed Loan Notice must be received by the Administrative Agent (i) not later than 12:00 noon, Local Time, three (3) U.S Government Securities Business Days prior to the requested date of any Committed Borrowing of, or conversion to or continuation of, Term Benchmark Committed Loans denominated in US Dollars, (ii) not later than 12:00 noon, Local Time, four (4) Business Days (or five (5) Business Days in the case of a Special Notice Currency) prior to the requested date of any Committed Borrowing of, or conversion to or continuation of, Committed Loans denominated in any Alternative Currency, (iii) not later than 1:00 p.m., Local Time, on the requested date of any Borrowing of, or conversion to, Base Rate Committed Loans, and (iv) solely to the extent that a Committed Borrowing of RFR Committed Loans denominated in US Dollars is being made available to the Borrower pursuant to the terms and conditions of Section 2.17, not later than 12:00 noon,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159" w:right="339" w:bottom="1440" w:gutter="0" w:footer="0" w:header="0"/>
        </w:sectPr>
      </w:pPr>
    </w:p>
    <w:bookmarkStart w:id="150" w:name="page151"/>
    <w:bookmarkEnd w:id="150"/>
    <w:p>
      <w:pPr>
        <w:jc w:val="both"/>
        <w:spacing w:after="0" w:line="285" w:lineRule="auto"/>
        <w:rPr>
          <w:sz w:val="20"/>
          <w:szCs w:val="20"/>
          <w:color w:val="auto"/>
        </w:rPr>
      </w:pPr>
      <w:r>
        <w:rPr>
          <w:rFonts w:ascii="Times New Roman" w:cs="Times New Roman" w:eastAsia="Times New Roman" w:hAnsi="Times New Roman"/>
          <w:sz w:val="21"/>
          <w:szCs w:val="21"/>
          <w:color w:val="auto"/>
        </w:rPr>
        <w:t>Time, three (3) U.S Government Securities Business Days prior to the requested date of any Committed Borrowing of RFR Committed Loans denominated in US Dollars.</w:t>
      </w:r>
    </w:p>
    <w:p>
      <w:pPr>
        <w:spacing w:after="0" w:line="129" w:lineRule="exact"/>
        <w:rPr>
          <w:sz w:val="20"/>
          <w:szCs w:val="20"/>
          <w:color w:val="auto"/>
        </w:rPr>
      </w:pPr>
    </w:p>
    <w:p>
      <w:pPr>
        <w:jc w:val="both"/>
        <w:ind w:firstLine="624"/>
        <w:spacing w:after="0" w:line="242" w:lineRule="auto"/>
        <w:rPr>
          <w:sz w:val="20"/>
          <w:szCs w:val="20"/>
          <w:color w:val="auto"/>
        </w:rPr>
      </w:pPr>
      <w:r>
        <w:rPr>
          <w:rFonts w:ascii="Times New Roman" w:cs="Times New Roman" w:eastAsia="Times New Roman" w:hAnsi="Times New Roman"/>
          <w:sz w:val="21"/>
          <w:szCs w:val="21"/>
          <w:color w:val="auto"/>
        </w:rPr>
        <w:t xml:space="preserve">Each Committed Loan shall be made as part of a Committed Borrowing consisting of Committed Loans of the same Type and in the same currency made by the Lenders ratably in accordance with their respective Commitments. Each Committed Borrowing initially shall be of the Type specified in the applicable Committed Loan Notice and, in the case of a Term Benchmark Committed Borrowing, each Committed Borrowing shall have an initial Interest Period as specified in such applicable Committed Loan Notice or as otherwise provided in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Thereafter, the Borrower may elect to convert such Committed Borrowing denominated in US Dollars to a Committed Borrowing of a different Type or to continue such Term Benchmark Committed Borrowing and, in the case of a Term Benchmark Committed Borrowing, may elect Interest Periods therefor, all as provided in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The Borrower may elect different conversion or continuation options with respect to different portions of the affected Committed Borrowing (and all references herein to conversion or continuation of a Committed Borrowing shall be understood to include any such election of different options with respect thereto), in which case each such portion shall be allocated ratably among the Lenders holding the Committed Loans comprising such Committed Borrowing, and the Committed Loans comprising each such portion shall be considered a separate Committed Borrowing. Notwithstanding any contrary provision herein, this Section shall not be construed to permit the Borrower to convert any Borrowing to a Borrowing of a Type not available under such Borrowing.</w:t>
      </w:r>
    </w:p>
    <w:p>
      <w:pPr>
        <w:spacing w:after="0" w:line="200" w:lineRule="exact"/>
        <w:rPr>
          <w:sz w:val="20"/>
          <w:szCs w:val="20"/>
          <w:color w:val="auto"/>
        </w:rPr>
      </w:pPr>
    </w:p>
    <w:p>
      <w:pPr>
        <w:spacing w:after="0" w:line="239" w:lineRule="exact"/>
        <w:rPr>
          <w:sz w:val="20"/>
          <w:szCs w:val="20"/>
          <w:color w:val="auto"/>
        </w:rPr>
      </w:pPr>
    </w:p>
    <w:p>
      <w:pPr>
        <w:jc w:val="both"/>
        <w:ind w:firstLine="624"/>
        <w:spacing w:after="0" w:line="249" w:lineRule="auto"/>
        <w:rPr>
          <w:sz w:val="20"/>
          <w:szCs w:val="20"/>
          <w:color w:val="auto"/>
        </w:rPr>
      </w:pPr>
      <w:r>
        <w:rPr>
          <w:rFonts w:ascii="Times New Roman" w:cs="Times New Roman" w:eastAsia="Times New Roman" w:hAnsi="Times New Roman"/>
          <w:sz w:val="21"/>
          <w:szCs w:val="21"/>
          <w:color w:val="auto"/>
        </w:rPr>
        <w:t xml:space="preserve">At the commencement of each Interest Period for any Term Benchmark Committed Borrowing, such Committed Borrowing shall be in a principal amount that is an integral multiple of the Borrowing Multiple and not less than the Borrowing Minimum;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Term Benchmark Committed Borrowing that results from a continuation of an outstanding Term Benchmark Committed Borrowing may be in an aggregate amount that is equal to such outstanding Borrowing. At the time that each Base Rate Committed Borrowing is made, such Committed Borrowing shall be in a principal amount that is an integral multiple of the Borrowing Multiple;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Base Rate Committed Borrowing may be in an aggregate amount that is equal to the entire unused balance of the Aggregate Commitments.</w:t>
      </w:r>
    </w:p>
    <w:p>
      <w:pPr>
        <w:spacing w:after="0" w:line="167" w:lineRule="exact"/>
        <w:rPr>
          <w:sz w:val="20"/>
          <w:szCs w:val="20"/>
          <w:color w:val="auto"/>
        </w:rPr>
      </w:pPr>
    </w:p>
    <w:p>
      <w:pPr>
        <w:jc w:val="both"/>
        <w:ind w:firstLine="624"/>
        <w:spacing w:after="0" w:line="249" w:lineRule="auto"/>
        <w:rPr>
          <w:sz w:val="20"/>
          <w:szCs w:val="20"/>
          <w:color w:val="auto"/>
        </w:rPr>
      </w:pPr>
      <w:r>
        <w:rPr>
          <w:rFonts w:ascii="Times New Roman" w:cs="Times New Roman" w:eastAsia="Times New Roman" w:hAnsi="Times New Roman"/>
          <w:sz w:val="21"/>
          <w:szCs w:val="21"/>
          <w:color w:val="auto"/>
        </w:rPr>
        <w:t>Each Committed Loan Notice will specify (i) whether the Borrower is requesting a Committed Borrowing, a conversion of any Committed Borrowing denominated in US Dollars from one Type to the other, or a continuation of any Term Benchmark Committed Borrowing, (ii) the requested date of such Committed Borrowing, conversion or continuation, as the case may be (which shall be a U.S. Government Securities Business Day), (iii) the aggregate principal amount and currency of Committed Loans to be borrowed or the existing Committed Borrowing that is to be converted or continued (and, if different conversion or continuation options are being elected with respect to different portions thereof, the portions thereof to be allocated to each resulting Committed Borrowing), (iv) the Type of each requested resulting Committed Borrowing, (v) the duration of the Interest Period with respect to each requested resulting Term Benchmark Committed Borrowing and (vi) if applicable, the location and number of the account to which funds are to be disbursed (which shall be an account of the Borrower or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71" w:right="339" w:bottom="1440" w:gutter="0" w:footer="0" w:header="0"/>
        </w:sectPr>
      </w:pPr>
    </w:p>
    <w:bookmarkStart w:id="151" w:name="page152"/>
    <w:bookmarkEnd w:id="151"/>
    <w:p>
      <w:pPr>
        <w:jc w:val="both"/>
        <w:spacing w:after="0" w:line="247" w:lineRule="auto"/>
        <w:rPr>
          <w:sz w:val="20"/>
          <w:szCs w:val="20"/>
          <w:color w:val="auto"/>
        </w:rPr>
      </w:pPr>
      <w:r>
        <w:rPr>
          <w:rFonts w:ascii="Times New Roman" w:cs="Times New Roman" w:eastAsia="Times New Roman" w:hAnsi="Times New Roman"/>
          <w:sz w:val="21"/>
          <w:szCs w:val="21"/>
          <w:color w:val="auto"/>
        </w:rPr>
        <w:t>account reasonably acceptable to the Administrative Agent and shall be located in New York City or another jurisdiction reasonably acceptable to the Administrative Agent). If the Borrower fails to specify a currency in a Committed Loan Notice requesting a Committed Borrowing, then the Committed Loans so requested will be made in US Dollars. If the Borrower fails to specify a Type of the requested Committed Loans denominated in US Dollars in a Committed Loan Notice, then the applicable Committed Loans will be made as Base Rate Loans. If the Borrower fails to give timely notice requesting a conversion or continuation of any Term Benchmark Committed Borrowing, such Term Benchmark Committed Borrowing will be continued with an Interest Period of one month and in its original currency. If the Borrower requests a Committed Borrowing of, or conversion to or continuation of, Term Benchmark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81" w:lineRule="exact"/>
        <w:rPr>
          <w:sz w:val="20"/>
          <w:szCs w:val="20"/>
          <w:color w:val="auto"/>
        </w:rPr>
      </w:pPr>
    </w:p>
    <w:p>
      <w:pPr>
        <w:jc w:val="both"/>
        <w:ind w:firstLine="718"/>
        <w:spacing w:after="0" w:line="247" w:lineRule="auto"/>
        <w:tabs>
          <w:tab w:leader="none" w:pos="126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receipt of a Committed Loan Notice, the Administrative Agent will promptly notify each Lender of the details thereof and of the amount (and currency) of its Applicable Percentage of each resulting Committed Borrowing. In the case of a Committed Loan Notice requesting the making of a Committed Borrowing, each Lender will make the amount of its Committed Loan to be made as part of such Committed Borrowing available to the Administrative Agent, in Same Day Funds for the applicable currency by wire transfer to the account of the Administrative Agent most recently designated by it for such purpose by notice to the Lenders, not later than 1:00 p.m., Local Time (2:00 p.m., Local Time, in the case of any Base Rate Committed Loan), in the case of any Committed Loan denominated in US Dollars, and not later than the Applicable Time in the case of any Committed Loan denominated in an Alternative Currency, in each case on the date of such Committed Borrowing specified in the applicable Committed Loan Notice. The Administrative Agent will make such Committed Loans available to the Borrower by remitting the amounts so received, in Same Day Funds for the applicable currency by wire transfer to the account of the Borrower specified in the applicable Committed Loan Notice, not later than 2:00 p.m., Local Time (3:00 p.m., Local Time, in the case of any Base Rate Committed Borrowing), on the same Business Day such funds are so received by the Administrative Agent.</w:t>
      </w:r>
    </w:p>
    <w:p>
      <w:pPr>
        <w:spacing w:after="0" w:line="184" w:lineRule="exact"/>
        <w:rPr>
          <w:rFonts w:ascii="Times New Roman" w:cs="Times New Roman" w:eastAsia="Times New Roman" w:hAnsi="Times New Roman"/>
          <w:sz w:val="21"/>
          <w:szCs w:val="21"/>
          <w:color w:val="auto"/>
        </w:rPr>
      </w:pPr>
    </w:p>
    <w:p>
      <w:pPr>
        <w:jc w:val="both"/>
        <w:ind w:firstLine="718"/>
        <w:spacing w:after="0" w:line="252" w:lineRule="auto"/>
        <w:tabs>
          <w:tab w:leader="none" w:pos="126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during the existence of an Event of Default and unless otherwise agreed by the Required Lenders, (i) no Committed Borrowing denominated in US Dollars may be converted to or continued as a Term Benchmark Committed Borrowing and (ii) unless repaid, (A) each Term Benchmark Borrowing and (B) each RFR Borrowing shall be converted to a Base Rate Borrowing (in the case of a Term Benchmark Borrowing) at the end of the Interest Period applicable thereto or (in the case of an RFR Borrowing) on the next Interest Payment Date in respect thereof.</w:t>
      </w:r>
    </w:p>
    <w:p>
      <w:pPr>
        <w:spacing w:after="0" w:line="176" w:lineRule="exact"/>
        <w:rPr>
          <w:rFonts w:ascii="Times New Roman" w:cs="Times New Roman" w:eastAsia="Times New Roman" w:hAnsi="Times New Roman"/>
          <w:sz w:val="21"/>
          <w:szCs w:val="21"/>
          <w:color w:val="auto"/>
        </w:rPr>
      </w:pPr>
    </w:p>
    <w:p>
      <w:pPr>
        <w:ind w:firstLine="718"/>
        <w:spacing w:after="0" w:line="298" w:lineRule="auto"/>
        <w:tabs>
          <w:tab w:leader="none" w:pos="126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Base Rate, Adjusted Term SOFR Rate, Term SOFR Rate, Adjusted Daily Simple SOFR or Daily Simple SOFR shall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58" w:right="339" w:bottom="1440" w:gutter="0" w:footer="0" w:header="0"/>
        </w:sectPr>
      </w:pPr>
    </w:p>
    <w:bookmarkStart w:id="152" w:name="page153"/>
    <w:bookmarkEnd w:id="152"/>
    <w:p>
      <w:pPr>
        <w:jc w:val="both"/>
        <w:spacing w:after="0" w:line="262" w:lineRule="auto"/>
        <w:rPr>
          <w:sz w:val="20"/>
          <w:szCs w:val="20"/>
          <w:color w:val="auto"/>
        </w:rPr>
      </w:pPr>
      <w:r>
        <w:rPr>
          <w:rFonts w:ascii="Times New Roman" w:cs="Times New Roman" w:eastAsia="Times New Roman" w:hAnsi="Times New Roman"/>
          <w:sz w:val="21"/>
          <w:szCs w:val="21"/>
          <w:color w:val="auto"/>
        </w:rPr>
        <w:t>Administrative Agent, and such determination shall be conclusive absent manifest error. The Administrative Agent will notify the Borrower and the Lenders of the Term SOFR Rate applicable to any Term Benchmark Committed Borrowing for any Interest Period promptly upon determination thereof. At any time that Base Rate Committed Loans are outstanding, the Administrative Agent will notify the Borrower and the Lenders of any change in the Prime Rate used in determining the Base Rate promptly following the public announcement of such change.</w:t>
      </w:r>
    </w:p>
    <w:p>
      <w:pPr>
        <w:spacing w:after="0" w:line="166" w:lineRule="exact"/>
        <w:rPr>
          <w:sz w:val="20"/>
          <w:szCs w:val="20"/>
          <w:color w:val="auto"/>
        </w:rPr>
      </w:pPr>
    </w:p>
    <w:p>
      <w:pPr>
        <w:jc w:val="both"/>
        <w:ind w:firstLine="718"/>
        <w:spacing w:after="0" w:line="266" w:lineRule="auto"/>
        <w:tabs>
          <w:tab w:leader="none" w:pos="126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after giving effect to all Committed Borrowings, all conversions of Committed Borrowings denominated in US Dollars from one Type to the other, and all continuations of Term Benchmark Committed Borrowings, there will not be more than ten (10) Interest Periods (or such greater number as may be agreed to by the Administrative Agent) in effect with respect to Term Benchmark Committed Loans.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0000FF"/>
        </w:rPr>
        <w:t>Notwithstanding the foregoing, in no event shall the Borrower be permitted to request pursuant to this Section 2.02 prior to a Benchmark Transition Event and Benchmark Replacement Date with respect to the Term SOFR Rate, an RFR Loan bearing interest based on Daily Simple SOFR (it being understood and agreed that Daily Simple SOFR shall only apply to the extent provided in Sections 2.17(a) and 2.17(f), as applicable).</w:t>
      </w:r>
    </w:p>
    <w:p>
      <w:pPr>
        <w:spacing w:after="0" w:line="15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Bid Loans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terms and conditions set forth herein, each Lender agrees that the Borrower may from time to time request the Lenders to submit offers to make loans in a Discretionary Alternative Currency (each such loan, a “</w:t>
      </w:r>
      <w:r>
        <w:rPr>
          <w:rFonts w:ascii="Times New Roman" w:cs="Times New Roman" w:eastAsia="Times New Roman" w:hAnsi="Times New Roman"/>
          <w:sz w:val="21"/>
          <w:szCs w:val="21"/>
          <w:u w:val="single" w:color="auto"/>
          <w:color w:val="auto"/>
        </w:rPr>
        <w:t>Bid Loan</w:t>
      </w:r>
      <w:r>
        <w:rPr>
          <w:rFonts w:ascii="Times New Roman" w:cs="Times New Roman" w:eastAsia="Times New Roman" w:hAnsi="Times New Roman"/>
          <w:sz w:val="21"/>
          <w:szCs w:val="21"/>
          <w:color w:val="auto"/>
        </w:rPr>
        <w:t xml:space="preserve">”) to the Borrower prior to the Maturity Date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after giving effect to any Bid Borrowing, (i) the Total Outstandings shall not exceed the Aggregate Commitments and (ii) the aggregate Outstanding Amount of all Bid Loans, all Committed Loans and all L/C Obligations denominated in Alternative Currencies or Discretionary Alternative Currencies shall not exceed the Alternative Currency Sublimit. There shall not be more than ten (10) different Interest Periods in effect with respect to Bid Loans at any time.</w:t>
      </w:r>
    </w:p>
    <w:p>
      <w:pPr>
        <w:spacing w:after="0" w:line="168" w:lineRule="exact"/>
        <w:rPr>
          <w:sz w:val="20"/>
          <w:szCs w:val="20"/>
          <w:color w:val="auto"/>
        </w:rPr>
      </w:pPr>
    </w:p>
    <w:p>
      <w:pPr>
        <w:jc w:val="both"/>
        <w:ind w:firstLine="718"/>
        <w:spacing w:after="0" w:line="243" w:lineRule="auto"/>
        <w:tabs>
          <w:tab w:leader="none" w:pos="126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Requesting Competitive Bids. The Borrower may request the submission of Competitive Bids by hand delivery, fax or e-mail of a Bid Request, appropriately completed and signed by a Responsible Officer of the Borrower, to the Administrative Agent not later than 12:00 noon, Local Time, five (5) Business Days prior to the requested date of any Bid Borrowing (or six (6) Business Days in the case of any Special Notice Currency). Each Bid Request shall specify (i) the requested date of the Bid Borrowing (which shall be a Business Day), (ii) the aggregate principal amount of Bid Loans requested (which shall be an aggregate amount that is an integral multiple of the Borrowing Multiple and not less than the Borrowing Minimum), (iii) the Type and currency of Bid Loans requested, (iv) the duration of the Interest Period with respect thereto and (v) the requested Discretionary Alternative Currency. No Bid Request shall contain a request for (A) more than one Type or currency of Bid Loan or (B) Bid Loans having more than three different Interest Periods. Bid Loans may only be Absolute Rate Loans. Unless the Administrative Agent otherwise agrees in its sole discretion,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7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1"/>
          <w:szCs w:val="21"/>
          <w:color w:val="auto"/>
        </w:rPr>
        <w:t>Borrower may not submit a Bid Request if it has submitted another Bid Request within the prior 30 days.</w:t>
      </w:r>
    </w:p>
    <w:p>
      <w:pPr>
        <w:spacing w:after="0" w:line="196" w:lineRule="exact"/>
        <w:rPr>
          <w:sz w:val="20"/>
          <w:szCs w:val="20"/>
          <w:color w:val="auto"/>
        </w:rPr>
      </w:pPr>
    </w:p>
    <w:p>
      <w:pPr>
        <w:ind w:firstLine="718"/>
        <w:spacing w:after="0" w:line="272" w:lineRule="auto"/>
        <w:tabs>
          <w:tab w:leader="none" w:pos="126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Submitting Competitive Bids</w:t>
      </w:r>
      <w:r>
        <w:rPr>
          <w:rFonts w:ascii="Times New Roman" w:cs="Times New Roman" w:eastAsia="Times New Roman" w:hAnsi="Times New Roman"/>
          <w:sz w:val="21"/>
          <w:szCs w:val="21"/>
          <w:color w:val="auto"/>
        </w:rPr>
        <w:t>. (i) The Administrative Agent shall promptly notify each Lender of each Bid Request received by it from the Borrower and the contents of such Bid Request.</w:t>
      </w:r>
    </w:p>
    <w:p>
      <w:pPr>
        <w:spacing w:after="0" w:line="128" w:lineRule="exact"/>
        <w:rPr>
          <w:rFonts w:ascii="Times New Roman" w:cs="Times New Roman" w:eastAsia="Times New Roman" w:hAnsi="Times New Roman"/>
          <w:sz w:val="21"/>
          <w:szCs w:val="21"/>
          <w:color w:val="auto"/>
        </w:rPr>
      </w:pPr>
    </w:p>
    <w:p>
      <w:pPr>
        <w:jc w:val="both"/>
        <w:ind w:left="640" w:firstLine="638"/>
        <w:spacing w:after="0" w:line="243" w:lineRule="auto"/>
        <w:tabs>
          <w:tab w:leader="none" w:pos="190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may (but shall have no obligation to) submit a Competitive Bid containing an offer to make one or more Bid Loans in response to such Bid Request. Such Competitive Bid must be delivered to the Administrative Agent not later than 11:30 a.m., Local Time, four (4) Business Days prior to the requested date of any Bid Borrowing (or five (5) Business Days in the case of any Special Notice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Competitive Bid submitted by JPMCB in its capacity as a Lender in response to any Bid Request must be submitted to the Administrative Agent not later than 11:15 a.m., Local Time, on the date on which Competitive Bids are required to be delivered by the other Lenders in response to such Bid Request. Each Competitive Bid shall specify (A) the proposed date of the Bid Borrowing, (B) the principal amount of each Bid Loan for which such Competitive Bid is being made, which principal amount (x) may be equal to, greater than or less than the Commitment of the bidding Lender, (y) must be an aggregate amount that is an integral multiple of the Borrowing Multiple and not less than the Borrowing Minimum and (z) may not exceed the principal amount of Bid Loans for which Competitive Bids were requested, (C) the Absolute Rate offered for each such Bid Loan and the Interest Period applicable thereto, (D) that such bidding Lender may advance the Bid Borrowing in the proposed Discretionary Alternative Currency and (E) the identity of the bidding Lender.</w:t>
      </w:r>
    </w:p>
    <w:p>
      <w:pPr>
        <w:spacing w:after="0" w:line="160" w:lineRule="exact"/>
        <w:rPr>
          <w:rFonts w:ascii="Times New Roman" w:cs="Times New Roman" w:eastAsia="Times New Roman" w:hAnsi="Times New Roman"/>
          <w:sz w:val="21"/>
          <w:szCs w:val="21"/>
          <w:color w:val="auto"/>
        </w:rPr>
      </w:pPr>
    </w:p>
    <w:p>
      <w:pPr>
        <w:jc w:val="both"/>
        <w:ind w:left="640" w:firstLine="638"/>
        <w:spacing w:after="0" w:line="243" w:lineRule="auto"/>
        <w:tabs>
          <w:tab w:leader="none" w:pos="190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Competitive Bid shall be disregarded if it (A) is received after the applicable time specified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(B) is not substantially in the form of a Competitive Bid as specified herein, (C) contains qualifying, conditional or similar language, (D) proposes terms other than or in addition to those set forth in the applicable Bid Request or (E) is otherwise not responsive to such Bid Request. Any Lender may correct a Competitive Bid containing a manifest error by submitting a corrected Competitive Bid (identified as such) not later than the applicable time required for submission of Competitive Bids. Any such submission of a corrected Competitive Bid shall constitute a revocation of the Competitive Bid that contained the manifest error. The Administrative Agent may, but shall not be required to, notify any Lender of any manifest error it detects in such Lender’s Competitive Bid.</w:t>
      </w:r>
    </w:p>
    <w:p>
      <w:pPr>
        <w:spacing w:after="0" w:line="164" w:lineRule="exact"/>
        <w:rPr>
          <w:rFonts w:ascii="Times New Roman" w:cs="Times New Roman" w:eastAsia="Times New Roman" w:hAnsi="Times New Roman"/>
          <w:sz w:val="21"/>
          <w:szCs w:val="21"/>
          <w:color w:val="auto"/>
        </w:rPr>
      </w:pPr>
    </w:p>
    <w:p>
      <w:pPr>
        <w:ind w:left="640" w:firstLine="638"/>
        <w:spacing w:after="0" w:line="272" w:lineRule="auto"/>
        <w:tabs>
          <w:tab w:leader="none" w:pos="191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only to the provisions of </w:t>
      </w:r>
      <w:r>
        <w:rPr>
          <w:rFonts w:ascii="Times New Roman" w:cs="Times New Roman" w:eastAsia="Times New Roman" w:hAnsi="Times New Roman"/>
          <w:sz w:val="21"/>
          <w:szCs w:val="21"/>
          <w:u w:val="single" w:color="auto"/>
          <w:color w:val="auto"/>
        </w:rPr>
        <w:t>Sections 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each Competitive Bid shall be irrevocable.</w:t>
      </w:r>
    </w:p>
    <w:p>
      <w:pPr>
        <w:spacing w:after="0" w:line="128" w:lineRule="exact"/>
        <w:rPr>
          <w:rFonts w:ascii="Times New Roman" w:cs="Times New Roman" w:eastAsia="Times New Roman" w:hAnsi="Times New Roman"/>
          <w:sz w:val="21"/>
          <w:szCs w:val="21"/>
          <w:color w:val="auto"/>
        </w:rPr>
      </w:pPr>
    </w:p>
    <w:p>
      <w:pPr>
        <w:jc w:val="both"/>
        <w:ind w:firstLine="718"/>
        <w:spacing w:after="0" w:line="261" w:lineRule="auto"/>
        <w:tabs>
          <w:tab w:leader="none" w:pos="126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to the Borrower of Competitive Bids. Not later than 12:00 noon, Local Time, four (4) Business Days prior to the requested date of any Bid Borrowing (or five (5) Business Days in the case of any Special Notice Currency), the Administrative Agent shall notify the Borrower of the identity of each Lender that has submitted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5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color w:val="auto"/>
        </w:rPr>
        <w:t xml:space="preserve">Competitive Bid that complies with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and of the terms of the offers contained in each such Competitive Bid.</w:t>
      </w:r>
    </w:p>
    <w:p>
      <w:pPr>
        <w:spacing w:after="0" w:line="209" w:lineRule="exact"/>
        <w:rPr>
          <w:sz w:val="20"/>
          <w:szCs w:val="20"/>
          <w:color w:val="auto"/>
        </w:rPr>
      </w:pPr>
    </w:p>
    <w:p>
      <w:pPr>
        <w:jc w:val="both"/>
        <w:ind w:firstLine="718"/>
        <w:spacing w:after="0" w:line="246" w:lineRule="auto"/>
        <w:tabs>
          <w:tab w:leader="none" w:pos="126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of Competitive Bids</w:t>
      </w:r>
      <w:r>
        <w:rPr>
          <w:rFonts w:ascii="Times New Roman" w:cs="Times New Roman" w:eastAsia="Times New Roman" w:hAnsi="Times New Roman"/>
          <w:sz w:val="21"/>
          <w:szCs w:val="21"/>
          <w:color w:val="auto"/>
        </w:rPr>
        <w:t xml:space="preserve">. Not later than 12:30 p.m., Local Time, four (4) Business Days prior to the requested date of any Bid Borrowing (or five (5) Business Days in the case of any Special Notice Currency), the Borrower shall notify the Administrative Agent of its acceptance or rejection of the offers notified to it pursuant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The Borrower shall be under no obligation to accept any Competitive Bid and may choose to reject all Competitive Bids. In the case of acceptance, such notice shall specify the aggregate principal amount of Competitive Bids for each Interest Period that is accepted. The Borrower may accept any Competitive Bid in whole or in part;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84" w:lineRule="exact"/>
        <w:rPr>
          <w:rFonts w:ascii="Times New Roman" w:cs="Times New Roman" w:eastAsia="Times New Roman" w:hAnsi="Times New Roman"/>
          <w:sz w:val="21"/>
          <w:szCs w:val="21"/>
          <w:color w:val="auto"/>
        </w:rPr>
      </w:pPr>
    </w:p>
    <w:p>
      <w:pPr>
        <w:ind w:left="640" w:firstLine="638"/>
        <w:spacing w:after="0" w:line="272" w:lineRule="auto"/>
        <w:tabs>
          <w:tab w:leader="none" w:pos="190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each Bid Borrowing may not exceed the applicable amount set forth in the related Bid Request;</w:t>
      </w:r>
    </w:p>
    <w:p>
      <w:pPr>
        <w:spacing w:after="0" w:line="141" w:lineRule="exact"/>
        <w:rPr>
          <w:rFonts w:ascii="Times New Roman" w:cs="Times New Roman" w:eastAsia="Times New Roman" w:hAnsi="Times New Roman"/>
          <w:sz w:val="21"/>
          <w:szCs w:val="21"/>
          <w:color w:val="auto"/>
        </w:rPr>
      </w:pPr>
    </w:p>
    <w:p>
      <w:pPr>
        <w:ind w:left="640" w:firstLine="638"/>
        <w:spacing w:after="0" w:line="272" w:lineRule="auto"/>
        <w:tabs>
          <w:tab w:leader="none" w:pos="190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each Bid Loan must be an aggregate amount that is an integral multiple of the Borrowing Multiple and not less than the Borrowing Minimum;</w:t>
      </w:r>
    </w:p>
    <w:p>
      <w:pPr>
        <w:spacing w:after="0" w:line="154"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acceptance of offers may be made only on the basis of ascending Absolute Rates within each Interest</w:t>
      </w:r>
    </w:p>
    <w:p>
      <w:pPr>
        <w:spacing w:after="0" w:line="21"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 and</w:t>
      </w:r>
    </w:p>
    <w:p>
      <w:pPr>
        <w:spacing w:after="0" w:line="185" w:lineRule="exact"/>
        <w:rPr>
          <w:rFonts w:ascii="Times New Roman" w:cs="Times New Roman" w:eastAsia="Times New Roman" w:hAnsi="Times New Roman"/>
          <w:sz w:val="21"/>
          <w:szCs w:val="21"/>
          <w:color w:val="auto"/>
        </w:rPr>
      </w:pPr>
    </w:p>
    <w:p>
      <w:pPr>
        <w:ind w:left="640" w:firstLine="638"/>
        <w:spacing w:after="0" w:line="272" w:lineRule="auto"/>
        <w:tabs>
          <w:tab w:leader="none" w:pos="190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not accept any offer that is described in </w:t>
      </w:r>
      <w:r>
        <w:rPr>
          <w:rFonts w:ascii="Times New Roman" w:cs="Times New Roman" w:eastAsia="Times New Roman" w:hAnsi="Times New Roman"/>
          <w:sz w:val="21"/>
          <w:szCs w:val="21"/>
          <w:u w:val="single" w:color="auto"/>
          <w:color w:val="auto"/>
        </w:rPr>
        <w:t>Section 2.03(c)(iii)</w:t>
      </w:r>
      <w:r>
        <w:rPr>
          <w:rFonts w:ascii="Times New Roman" w:cs="Times New Roman" w:eastAsia="Times New Roman" w:hAnsi="Times New Roman"/>
          <w:sz w:val="21"/>
          <w:szCs w:val="21"/>
          <w:color w:val="auto"/>
        </w:rPr>
        <w:t xml:space="preserve"> or that otherwise fails to comply with the requirements hereof.</w:t>
      </w:r>
    </w:p>
    <w:p>
      <w:pPr>
        <w:spacing w:after="0" w:line="154"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Identical Bids</w:t>
      </w:r>
      <w:r>
        <w:rPr>
          <w:rFonts w:ascii="Times New Roman" w:cs="Times New Roman" w:eastAsia="Times New Roman" w:hAnsi="Times New Roman"/>
          <w:sz w:val="21"/>
          <w:szCs w:val="21"/>
          <w:color w:val="auto"/>
        </w:rPr>
        <w:t xml:space="preserve">. If two or more Lenders have submitted Competitive Bids at the same Absolute Rate for the same Interest Period, and the result of accepting all of such Competitive Bids in whole (together with any other Competitive Bids at lower Absolute Rates accepted for such Interest Period in conformity with the requirements of </w:t>
      </w:r>
      <w:r>
        <w:rPr>
          <w:rFonts w:ascii="Times New Roman" w:cs="Times New Roman" w:eastAsia="Times New Roman" w:hAnsi="Times New Roman"/>
          <w:sz w:val="21"/>
          <w:szCs w:val="21"/>
          <w:u w:val="single" w:color="auto"/>
          <w:color w:val="auto"/>
        </w:rPr>
        <w:t>Section 2.03(e)(iii)</w:t>
      </w:r>
      <w:r>
        <w:rPr>
          <w:rFonts w:ascii="Times New Roman" w:cs="Times New Roman" w:eastAsia="Times New Roman" w:hAnsi="Times New Roman"/>
          <w:sz w:val="21"/>
          <w:szCs w:val="21"/>
          <w:color w:val="auto"/>
        </w:rPr>
        <w:t>) would be to cause the aggregate outstanding principal amount of the applicable Bid Borrowing to exceed the amount specified therefor in the related Bid Request, then, unless otherwise agreed by the Borrower, the Administrative Agent and such Lenders, such Competitive Bids shall be accepted as nearly as possible in proportion to the amount offered by each such Lender in respect of such Interest Period, with such accepted amounts being rounded to the nearest whole multiple of the Borrowing Multiple.</w:t>
      </w:r>
    </w:p>
    <w:p>
      <w:pPr>
        <w:spacing w:after="0" w:line="169"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Lenders of Acceptance or Rejection of Bids</w:t>
      </w:r>
      <w:r>
        <w:rPr>
          <w:rFonts w:ascii="Times New Roman" w:cs="Times New Roman" w:eastAsia="Times New Roman" w:hAnsi="Times New Roman"/>
          <w:sz w:val="21"/>
          <w:szCs w:val="21"/>
          <w:color w:val="auto"/>
        </w:rPr>
        <w:t xml:space="preserve">. The Administrative Agent shall promptly notify each Lender having submitted a Competitive Bid whether or not its offer has been accepted and, if its offer has been accepted, of the amount of the Bid Loan or Bid Loans to be made by it on the date of the applicable Bid Borrowing. Any Competitive Bid or portion thereof that is not accepted by the Borrower by the applicable time specified in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xml:space="preserve"> shall be deemed rejected.</w:t>
      </w:r>
    </w:p>
    <w:p>
      <w:pPr>
        <w:spacing w:after="0" w:line="161"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58" w:right="339" w:bottom="1440" w:gutter="0" w:footer="0" w:header="0"/>
        </w:sectPr>
      </w:pPr>
    </w:p>
    <w:bookmarkStart w:id="155" w:name="page156"/>
    <w:bookmarkEnd w:id="155"/>
    <w:p>
      <w:pPr>
        <w:jc w:val="both"/>
        <w:ind w:firstLine="718"/>
        <w:spacing w:after="0" w:line="245" w:lineRule="auto"/>
        <w:tabs>
          <w:tab w:leader="none" w:pos="127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of Bid Loans</w:t>
      </w:r>
      <w:r>
        <w:rPr>
          <w:rFonts w:ascii="Times New Roman" w:cs="Times New Roman" w:eastAsia="Times New Roman" w:hAnsi="Times New Roman"/>
          <w:sz w:val="21"/>
          <w:szCs w:val="21"/>
          <w:color w:val="auto"/>
        </w:rPr>
        <w:t xml:space="preserve">. Each Lender that has received notice pursuant to </w:t>
      </w:r>
      <w:r>
        <w:rPr>
          <w:rFonts w:ascii="Times New Roman" w:cs="Times New Roman" w:eastAsia="Times New Roman" w:hAnsi="Times New Roman"/>
          <w:sz w:val="21"/>
          <w:szCs w:val="21"/>
          <w:u w:val="single" w:color="auto"/>
          <w:color w:val="auto"/>
        </w:rPr>
        <w:t>Section 2.03(g)</w:t>
      </w:r>
      <w:r>
        <w:rPr>
          <w:rFonts w:ascii="Times New Roman" w:cs="Times New Roman" w:eastAsia="Times New Roman" w:hAnsi="Times New Roman"/>
          <w:sz w:val="21"/>
          <w:szCs w:val="21"/>
          <w:color w:val="auto"/>
        </w:rPr>
        <w:t xml:space="preserve"> that all or a portion of its Competitive Bid has been accepted by the Borrower shall make the amount of its Bid Loan(s) available to the Administrative Agent in Same Day Funds for the applicable Discretionary Alternative Currency by wire transfer to the account of the Administrative Agent most recently designated by it for such purpose by notice to the Lenders, not later than 2:00 p.m., Local Time, on the date of the requested Bid Borrowing. The Administrative Agent shall make all funds so received available to the Borrower in Same Day Funds for the applicable Discretionary Alternative Currency by wire transfer to the account of the Borrower specified by it to the Administrative Agent (which account shall be located in a jurisdiction reasonably acceptable to the Administrative Agent) not later than 3:00 p.m., Local Time, on the date of the requested Bid Borrowing.</w:t>
      </w:r>
    </w:p>
    <w:p>
      <w:pPr>
        <w:spacing w:after="0" w:line="174" w:lineRule="exact"/>
        <w:rPr>
          <w:rFonts w:ascii="Times New Roman" w:cs="Times New Roman" w:eastAsia="Times New Roman" w:hAnsi="Times New Roman"/>
          <w:sz w:val="21"/>
          <w:szCs w:val="21"/>
          <w:color w:val="auto"/>
        </w:rPr>
      </w:pPr>
    </w:p>
    <w:p>
      <w:pPr>
        <w:jc w:val="both"/>
        <w:ind w:firstLine="718"/>
        <w:spacing w:after="0" w:line="254" w:lineRule="auto"/>
        <w:tabs>
          <w:tab w:leader="none" w:pos="127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Range of Bids</w:t>
      </w:r>
      <w:r>
        <w:rPr>
          <w:rFonts w:ascii="Times New Roman" w:cs="Times New Roman" w:eastAsia="Times New Roman" w:hAnsi="Times New Roman"/>
          <w:sz w:val="21"/>
          <w:szCs w:val="21"/>
          <w:color w:val="auto"/>
        </w:rPr>
        <w:t xml:space="preserve">. After each Competitive Bid auction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the Administrative Agent shall notify each Lender that submitted a Competitive Bid in such auction of the ranges of bids submitted (without the bidder’s name) and accepted for each Bid Loan and the aggregate amount of each Bid Borrowing.</w:t>
      </w:r>
    </w:p>
    <w:p>
      <w:pPr>
        <w:spacing w:after="0" w:line="187"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The Letter of Credit Commitment</w:t>
      </w:r>
      <w:r>
        <w:rPr>
          <w:rFonts w:ascii="Times New Roman" w:cs="Times New Roman" w:eastAsia="Times New Roman" w:hAnsi="Times New Roman"/>
          <w:sz w:val="21"/>
          <w:szCs w:val="21"/>
          <w:color w:val="auto"/>
        </w:rPr>
        <w:t xml:space="preserve">. (i) Subject to the terms and conditions set forth herein, each L/C Issuer agrees, in reliance upon the agreements of the Lenders set forth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(1) from time to time on any Business Day during the period from the Effective Date until the Letter of Credit Expiration Date, to issue Letters of Credit denominated in US Dollars or in one or more Alternative Currencies (but in the case of any Alternative Currency, only if such Alternative Currency shall have been approved by such L/C Issuer as provided in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for the account of the Borrower or, so long as the Borrower is a joint and several co-applicant with respect thereto, any other Subsidiary of the Borrower, and to amend Letters of Credit previously issued by it, in accordance with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and (2) to honor complying drawings under the Letters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any L/C Credit Extension with respect to any Letter of Credit, (A) the Total Outstandings shall not exceed the Aggregate Commitments, (B) the aggregate Outstanding Amount of all Bid Loans, all Committed Loans and all L/C Obligations denominated in Alternative Currencies or Discretionary Alternative Currencies shall not exceed the Alternative Currency Sublimit, (C) the aggregate Outstanding Amount of the Committed Loans of any Lender, plus such Lender’s Applicable Percentage of the Outstanding Amount of all L/C Obligations shall not exceed such Lender’s Commitment,</w:t>
      </w:r>
    </w:p>
    <w:p>
      <w:pPr>
        <w:spacing w:after="0" w:line="5" w:lineRule="exact"/>
        <w:rPr>
          <w:sz w:val="20"/>
          <w:szCs w:val="20"/>
          <w:color w:val="auto"/>
        </w:rPr>
      </w:pPr>
    </w:p>
    <w:p>
      <w:pPr>
        <w:jc w:val="both"/>
        <w:ind w:firstLine="6"/>
        <w:spacing w:after="0" w:line="253" w:lineRule="auto"/>
        <w:tabs>
          <w:tab w:leader="none" w:pos="36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Amount of the L/C Obligations attributable to Letters of Credit issued by any L/C Issuer will not exceed the Letter of Credit Commitment of such L/C Issuer and (E) the Outstanding Amount of the L/C Obligations shall not exceed the total Letter of Credit Commitments. Each request by the Borrower for any L/C Credit Extension will be deemed to be a representation by the Borrower that the L/C Credit Extension so requested complies with the conditions set forth in the proviso to the preceding sentence. Within the foregoing limits, and subject to the terms and conditions hereof, the ability to obtain Letters of Credit will be fully revolving, and accordingly, during the foregoing period, Letters of Credit may be obtained to replace Letters of Credit that have expired or that have been drawn upon and reimbursed. All Existing Letters of Credit shall be deemed to have been issued pursuant hereto, and from and after the Effective Date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58" w:right="339" w:bottom="1440" w:gutter="0" w:footer="0" w:header="0"/>
        </w:sectPr>
      </w:pPr>
    </w:p>
    <w:bookmarkStart w:id="156" w:name="page157"/>
    <w:bookmarkEnd w:id="156"/>
    <w:p>
      <w:pPr>
        <w:spacing w:after="0" w:line="289" w:lineRule="auto"/>
        <w:rPr>
          <w:sz w:val="20"/>
          <w:szCs w:val="20"/>
          <w:color w:val="auto"/>
        </w:rPr>
      </w:pPr>
      <w:r>
        <w:rPr>
          <w:rFonts w:ascii="Times New Roman" w:cs="Times New Roman" w:eastAsia="Times New Roman" w:hAnsi="Times New Roman"/>
          <w:sz w:val="21"/>
          <w:szCs w:val="21"/>
          <w:color w:val="auto"/>
        </w:rPr>
        <w:t xml:space="preserve">and governed by the terms and conditions hereof. </w:t>
      </w:r>
      <w:r>
        <w:rPr>
          <w:rFonts w:ascii="Times New Roman" w:cs="Times New Roman" w:eastAsia="Times New Roman" w:hAnsi="Times New Roman"/>
          <w:sz w:val="21"/>
          <w:szCs w:val="21"/>
          <w:b w:val="1"/>
          <w:bCs w:val="1"/>
          <w:u w:val="single" w:color="auto"/>
          <w:color w:val="0000FF"/>
        </w:rPr>
        <w:t>Notwithstanding the foregoing, there shall not at any time be more than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total of twenty (20) Letters of Credit outstanding.</w:t>
      </w:r>
    </w:p>
    <w:p>
      <w:pPr>
        <w:spacing w:after="0" w:line="138" w:lineRule="exact"/>
        <w:rPr>
          <w:sz w:val="20"/>
          <w:szCs w:val="20"/>
          <w:color w:val="auto"/>
        </w:rPr>
      </w:pPr>
    </w:p>
    <w:p>
      <w:pPr>
        <w:ind w:left="1900" w:hanging="622"/>
        <w:spacing w:after="0"/>
        <w:tabs>
          <w:tab w:leader="none" w:pos="19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will issue any Letter of Credit (other than an Existing Letter of Credit) if:</w:t>
      </w:r>
    </w:p>
    <w:p>
      <w:pPr>
        <w:spacing w:after="0" w:line="235" w:lineRule="exact"/>
        <w:rPr>
          <w:rFonts w:ascii="Times New Roman" w:cs="Times New Roman" w:eastAsia="Times New Roman" w:hAnsi="Times New Roman"/>
          <w:sz w:val="21"/>
          <w:szCs w:val="21"/>
          <w:color w:val="auto"/>
        </w:rPr>
      </w:pPr>
    </w:p>
    <w:p>
      <w:pPr>
        <w:jc w:val="both"/>
        <w:ind w:left="1280" w:firstLine="643"/>
        <w:spacing w:after="0" w:line="259" w:lineRule="auto"/>
        <w:tabs>
          <w:tab w:leader="none" w:pos="254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2.04(b)(iii)</w:t>
      </w:r>
      <w:r>
        <w:rPr>
          <w:rFonts w:ascii="Times New Roman" w:cs="Times New Roman" w:eastAsia="Times New Roman" w:hAnsi="Times New Roman"/>
          <w:sz w:val="21"/>
          <w:szCs w:val="21"/>
          <w:color w:val="auto"/>
        </w:rPr>
        <w:t>, the expiry date of such requested Letter of Credit would occur more than twelve (12) months after the date of issuance or last extension thereof, unless the Required Lenders have approved such expiry date, such Letter of Credit is Cash Collateralized or a back-stop letter of credit issued by a bank or financial institution reasonably acceptable to the Administrative Agent and the applicable L/C Issuer is provided therefor; or</w:t>
      </w:r>
    </w:p>
    <w:p>
      <w:pPr>
        <w:spacing w:after="0" w:line="181" w:lineRule="exact"/>
        <w:rPr>
          <w:rFonts w:ascii="Times New Roman" w:cs="Times New Roman" w:eastAsia="Times New Roman" w:hAnsi="Times New Roman"/>
          <w:sz w:val="21"/>
          <w:szCs w:val="21"/>
          <w:color w:val="auto"/>
        </w:rPr>
      </w:pPr>
    </w:p>
    <w:p>
      <w:pPr>
        <w:ind w:left="1280" w:firstLine="634"/>
        <w:spacing w:after="0" w:line="285" w:lineRule="auto"/>
        <w:tabs>
          <w:tab w:leader="none" w:pos="254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expiry date of such requested Letter of Credit would occur after the Letter of Credit Expiration Date, unless all the Lenders have approved such expiry date.</w:t>
      </w:r>
    </w:p>
    <w:p>
      <w:pPr>
        <w:spacing w:after="0" w:line="141"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will be under any obligation to issue any Letter of Credit if:</w:t>
      </w:r>
    </w:p>
    <w:p>
      <w:pPr>
        <w:spacing w:after="0" w:line="222" w:lineRule="exact"/>
        <w:rPr>
          <w:rFonts w:ascii="Times New Roman" w:cs="Times New Roman" w:eastAsia="Times New Roman" w:hAnsi="Times New Roman"/>
          <w:sz w:val="21"/>
          <w:szCs w:val="21"/>
          <w:color w:val="auto"/>
        </w:rPr>
      </w:pPr>
    </w:p>
    <w:p>
      <w:pPr>
        <w:jc w:val="both"/>
        <w:ind w:left="1280" w:firstLine="634"/>
        <w:spacing w:after="0" w:line="257" w:lineRule="auto"/>
        <w:tabs>
          <w:tab w:leader="none" w:pos="254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such L/C Issuer from issuing</w:t>
      </w:r>
      <w:r>
        <w:rPr>
          <w:rFonts w:ascii="Times New Roman" w:cs="Times New Roman" w:eastAsia="Times New Roman" w:hAnsi="Times New Roman"/>
          <w:sz w:val="21"/>
          <w:szCs w:val="21"/>
          <w:b w:val="1"/>
          <w:bCs w:val="1"/>
          <w:u w:val="single" w:color="auto"/>
          <w:color w:val="0000FF"/>
        </w:rPr>
        <w:t>, amending or extending</w:t>
      </w:r>
      <w:r>
        <w:rPr>
          <w:rFonts w:ascii="Times New Roman" w:cs="Times New Roman" w:eastAsia="Times New Roman" w:hAnsi="Times New Roman"/>
          <w:sz w:val="21"/>
          <w:szCs w:val="21"/>
          <w:color w:val="auto"/>
        </w:rPr>
        <w:t xml:space="preserve"> such Letter of Credit, or any Law applicable to such L/C Issuer or any request or directive (whether or not having the force of law) from any Governmental Authority with jurisdiction over such L/C Issuer shall prohibit</w:t>
      </w:r>
      <w:r>
        <w:rPr>
          <w:rFonts w:ascii="Times New Roman" w:cs="Times New Roman" w:eastAsia="Times New Roman" w:hAnsi="Times New Roman"/>
          <w:sz w:val="21"/>
          <w:szCs w:val="21"/>
          <w:b w:val="1"/>
          <w:bCs w:val="1"/>
          <w:color w:val="FF0000"/>
          <w:strike w:val="1"/>
        </w:rPr>
        <w:t>, or request that such L/C Issuer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refrain from,</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issuance</w:t>
      </w:r>
      <w:r>
        <w:rPr>
          <w:rFonts w:ascii="Times New Roman" w:cs="Times New Roman" w:eastAsia="Times New Roman" w:hAnsi="Times New Roman"/>
          <w:sz w:val="21"/>
          <w:szCs w:val="21"/>
          <w:b w:val="1"/>
          <w:bCs w:val="1"/>
          <w:u w:val="single" w:color="auto"/>
          <w:color w:val="0000FF"/>
        </w:rPr>
        <w:t>, amendment or extension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of letters of credit generally or such Letter of Credit in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particular</w:t>
      </w:r>
      <w:r>
        <w:rPr>
          <w:rFonts w:ascii="Times New Roman" w:cs="Times New Roman" w:eastAsia="Times New Roman" w:hAnsi="Times New Roman"/>
          <w:sz w:val="21"/>
          <w:szCs w:val="21"/>
          <w:b w:val="1"/>
          <w:bCs w:val="1"/>
          <w:u w:val="single" w:color="auto"/>
          <w:color w:val="0000FF"/>
        </w:rPr>
        <w:t>, or any such order, judgement or decree, or law</w:t>
      </w:r>
      <w:r>
        <w:rPr>
          <w:rFonts w:ascii="Times New Roman" w:cs="Times New Roman" w:eastAsia="Times New Roman" w:hAnsi="Times New Roman"/>
          <w:sz w:val="21"/>
          <w:szCs w:val="21"/>
          <w:color w:val="000000"/>
        </w:rPr>
        <w:t xml:space="preserve"> or shall impose upon such L/C Issuer with respect to the Letter of Credit any restriction, reserve or capital </w:t>
      </w:r>
      <w:r>
        <w:rPr>
          <w:rFonts w:ascii="Times New Roman" w:cs="Times New Roman" w:eastAsia="Times New Roman" w:hAnsi="Times New Roman"/>
          <w:sz w:val="21"/>
          <w:szCs w:val="21"/>
          <w:b w:val="1"/>
          <w:bCs w:val="1"/>
          <w:u w:val="single" w:color="auto"/>
          <w:color w:val="0000FF"/>
        </w:rPr>
        <w:t>or liquidity</w:t>
      </w:r>
      <w:r>
        <w:rPr>
          <w:rFonts w:ascii="Times New Roman" w:cs="Times New Roman" w:eastAsia="Times New Roman" w:hAnsi="Times New Roman"/>
          <w:sz w:val="21"/>
          <w:szCs w:val="21"/>
          <w:color w:val="000000"/>
        </w:rPr>
        <w:t xml:space="preserve"> requirement (for which such L/C Issuer is not otherwise compensated hereunder) not in effect on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000000"/>
        </w:rPr>
        <w:t xml:space="preserve"> Effective Date, or shall impose upon such L/C Issuer any unreimbursed loss, cost or expense which was not applicable on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000000"/>
        </w:rPr>
        <w:t xml:space="preserve"> Effective Date and which such L/C Issuer in good faith deems material to it;</w:t>
      </w:r>
    </w:p>
    <w:p>
      <w:pPr>
        <w:spacing w:after="0" w:line="166" w:lineRule="exact"/>
        <w:rPr>
          <w:rFonts w:ascii="Times New Roman" w:cs="Times New Roman" w:eastAsia="Times New Roman" w:hAnsi="Times New Roman"/>
          <w:sz w:val="21"/>
          <w:szCs w:val="21"/>
          <w:color w:val="auto"/>
        </w:rPr>
      </w:pPr>
    </w:p>
    <w:p>
      <w:pPr>
        <w:jc w:val="both"/>
        <w:ind w:left="1280" w:firstLine="634"/>
        <w:spacing w:after="0" w:line="269" w:lineRule="auto"/>
        <w:tabs>
          <w:tab w:leader="none" w:pos="254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w:t>
      </w:r>
      <w:r>
        <w:rPr>
          <w:rFonts w:ascii="Times New Roman" w:cs="Times New Roman" w:eastAsia="Times New Roman" w:hAnsi="Times New Roman"/>
          <w:sz w:val="21"/>
          <w:szCs w:val="21"/>
          <w:b w:val="1"/>
          <w:bCs w:val="1"/>
          <w:u w:val="single" w:color="auto"/>
          <w:color w:val="0000FF"/>
        </w:rPr>
        <w:t>, amendment or extension</w:t>
      </w:r>
      <w:r>
        <w:rPr>
          <w:rFonts w:ascii="Times New Roman" w:cs="Times New Roman" w:eastAsia="Times New Roman" w:hAnsi="Times New Roman"/>
          <w:sz w:val="21"/>
          <w:szCs w:val="21"/>
          <w:color w:val="auto"/>
        </w:rPr>
        <w:t xml:space="preserve"> of the Letter of Credit would violate one or more policies of such L/C Issuer applicable to letters of credit issued to customers of such L/C Issuer that are similarly situated to the Borrower;</w:t>
      </w:r>
    </w:p>
    <w:p>
      <w:pPr>
        <w:spacing w:after="0" w:line="172" w:lineRule="exact"/>
        <w:rPr>
          <w:rFonts w:ascii="Times New Roman" w:cs="Times New Roman" w:eastAsia="Times New Roman" w:hAnsi="Times New Roman"/>
          <w:sz w:val="21"/>
          <w:szCs w:val="21"/>
          <w:color w:val="auto"/>
        </w:rPr>
      </w:pPr>
    </w:p>
    <w:p>
      <w:pPr>
        <w:ind w:left="1280" w:firstLine="634"/>
        <w:spacing w:after="0" w:line="285" w:lineRule="auto"/>
        <w:tabs>
          <w:tab w:leader="none" w:pos="254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agreed by the Administrative Agent and such L/C Issuer, the Letter of Credit is in an initial stated amount the US Dollar Equivalent of which is less than $100,000,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67" w:right="339" w:bottom="1440" w:gutter="0" w:footer="0" w:header="0"/>
        </w:sectPr>
      </w:pPr>
    </w:p>
    <w:bookmarkStart w:id="157" w:name="page158"/>
    <w:bookmarkEnd w:id="157"/>
    <w:p>
      <w:pPr>
        <w:ind w:left="1280"/>
        <w:spacing w:after="0"/>
        <w:rPr>
          <w:sz w:val="20"/>
          <w:szCs w:val="20"/>
          <w:color w:val="auto"/>
        </w:rPr>
      </w:pPr>
      <w:r>
        <w:rPr>
          <w:rFonts w:ascii="Times New Roman" w:cs="Times New Roman" w:eastAsia="Times New Roman" w:hAnsi="Times New Roman"/>
          <w:sz w:val="21"/>
          <w:szCs w:val="21"/>
          <w:color w:val="auto"/>
        </w:rPr>
        <w:t>commercial Letter of Credit, or $250,000, in the case of a standby Letter of Credit;</w:t>
      </w:r>
    </w:p>
    <w:p>
      <w:pPr>
        <w:spacing w:after="0" w:line="209" w:lineRule="exact"/>
        <w:rPr>
          <w:sz w:val="20"/>
          <w:szCs w:val="20"/>
          <w:color w:val="auto"/>
        </w:rPr>
      </w:pPr>
    </w:p>
    <w:p>
      <w:pPr>
        <w:ind w:left="1280" w:firstLine="634"/>
        <w:spacing w:after="0" w:line="285" w:lineRule="auto"/>
        <w:tabs>
          <w:tab w:leader="none" w:pos="2541"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Letter of Credit is to be denominated in a currency other than US Dollars or an Alternative Currency that has been approved by such L/C Issuer as provided in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w:t>
      </w:r>
    </w:p>
    <w:p>
      <w:pPr>
        <w:spacing w:after="0" w:line="115" w:lineRule="exact"/>
        <w:rPr>
          <w:rFonts w:ascii="Times New Roman" w:cs="Times New Roman" w:eastAsia="Times New Roman" w:hAnsi="Times New Roman"/>
          <w:sz w:val="21"/>
          <w:szCs w:val="21"/>
          <w:color w:val="auto"/>
        </w:rPr>
      </w:pPr>
    </w:p>
    <w:p>
      <w:pPr>
        <w:ind w:left="1280" w:firstLine="634"/>
        <w:spacing w:after="0" w:line="272" w:lineRule="auto"/>
        <w:tabs>
          <w:tab w:leader="none" w:pos="2544"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L/C Issuer does not as of the issuance date of such requested Letter of Credit issue Letters of Credit in the requested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currency is not US Dollars;</w:t>
      </w:r>
    </w:p>
    <w:p>
      <w:pPr>
        <w:spacing w:after="0" w:line="141" w:lineRule="exact"/>
        <w:rPr>
          <w:rFonts w:ascii="Times New Roman" w:cs="Times New Roman" w:eastAsia="Times New Roman" w:hAnsi="Times New Roman"/>
          <w:sz w:val="21"/>
          <w:szCs w:val="21"/>
          <w:color w:val="auto"/>
        </w:rPr>
      </w:pPr>
    </w:p>
    <w:p>
      <w:pPr>
        <w:jc w:val="both"/>
        <w:ind w:left="1280" w:firstLine="643"/>
        <w:spacing w:after="0" w:line="249" w:lineRule="auto"/>
        <w:tabs>
          <w:tab w:leader="none" w:pos="2533"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is at that time a Defaulting Lender, unless such L/C Issuer has entered into arrangements, including the delivery of Cash Collateral, reasonably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with respect to such Defaulting Lender arising from either the Letter of Credit then proposed to be issued or such Letter of Credit and all other L/C Obligations as to which such L/C Issuer has actual or potential Fronting Exposure, as it may elect in its sole discretion; or</w:t>
      </w:r>
    </w:p>
    <w:p>
      <w:pPr>
        <w:spacing w:after="0" w:line="166" w:lineRule="exact"/>
        <w:rPr>
          <w:rFonts w:ascii="Times New Roman" w:cs="Times New Roman" w:eastAsia="Times New Roman" w:hAnsi="Times New Roman"/>
          <w:sz w:val="21"/>
          <w:szCs w:val="21"/>
          <w:color w:val="auto"/>
        </w:rPr>
      </w:pPr>
    </w:p>
    <w:p>
      <w:pPr>
        <w:ind w:left="1280" w:firstLine="634"/>
        <w:spacing w:after="0" w:line="272" w:lineRule="auto"/>
        <w:tabs>
          <w:tab w:leader="none" w:pos="2541"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Letter of Credit is not of the type approved for issuance by such L/C Issuer (with each L/C Issuer acknowledging that standby Letters of Credit are of the type approved for issuance by such L/C Issuer).</w:t>
      </w:r>
    </w:p>
    <w:p>
      <w:pPr>
        <w:spacing w:after="0" w:line="128" w:lineRule="exact"/>
        <w:rPr>
          <w:rFonts w:ascii="Times New Roman" w:cs="Times New Roman" w:eastAsia="Times New Roman" w:hAnsi="Times New Roman"/>
          <w:sz w:val="21"/>
          <w:szCs w:val="21"/>
          <w:color w:val="auto"/>
        </w:rPr>
      </w:pPr>
    </w:p>
    <w:p>
      <w:pPr>
        <w:ind w:left="640" w:right="20" w:firstLine="638"/>
        <w:spacing w:after="0" w:line="285" w:lineRule="auto"/>
        <w:tabs>
          <w:tab w:leader="none" w:pos="19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amend any Letter of Credit if such L/C Issuer would not be permitted at such time to issue the Letter of Credit in its amended form under the terms hereof.</w:t>
      </w:r>
    </w:p>
    <w:p>
      <w:pPr>
        <w:spacing w:after="0" w:line="115"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7"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will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39" w:lineRule="exact"/>
        <w:rPr>
          <w:rFonts w:ascii="Times New Roman" w:cs="Times New Roman" w:eastAsia="Times New Roman" w:hAnsi="Times New Roman"/>
          <w:sz w:val="21"/>
          <w:szCs w:val="21"/>
          <w:color w:val="auto"/>
        </w:rPr>
      </w:pPr>
    </w:p>
    <w:p>
      <w:pPr>
        <w:jc w:val="both"/>
        <w:ind w:left="640" w:firstLine="638"/>
        <w:spacing w:after="0" w:line="251" w:lineRule="auto"/>
        <w:tabs>
          <w:tab w:leader="none" w:pos="190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L/C Issuer will act on behalf of the Lenders with respect to any Letters of Credit issued by it and the documents associated therewith, and each L/C Issuer will have all of the benefits and immunities (A) provided to the Administrative Agent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with respect to any acts taken or omissions suffered by such L/C Issuer in connection with Letters of Credit issued by it or proposed to be issued by it and the Issuer Documents pertaining to such Letters of Credit as fully as if the term “Agent” as used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included such L/C Issuer with respect to such acts or omissions, and (B) as additionally provided herein with respect to any L/C Issuer.</w:t>
      </w:r>
    </w:p>
    <w:p>
      <w:pPr>
        <w:spacing w:after="0" w:line="167" w:lineRule="exact"/>
        <w:rPr>
          <w:rFonts w:ascii="Times New Roman" w:cs="Times New Roman" w:eastAsia="Times New Roman" w:hAnsi="Times New Roman"/>
          <w:sz w:val="21"/>
          <w:szCs w:val="21"/>
          <w:color w:val="auto"/>
        </w:rPr>
      </w:pPr>
    </w:p>
    <w:p>
      <w:pPr>
        <w:ind w:firstLine="718"/>
        <w:spacing w:after="0" w:line="298" w:lineRule="auto"/>
        <w:tabs>
          <w:tab w:leader="none" w:pos="126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Issuance and Amendment of Letters of Credit; AutoExtension Letters of Credit; Expiration Date</w:t>
      </w:r>
      <w:r>
        <w:rPr>
          <w:rFonts w:ascii="Times New Roman" w:cs="Times New Roman" w:eastAsia="Times New Roman" w:hAnsi="Times New Roman"/>
          <w:sz w:val="21"/>
          <w:szCs w:val="21"/>
          <w:color w:val="auto"/>
        </w:rPr>
        <w:t>. (i) Each Letter of Credit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71" w:right="339" w:bottom="1440" w:gutter="0" w:footer="0" w:header="0"/>
        </w:sectPr>
      </w:pPr>
    </w:p>
    <w:bookmarkStart w:id="158" w:name="page159"/>
    <w:bookmarkEnd w:id="158"/>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or amended, as the case may be, upon the request of the Borrower delivered to the applicable L/C Issuer (with a copy to the Administrative Agent) in the form of a Letter of Credit Application, appropriately completed and signed by a Responsible Officer of the Borrower and, if applicable, any Subsidiary of the Borrower that is a co-applicant with respect thereto. In the event of an inconsistency between the terms and conditions of this Agreement and the terms and conditions of any Letter of Credit Application, the terms and conditions of this Agreement shall control. Such Letter of Credit Application must be received by hand delivery, e-mail or fax </w:t>
      </w:r>
      <w:r>
        <w:rPr>
          <w:rFonts w:ascii="Times New Roman" w:cs="Times New Roman" w:eastAsia="Times New Roman" w:hAnsi="Times New Roman"/>
          <w:sz w:val="21"/>
          <w:szCs w:val="21"/>
          <w:b w:val="1"/>
          <w:bCs w:val="1"/>
          <w:u w:val="single" w:color="auto"/>
          <w:color w:val="0000FF"/>
        </w:rPr>
        <w:t>(or transmitted via an Approved Borrower Portal if arrangements for doing so have been approved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applicable L/C Issuer)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by the applicable L/C Issuer and the Administrative Agent not later than 3:00 p.m., Local Time, at least two</w:t>
      </w:r>
    </w:p>
    <w:p>
      <w:pPr>
        <w:spacing w:after="0" w:line="3" w:lineRule="exact"/>
        <w:rPr>
          <w:sz w:val="20"/>
          <w:szCs w:val="20"/>
          <w:color w:val="auto"/>
        </w:rPr>
      </w:pPr>
    </w:p>
    <w:p>
      <w:pPr>
        <w:jc w:val="both"/>
        <w:ind w:firstLine="6"/>
        <w:spacing w:after="0" w:line="254" w:lineRule="auto"/>
        <w:tabs>
          <w:tab w:leader="none" w:pos="30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(or such later date and time as the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(which shall be US Dollars or, subject to </w:t>
      </w:r>
      <w:r>
        <w:rPr>
          <w:rFonts w:ascii="Times New Roman" w:cs="Times New Roman" w:eastAsia="Times New Roman" w:hAnsi="Times New Roman"/>
          <w:sz w:val="21"/>
          <w:szCs w:val="21"/>
          <w:u w:val="single" w:color="auto"/>
          <w:color w:val="auto"/>
        </w:rPr>
        <w:t>Section 2.04(a)(iii)(D)</w:t>
      </w:r>
      <w:r>
        <w:rPr>
          <w:rFonts w:ascii="Times New Roman" w:cs="Times New Roman" w:eastAsia="Times New Roman" w:hAnsi="Times New Roman"/>
          <w:sz w:val="21"/>
          <w:szCs w:val="21"/>
          <w:color w:val="auto"/>
        </w:rPr>
        <w:t>, an Alternative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the applicable L/C Issuer may require. Additionally, the Borrower will furnish to the applicable L/C Issuer and the Administrative Agent such other documents and information pertaining to such requested Letter of Credit issuance or amendment, including any Issuer Documents, as the applicable L/C Issuer or the Administrative Agent may reasonably require.</w:t>
      </w:r>
    </w:p>
    <w:p>
      <w:pPr>
        <w:spacing w:after="0" w:line="174" w:lineRule="exact"/>
        <w:rPr>
          <w:rFonts w:ascii="Times New Roman" w:cs="Times New Roman" w:eastAsia="Times New Roman" w:hAnsi="Times New Roman"/>
          <w:sz w:val="21"/>
          <w:szCs w:val="21"/>
          <w:color w:val="auto"/>
        </w:rPr>
      </w:pPr>
    </w:p>
    <w:p>
      <w:pPr>
        <w:jc w:val="both"/>
        <w:ind w:left="640" w:firstLine="638"/>
        <w:spacing w:after="0" w:line="257" w:lineRule="auto"/>
        <w:tabs>
          <w:tab w:leader="none" w:pos="190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of any Letter of Credit Application, the applicable L/C Issuer will confirm with the Administrative Agent (by telephone or in writing by hand delivery, fax or e-mail) that the Administrative Agent has received a copy of such Letter of Credit Application from the Borrower and, if not, the applicable L/C Issuer will provide the Administrative Agent with a copy thereof. Unless the applicable L/C Issuer has received written notice from the Required Lenders, the Administrative Agent or the Borrower, at least one (1) Business Day prior to the requested date of issuance or amendment of the applicable Letter of Credit, that one or more applicable conditions contained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will not then be satisfied (or waived), then, subject to the terms and conditions hereof, the applicable L/C Issuer will, on the requested date, issue a Letter of Credit for the account of the Borrower and, if applicable, any Subsidiary of the Borrower that is a co-applicant with respect thereto, or enter into the applicable amendment, as the case may be, in each case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71" w:right="339" w:bottom="1440" w:gutter="0" w:footer="0" w:header="0"/>
        </w:sectPr>
      </w:pPr>
    </w:p>
    <w:bookmarkStart w:id="159" w:name="page160"/>
    <w:bookmarkEnd w:id="159"/>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applicable L/C Issuer’s usual and customary business practices. Immediately upon the issuance of each Letter of Credit (or an amendment to a Letter of Credit increasing the amount </w:t>
      </w:r>
      <w:r>
        <w:rPr>
          <w:rFonts w:ascii="Times New Roman" w:cs="Times New Roman" w:eastAsia="Times New Roman" w:hAnsi="Times New Roman"/>
          <w:sz w:val="21"/>
          <w:szCs w:val="21"/>
          <w:b w:val="1"/>
          <w:bCs w:val="1"/>
          <w:u w:val="single" w:color="auto"/>
          <w:color w:val="0000FF"/>
        </w:rPr>
        <w:t>or extending the term</w:t>
      </w:r>
      <w:r>
        <w:rPr>
          <w:rFonts w:ascii="Times New Roman" w:cs="Times New Roman" w:eastAsia="Times New Roman" w:hAnsi="Times New Roman"/>
          <w:sz w:val="21"/>
          <w:szCs w:val="21"/>
          <w:color w:val="auto"/>
        </w:rPr>
        <w:t xml:space="preserve"> thereof) and without further action on the part of the applicable L/C Issuer or the Lenders, the applicable L/C Issuer hereby grants to each Lender, and each Lender hereby irrevocably and unconditionally acquires from the applicable L/C Issuer, a risk participation in such Letter of Credit in an amount equal to such Lender’s Applicable Percentage of the amount available to be drawn under such Letter of Credit.</w:t>
      </w:r>
    </w:p>
    <w:p>
      <w:pPr>
        <w:spacing w:after="0" w:line="166" w:lineRule="exact"/>
        <w:rPr>
          <w:sz w:val="20"/>
          <w:szCs w:val="20"/>
          <w:color w:val="auto"/>
        </w:rPr>
      </w:pPr>
    </w:p>
    <w:p>
      <w:pPr>
        <w:jc w:val="both"/>
        <w:ind w:firstLine="638"/>
        <w:spacing w:after="0" w:line="254" w:lineRule="auto"/>
        <w:tabs>
          <w:tab w:leader="none" w:pos="127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so requests in any applicable Letter of Credit Application, the applicable L/C Issuer shall issue a Letter of Credit that has automatic extension provisions (each, an “</w:t>
      </w:r>
      <w:r>
        <w:rPr>
          <w:rFonts w:ascii="Times New Roman" w:cs="Times New Roman" w:eastAsia="Times New Roman" w:hAnsi="Times New Roman"/>
          <w:sz w:val="21"/>
          <w:szCs w:val="21"/>
          <w:u w:val="single" w:color="auto"/>
          <w:color w:val="auto"/>
        </w:rPr>
        <w:t>Auto-Extension Letter of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21"/>
          <w:szCs w:val="21"/>
          <w:color w:val="auto"/>
        </w:rPr>
        <w:t xml:space="preserve">”) in each such twelve-month period to be agreed upon at the time such Letter of Credit is issued. Unless otherwise directed by the applicable L/C Issuer, the Borrower will not be required to make a specific request to the applicable L/C Issuer for any such extension. Once an Auto-Extension Letter of Credit has been issued, the Lenders will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applicable L/C Issuer will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2.04(a)</w:t>
      </w:r>
      <w:r>
        <w:rPr>
          <w:rFonts w:ascii="Times New Roman" w:cs="Times New Roman" w:eastAsia="Times New Roman" w:hAnsi="Times New Roman"/>
          <w:sz w:val="21"/>
          <w:szCs w:val="21"/>
          <w:color w:val="auto"/>
        </w:rPr>
        <w:t xml:space="preserve"> or otherwise), or (B) it has received written notice (by hand delivery, fax or e-mail) on or before the day that is seven</w:t>
      </w:r>
    </w:p>
    <w:p>
      <w:pPr>
        <w:jc w:val="both"/>
        <w:ind w:firstLine="2"/>
        <w:spacing w:after="0" w:line="258" w:lineRule="auto"/>
        <w:tabs>
          <w:tab w:leader="none" w:pos="31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before the Non-Extension Notice Date (1) from the Administrative Agent that the Lenders have elected not to permit such extension or (2) from the Administrative Agent, the Required Lenders or the Borrower that one or more of the applicable conditions specified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is not then satisfied (or waived), and in each such case directing the applicable L/C Issuer not to permit such extension.</w:t>
      </w:r>
    </w:p>
    <w:p>
      <w:pPr>
        <w:spacing w:after="0" w:line="169" w:lineRule="exact"/>
        <w:rPr>
          <w:rFonts w:ascii="Times New Roman" w:cs="Times New Roman" w:eastAsia="Times New Roman" w:hAnsi="Times New Roman"/>
          <w:sz w:val="21"/>
          <w:szCs w:val="21"/>
          <w:color w:val="auto"/>
        </w:rPr>
      </w:pPr>
    </w:p>
    <w:p>
      <w:pPr>
        <w:jc w:val="both"/>
        <w:ind w:firstLine="638"/>
        <w:spacing w:after="0" w:line="258" w:lineRule="auto"/>
        <w:tabs>
          <w:tab w:leader="none" w:pos="12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 The Borrower will promptly examine a copy of each Letter of Credit and each amendment thereto that is delivered to it and, in the event of any claim of noncompliance with the Borrower’s instructions or other irregularity, the Borrower will immediately notify the applicable L/C Issuer. The Borrower will be conclusively deemed to have waived any such claim against the applicable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0600"/>
          </w:cols>
          <w:pgMar w:left="960" w:top="1371" w:right="339" w:bottom="1440" w:gutter="0" w:footer="0" w:header="0"/>
        </w:sectPr>
      </w:pPr>
    </w:p>
    <w:bookmarkStart w:id="160" w:name="page161"/>
    <w:bookmarkEnd w:id="160"/>
    <w:p>
      <w:pPr>
        <w:jc w:val="both"/>
        <w:ind w:firstLine="718"/>
        <w:spacing w:after="0" w:line="259" w:lineRule="auto"/>
        <w:tabs>
          <w:tab w:leader="none" w:pos="126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Drawings and Reimbursements; Funding of Participations</w:t>
      </w:r>
      <w:r>
        <w:rPr>
          <w:rFonts w:ascii="Times New Roman" w:cs="Times New Roman" w:eastAsia="Times New Roman" w:hAnsi="Times New Roman"/>
          <w:sz w:val="21"/>
          <w:szCs w:val="21"/>
          <w:color w:val="auto"/>
        </w:rPr>
        <w:t xml:space="preserve">. (i) On the Effective Date and without further action by any party hereto, each L/C Issuer shall be deemed to have granted to each Lender, and each Lender shall be deemed to have acquired from each L/C Issuer, a participation in each Existing Letter of Credit equal to such Lender’s Applicable Percentage of (A) the aggregate amount available to be drawn thereunder and (B) the aggregate unpaid amount of any outstanding reimbursement obligations in respect thereof. Such participations shall be on all the same terms and conditions as participations otherwise granted under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jc w:val="both"/>
        <w:ind w:left="640" w:firstLine="638"/>
        <w:spacing w:after="0" w:line="245" w:lineRule="auto"/>
        <w:tabs>
          <w:tab w:leader="none" w:pos="190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any notice of a drawing under such Letter of Credit, the applicable L/C Issuer will notify the Borrower and the Administrative Agent promptly thereof. In the case of a Letter of Credit denominated in an Alternative Currency, the Borrower will reimburse the applicable L/C Issuer in such Alternative Currency, unless (A) such L/C Issuer (at its option) shall have specified in such notice that it will require reimbursement in US Dollars, or (B) in the absence of any such requirement for reimbursement in US Dollars, the Borrower shall have notified such L/C Issuer promptly following receipt of the notice of drawing that the Borrower will reimburse such L/C Issuer in US Dollars. In the case of any such reimbursement in US Dollars of a drawing under a Letter of Credit denominated in an Alternative Currency, the applicable L/C Issuer will notify the Borrower of the US Dollar Equivalent (which, solely for such purpose, shall be determined by the applicable L/C Issuer on the basis of the Exchange Rate determined by it as of the date of the applicable drawing) of the amount of the drawing promptly following the determination thereof. Not later than 1:00 p.m., Local Time, on the date of any payment by the applicable L/C Issuer under a Letter of Credit to be reimbursed in US Dollars, or not later than the Applicable Time on the date of any payment by the applicable L/C Issuer under a Letter of Credit to be reimbursed in an Alternative Currency (each such date, an “</w:t>
      </w:r>
      <w:r>
        <w:rPr>
          <w:rFonts w:ascii="Times New Roman" w:cs="Times New Roman" w:eastAsia="Times New Roman" w:hAnsi="Times New Roman"/>
          <w:sz w:val="21"/>
          <w:szCs w:val="21"/>
          <w:u w:val="single" w:color="auto"/>
          <w:color w:val="auto"/>
        </w:rPr>
        <w:t>Honor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the Borrower will reimburse the applicable L/C Issuer through the Administrative Agent in an amount equal to the amount of such drawing and in the applicable currency (or, if notice of payment is delivered to the Borrower after 11:00 a.m., Local Time, on the Honor Date, the next Business Day). If the Borrower fails so to reimburse the applicable L/C Issuer by such time, the applicable L/C Issuer will promptly notify the Administrative Agent thereof, whereupon the Administrative Agent will promptly notify each Lender of the Honor Date, the amount of the unreimbursed drawing (expressed in US Dollars in the amount of the US Dollar Equivalent thereof in the case of a Letter of Credit denominated in an Alternative Currency)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and the amount of such Lender’s Applicable Percentage thereof. In such event, (x) in the case of a drawing under a Letter of Credit denominated in an Alternative Currency, automatically and with no further action, the obligation of the Borrower to reimburse such drawing shall be permanently converted into an obligation to reimburse the Unreimbursed Amount and (y) the Borrower will be deemed to have requested a Committed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71" w:right="339" w:bottom="1440" w:gutter="0" w:footer="0" w:header="0"/>
        </w:sectPr>
      </w:pPr>
    </w:p>
    <w:bookmarkStart w:id="161" w:name="page162"/>
    <w:bookmarkEnd w:id="161"/>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limitations set forth in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 the proceeds of which will be used to satisfy the Borrower’s reimbursement obligations. Any notice given by the applicable L/C Issuer or the Administrative Agent pursuant to this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 xml:space="preserve"> may be given by telephone if immediately confirmed in writing by hand delivery, fax or e-mail;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will not affect the conclusiveness or binding effect of such notice. If the Borrower’s reimbursement of, or obligation to reimburse, any amounts in any Alternative Currency would subject the Administrative Agent, the applicable L/C Issuer or any Lender to any stamp duty, ad valorem charge or similar Tax that would not be payable if such reimbursement were made or required to be made in US Dollars, the Borrower shall pay the amount of any such Tax requested by the Administrative Agent, such L/C Issuer or such Lender.</w:t>
      </w:r>
    </w:p>
    <w:p>
      <w:pPr>
        <w:spacing w:after="0" w:line="179" w:lineRule="exact"/>
        <w:rPr>
          <w:sz w:val="20"/>
          <w:szCs w:val="20"/>
          <w:color w:val="auto"/>
        </w:rPr>
      </w:pPr>
    </w:p>
    <w:p>
      <w:pPr>
        <w:jc w:val="both"/>
        <w:ind w:firstLine="638"/>
        <w:spacing w:after="0" w:line="249" w:lineRule="auto"/>
        <w:tabs>
          <w:tab w:leader="none" w:pos="127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will upon any notice from the Administrative Agent pursuant to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 xml:space="preserve"> make funds available (and the Administrative Agent may apply Cash Collateral provided for this purpose) to the Administrative Agent, for the account of the applicable L/C Issuer, in US Dollars in Same Day Funds by wire transfer to the account of the Administrative Agent most recently designated for such purpose by notice to the Lenders, in an amount equal to its Applicable Percentage of the Unreimbursed Amount not later than 2:00 p.m., Local Time, on the Business Day specified in such notice by the Administrative Agent, whereupon, subject to </w:t>
      </w:r>
      <w:r>
        <w:rPr>
          <w:rFonts w:ascii="Times New Roman" w:cs="Times New Roman" w:eastAsia="Times New Roman" w:hAnsi="Times New Roman"/>
          <w:sz w:val="21"/>
          <w:szCs w:val="21"/>
          <w:u w:val="single" w:color="auto"/>
          <w:color w:val="auto"/>
        </w:rPr>
        <w:t>Section 2.04(c)(iv)</w:t>
      </w:r>
      <w:r>
        <w:rPr>
          <w:rFonts w:ascii="Times New Roman" w:cs="Times New Roman" w:eastAsia="Times New Roman" w:hAnsi="Times New Roman"/>
          <w:sz w:val="21"/>
          <w:szCs w:val="21"/>
          <w:color w:val="auto"/>
        </w:rPr>
        <w:t>, each Lender that so makes funds available will be deemed to have made a Base Rate Committed Loan to the Borrower in such amount. The Administrative Agent will remit the funds so received to the applicable L/C Issuer in US Dollars in Same Day Funds.</w:t>
      </w:r>
    </w:p>
    <w:p>
      <w:pPr>
        <w:spacing w:after="0" w:line="168" w:lineRule="exact"/>
        <w:rPr>
          <w:rFonts w:ascii="Times New Roman" w:cs="Times New Roman" w:eastAsia="Times New Roman" w:hAnsi="Times New Roman"/>
          <w:sz w:val="21"/>
          <w:szCs w:val="21"/>
          <w:color w:val="auto"/>
        </w:rPr>
      </w:pPr>
    </w:p>
    <w:p>
      <w:pPr>
        <w:jc w:val="both"/>
        <w:ind w:firstLine="638"/>
        <w:spacing w:after="0" w:line="251" w:lineRule="auto"/>
        <w:tabs>
          <w:tab w:leader="none" w:pos="12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Unreimbursed Amount that is not fully refinanced by a Committed Borrowing of Base Rate Loans because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cannot be satisfied or for any other reason, the Borrower will be deemed to have incurred from the applicable L/C Issuer an L/C Borrowing in the amount of the Unreimbursed Amount that is not so refinanced, which L/C Borrowing will be due and payable on demand (together with interest). In such event, each Lender’s payment to the Administrative Agent for the account of the applicable L/C Issuer pursuant to </w:t>
      </w:r>
      <w:r>
        <w:rPr>
          <w:rFonts w:ascii="Times New Roman" w:cs="Times New Roman" w:eastAsia="Times New Roman" w:hAnsi="Times New Roman"/>
          <w:sz w:val="21"/>
          <w:szCs w:val="21"/>
          <w:u w:val="single" w:color="auto"/>
          <w:color w:val="auto"/>
        </w:rPr>
        <w:t>Section 2.04(c)(iii)</w:t>
      </w:r>
      <w:r>
        <w:rPr>
          <w:rFonts w:ascii="Times New Roman" w:cs="Times New Roman" w:eastAsia="Times New Roman" w:hAnsi="Times New Roman"/>
          <w:sz w:val="21"/>
          <w:szCs w:val="21"/>
          <w:color w:val="auto"/>
        </w:rPr>
        <w:t xml:space="preserve"> will be deemed payment in respect of its participation in such L/C Borrowing and will constitute an L/C Advance from such Lender in satisfaction of its participation obligation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jc w:val="both"/>
        <w:ind w:firstLine="638"/>
        <w:spacing w:after="0" w:line="251" w:lineRule="auto"/>
        <w:tabs>
          <w:tab w:leader="none" w:pos="126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L/C Issuer shall make any disbursement under any Letter of Credit, then, unless the Borrower shall reimburse such disbursement in accordance with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in full on the Honor Date thereof, each resulting L/C Borrowing shall bear interest, for each day from and including the Honor Date to the date of reimbursement thereof in full, at (A) in the case of any Letter of Credit denominated in US Dollars, the rate per annum then applicable to Base Rate Committed Loans and (B) in the case of any Letter of Credit denominated in any Alternative Currency, a rate </w:t>
      </w:r>
      <w:r>
        <w:rPr>
          <w:rFonts w:ascii="Times New Roman" w:cs="Times New Roman" w:eastAsia="Times New Roman" w:hAnsi="Times New Roman"/>
          <w:sz w:val="21"/>
          <w:szCs w:val="21"/>
          <w:b w:val="1"/>
          <w:bCs w:val="1"/>
          <w:color w:val="FF0000"/>
          <w:strike w:val="1"/>
        </w:rPr>
        <w:t>perannum</w:t>
      </w:r>
      <w:r>
        <w:rPr>
          <w:rFonts w:ascii="Times New Roman" w:cs="Times New Roman" w:eastAsia="Times New Roman" w:hAnsi="Times New Roman"/>
          <w:sz w:val="21"/>
          <w:szCs w:val="21"/>
          <w:b w:val="1"/>
          <w:bCs w:val="1"/>
          <w:u w:val="single" w:color="auto"/>
          <w:color w:val="0000FF"/>
        </w:rPr>
        <w:t>per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annum</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equal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0600"/>
          </w:cols>
          <w:pgMar w:left="960" w:top="1358" w:right="339" w:bottom="1440" w:gutter="0" w:footer="0" w:header="0"/>
        </w:sectPr>
      </w:pPr>
    </w:p>
    <w:bookmarkStart w:id="162" w:name="page163"/>
    <w:bookmarkEnd w:id="162"/>
    <w:p>
      <w:pPr>
        <w:jc w:val="both"/>
        <w:ind w:left="640"/>
        <w:spacing w:after="0" w:line="249" w:lineRule="auto"/>
        <w:rPr>
          <w:sz w:val="20"/>
          <w:szCs w:val="20"/>
          <w:color w:val="auto"/>
        </w:rPr>
      </w:pPr>
      <w:r>
        <w:rPr>
          <w:rFonts w:ascii="Times New Roman" w:cs="Times New Roman" w:eastAsia="Times New Roman" w:hAnsi="Times New Roman"/>
          <w:sz w:val="21"/>
          <w:szCs w:val="21"/>
          <w:color w:val="auto"/>
        </w:rPr>
        <w:t xml:space="preserve">Overnight Rate from time to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used to determine interest applicable to Term Benchmark Committed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fails to reimburse such disbursement when due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xml:space="preserve">, from and including the date of such failure such L/C Borrowing shall, on the US Dollar Equivalent thereof, bear interest at the default rate specified in </w:t>
      </w:r>
      <w:r>
        <w:rPr>
          <w:rFonts w:ascii="Times New Roman" w:cs="Times New Roman" w:eastAsia="Times New Roman" w:hAnsi="Times New Roman"/>
          <w:sz w:val="21"/>
          <w:szCs w:val="21"/>
          <w:u w:val="single" w:color="auto"/>
          <w:color w:val="auto"/>
        </w:rPr>
        <w:t>Section 2.08(b)</w:t>
      </w:r>
      <w:r>
        <w:rPr>
          <w:rFonts w:ascii="Times New Roman" w:cs="Times New Roman" w:eastAsia="Times New Roman" w:hAnsi="Times New Roman"/>
          <w:sz w:val="21"/>
          <w:szCs w:val="21"/>
          <w:color w:val="auto"/>
        </w:rPr>
        <w:t xml:space="preserve">. Interest accrued pursuant to this </w:t>
      </w:r>
      <w:r>
        <w:rPr>
          <w:rFonts w:ascii="Times New Roman" w:cs="Times New Roman" w:eastAsia="Times New Roman" w:hAnsi="Times New Roman"/>
          <w:sz w:val="21"/>
          <w:szCs w:val="21"/>
          <w:u w:val="single" w:color="auto"/>
          <w:color w:val="auto"/>
        </w:rPr>
        <w:t>Section 2.04(c)(v)</w:t>
      </w:r>
      <w:r>
        <w:rPr>
          <w:rFonts w:ascii="Times New Roman" w:cs="Times New Roman" w:eastAsia="Times New Roman" w:hAnsi="Times New Roman"/>
          <w:sz w:val="21"/>
          <w:szCs w:val="21"/>
          <w:color w:val="auto"/>
        </w:rPr>
        <w:t xml:space="preserve"> shall be for the account of the applicable L/C Issuer, except that interest accrued on and after the date of payment by any Lender of its applicable L/C Advance shall be for the account of such Lender to the extent of such L/C Advance, and shall be payable on demand.</w:t>
      </w:r>
    </w:p>
    <w:p>
      <w:pPr>
        <w:spacing w:after="0" w:line="181" w:lineRule="exact"/>
        <w:rPr>
          <w:sz w:val="20"/>
          <w:szCs w:val="20"/>
          <w:color w:val="auto"/>
        </w:rPr>
      </w:pPr>
    </w:p>
    <w:p>
      <w:pPr>
        <w:jc w:val="both"/>
        <w:ind w:left="640" w:firstLine="638"/>
        <w:spacing w:after="0" w:line="248" w:lineRule="auto"/>
        <w:tabs>
          <w:tab w:leader="none" w:pos="19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Lender’s obligation to make Committed Loans or L/C Advances to reimburse the L/C Issuers for amounts drawn under Letters of Credit, as contemplated by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shall be absolute and unconditional and will not be affected by any circumstance, including (A) any setoff, counterclaim, recoupment, defense or other right which such Lender may have against any L/C Issuer, any Loan Party, any Subsidiary or any other Person for any reason whatsoever; (B) the occurrence or continuance of a Default, </w:t>
      </w:r>
      <w:r>
        <w:rPr>
          <w:rFonts w:ascii="Times New Roman" w:cs="Times New Roman" w:eastAsia="Times New Roman" w:hAnsi="Times New Roman"/>
          <w:sz w:val="21"/>
          <w:szCs w:val="21"/>
          <w:b w:val="1"/>
          <w:bCs w:val="1"/>
          <w:color w:val="FF0000"/>
          <w:strike w:val="1"/>
        </w:rPr>
        <w:t>or</w:t>
      </w:r>
      <w:r>
        <w:rPr>
          <w:rFonts w:ascii="Times New Roman" w:cs="Times New Roman" w:eastAsia="Times New Roman" w:hAnsi="Times New Roman"/>
          <w:sz w:val="21"/>
          <w:szCs w:val="21"/>
          <w:color w:val="auto"/>
        </w:rPr>
        <w:t xml:space="preserve"> (C) </w:t>
      </w:r>
      <w:r>
        <w:rPr>
          <w:rFonts w:ascii="Times New Roman" w:cs="Times New Roman" w:eastAsia="Times New Roman" w:hAnsi="Times New Roman"/>
          <w:sz w:val="21"/>
          <w:szCs w:val="21"/>
          <w:b w:val="1"/>
          <w:bCs w:val="1"/>
          <w:u w:val="single" w:color="auto"/>
          <w:color w:val="0000FF"/>
        </w:rPr>
        <w:t>reduction or termination of the Commitments, or (D)</w:t>
      </w:r>
      <w:r>
        <w:rPr>
          <w:rFonts w:ascii="Times New Roman" w:cs="Times New Roman" w:eastAsia="Times New Roman" w:hAnsi="Times New Roman"/>
          <w:sz w:val="21"/>
          <w:szCs w:val="21"/>
          <w:color w:val="auto"/>
        </w:rPr>
        <w:t xml:space="preserve">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Lender’s obligation to make Committed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satisfaction of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delivery by the Borrower of a Committed Loan Notice). No L/C Advance will relieve or otherwise impair the obligation of the Borrower to reimburse the applicable L/C Issuer for the amount of any payment made by the applicable L/C Issuer under any Letter of Credit, together with interest as provided herein.</w:t>
      </w:r>
    </w:p>
    <w:p>
      <w:pPr>
        <w:spacing w:after="0" w:line="167" w:lineRule="exact"/>
        <w:rPr>
          <w:rFonts w:ascii="Times New Roman" w:cs="Times New Roman" w:eastAsia="Times New Roman" w:hAnsi="Times New Roman"/>
          <w:sz w:val="21"/>
          <w:szCs w:val="21"/>
          <w:color w:val="auto"/>
        </w:rPr>
      </w:pPr>
    </w:p>
    <w:p>
      <w:pPr>
        <w:jc w:val="both"/>
        <w:ind w:left="640" w:firstLine="638"/>
        <w:spacing w:after="0" w:line="248" w:lineRule="auto"/>
        <w:tabs>
          <w:tab w:leader="none" w:pos="1906"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2.04(c)(iii)</w:t>
      </w:r>
      <w:r>
        <w:rPr>
          <w:rFonts w:ascii="Times New Roman" w:cs="Times New Roman" w:eastAsia="Times New Roman" w:hAnsi="Times New Roman"/>
          <w:sz w:val="21"/>
          <w:szCs w:val="21"/>
          <w:color w:val="auto"/>
        </w:rPr>
        <w:t xml:space="preserve">, then, without limiting the other provisions of this Agreement, the applicable L/C Issuer will be entitled to recover from such Lender, on demand, such amount with interest thereon for the period from the date such payment is required to the date on which such payment is immediately available to the applicable L/C Issuer at a rate per annum equal to the applicable Overnight Rate from time to time in effect, plus any administrative, processing or similar fees customarily charged by the applicable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will be conclusive absent manifest error.</w:t>
      </w:r>
    </w:p>
    <w:p>
      <w:pPr>
        <w:spacing w:after="0" w:line="183" w:lineRule="exact"/>
        <w:rPr>
          <w:rFonts w:ascii="Times New Roman" w:cs="Times New Roman" w:eastAsia="Times New Roman" w:hAnsi="Times New Roman"/>
          <w:sz w:val="21"/>
          <w:szCs w:val="21"/>
          <w:color w:val="auto"/>
        </w:rPr>
      </w:pPr>
    </w:p>
    <w:p>
      <w:pPr>
        <w:ind w:firstLine="718"/>
        <w:spacing w:after="0" w:line="298" w:lineRule="auto"/>
        <w:tabs>
          <w:tab w:leader="none" w:pos="126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Participations</w:t>
      </w:r>
      <w:r>
        <w:rPr>
          <w:rFonts w:ascii="Times New Roman" w:cs="Times New Roman" w:eastAsia="Times New Roman" w:hAnsi="Times New Roman"/>
          <w:sz w:val="21"/>
          <w:szCs w:val="21"/>
          <w:color w:val="auto"/>
        </w:rPr>
        <w:t>. (i) At any time after an L/C Issuer has made a payment under any Letter of Credit and has received from any Lender such Lender’s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58" w:right="339" w:bottom="1440" w:gutter="0" w:footer="0" w:header="0"/>
        </w:sectPr>
      </w:pPr>
    </w:p>
    <w:bookmarkStart w:id="163" w:name="page164"/>
    <w:bookmarkEnd w:id="163"/>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C Advance in respect of such payment in 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such payment to such L/C Issuer and to such Lender ratably on the basis of the portion of such Unreimbursed Amount represented by such Lender’s L/C Advance (taking into account, in the case of interest payments, the period of time during which such Lender’s L/C Advance was outstanding) in the same currency, and in the same funds, as those received by the Administrative Agent.</w:t>
      </w:r>
    </w:p>
    <w:p>
      <w:pPr>
        <w:spacing w:after="0" w:line="157" w:lineRule="exact"/>
        <w:rPr>
          <w:sz w:val="20"/>
          <w:szCs w:val="20"/>
          <w:color w:val="auto"/>
        </w:rPr>
      </w:pPr>
    </w:p>
    <w:p>
      <w:pPr>
        <w:jc w:val="both"/>
        <w:ind w:left="640" w:firstLine="638"/>
        <w:spacing w:after="0" w:line="249" w:lineRule="auto"/>
        <w:tabs>
          <w:tab w:leader="none" w:pos="1906"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Administrative Agent for the account of an L/C Issuer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2.04(c)(ii)</w:t>
      </w:r>
      <w:r>
        <w:rPr>
          <w:rFonts w:ascii="Times New Roman" w:cs="Times New Roman" w:eastAsia="Times New Roman" w:hAnsi="Times New Roman"/>
          <w:sz w:val="21"/>
          <w:szCs w:val="21"/>
          <w:color w:val="auto"/>
        </w:rPr>
        <w:t xml:space="preserve"> is required to be returned under any of the circumstances described in </w:t>
      </w:r>
      <w:r>
        <w:rPr>
          <w:rFonts w:ascii="Times New Roman" w:cs="Times New Roman" w:eastAsia="Times New Roman" w:hAnsi="Times New Roman"/>
          <w:sz w:val="21"/>
          <w:szCs w:val="21"/>
          <w:u w:val="single" w:color="auto"/>
          <w:color w:val="auto"/>
        </w:rPr>
        <w:t>Section 11.05</w:t>
      </w:r>
      <w:r>
        <w:rPr>
          <w:rFonts w:ascii="Times New Roman" w:cs="Times New Roman" w:eastAsia="Times New Roman" w:hAnsi="Times New Roman"/>
          <w:sz w:val="21"/>
          <w:szCs w:val="21"/>
          <w:color w:val="auto"/>
        </w:rPr>
        <w:t xml:space="preserve"> (including pursuant to any settlement entered into by such L/C Issuer in its discretion), each Lender will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will survive the payment in full of the Obligations and the termination of this Agreement.</w:t>
      </w:r>
    </w:p>
    <w:p>
      <w:pPr>
        <w:spacing w:after="0" w:line="167" w:lineRule="exact"/>
        <w:rPr>
          <w:rFonts w:ascii="Times New Roman" w:cs="Times New Roman" w:eastAsia="Times New Roman" w:hAnsi="Times New Roman"/>
          <w:sz w:val="21"/>
          <w:szCs w:val="21"/>
          <w:color w:val="auto"/>
        </w:rPr>
      </w:pPr>
    </w:p>
    <w:p>
      <w:pPr>
        <w:jc w:val="both"/>
        <w:ind w:firstLine="718"/>
        <w:spacing w:after="0" w:line="261" w:lineRule="auto"/>
        <w:tabs>
          <w:tab w:leader="none" w:pos="126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the Borrower to reimburse each L/C Issuer for each drawing under each Letter of Credit and to repay each L/C Borrowing will be absolute, unconditional and irrevocable, and will be paid strictly in accordance with the terms of this Agreement under all circumstances whatsoever and irrespective of:</w:t>
      </w:r>
    </w:p>
    <w:p>
      <w:pPr>
        <w:spacing w:after="0" w:line="152" w:lineRule="exact"/>
        <w:rPr>
          <w:rFonts w:ascii="Times New Roman" w:cs="Times New Roman" w:eastAsia="Times New Roman" w:hAnsi="Times New Roman"/>
          <w:sz w:val="21"/>
          <w:szCs w:val="21"/>
          <w:color w:val="auto"/>
        </w:rPr>
      </w:pPr>
    </w:p>
    <w:p>
      <w:pPr>
        <w:ind w:left="640" w:firstLine="638"/>
        <w:spacing w:after="0" w:line="285" w:lineRule="auto"/>
        <w:tabs>
          <w:tab w:leader="none" w:pos="19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such Letter of Credit, this Agreement, any Letter of Credit Application or any other Loan Document, or any term or provision herein or therein;</w:t>
      </w:r>
    </w:p>
    <w:p>
      <w:pPr>
        <w:spacing w:after="0" w:line="129" w:lineRule="exact"/>
        <w:rPr>
          <w:sz w:val="20"/>
          <w:szCs w:val="20"/>
          <w:color w:val="auto"/>
        </w:rPr>
      </w:pPr>
    </w:p>
    <w:p>
      <w:pPr>
        <w:jc w:val="both"/>
        <w:ind w:left="640" w:firstLine="638"/>
        <w:spacing w:after="0" w:line="252" w:lineRule="auto"/>
        <w:tabs>
          <w:tab w:leader="none" w:pos="190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63" w:lineRule="exact"/>
        <w:rPr>
          <w:rFonts w:ascii="Times New Roman" w:cs="Times New Roman" w:eastAsia="Times New Roman" w:hAnsi="Times New Roman"/>
          <w:sz w:val="21"/>
          <w:szCs w:val="21"/>
          <w:color w:val="auto"/>
        </w:rPr>
      </w:pPr>
    </w:p>
    <w:p>
      <w:pPr>
        <w:jc w:val="both"/>
        <w:ind w:left="640" w:firstLine="638"/>
        <w:spacing w:after="0" w:line="254" w:lineRule="auto"/>
        <w:tabs>
          <w:tab w:leader="none" w:pos="191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ind w:left="640" w:firstLine="638"/>
        <w:spacing w:after="0" w:line="272" w:lineRule="auto"/>
        <w:tabs>
          <w:tab w:leader="none" w:pos="19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applicable L/C Issuer under such Letter of Credit against presentation of a draft or certificate that does not comply with the terms of such Letter of Credit; or any payment made by the applicable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71" w:right="339" w:bottom="1440" w:gutter="0" w:footer="0" w:header="0"/>
        </w:sectPr>
      </w:pPr>
    </w:p>
    <w:bookmarkStart w:id="164" w:name="page165"/>
    <w:bookmarkEnd w:id="164"/>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3" w:lineRule="exact"/>
        <w:rPr>
          <w:sz w:val="20"/>
          <w:szCs w:val="20"/>
          <w:color w:val="auto"/>
        </w:rPr>
      </w:pPr>
    </w:p>
    <w:p>
      <w:pPr>
        <w:ind w:left="640" w:firstLine="638"/>
        <w:spacing w:after="0" w:line="285" w:lineRule="auto"/>
        <w:tabs>
          <w:tab w:leader="none" w:pos="1907"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change in the relevant exchange rates or in the availability of the relevant Alternative Currency to the Borrower or any other Subsidiary or in the relevant currency markets generally; or</w:t>
      </w:r>
    </w:p>
    <w:p>
      <w:pPr>
        <w:spacing w:after="0" w:line="128"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0"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 constitute a defense available to, a discharge of, or provide a right of setoff against, the Borrower or any other Subsidiary.</w:t>
      </w:r>
    </w:p>
    <w:p>
      <w:pPr>
        <w:spacing w:after="0" w:line="152" w:lineRule="exact"/>
        <w:rPr>
          <w:rFonts w:ascii="Times New Roman" w:cs="Times New Roman" w:eastAsia="Times New Roman" w:hAnsi="Times New Roman"/>
          <w:sz w:val="21"/>
          <w:szCs w:val="21"/>
          <w:color w:val="auto"/>
        </w:rPr>
      </w:pPr>
    </w:p>
    <w:p>
      <w:pPr>
        <w:jc w:val="both"/>
        <w:ind w:firstLine="718"/>
        <w:spacing w:after="0" w:line="247" w:lineRule="auto"/>
        <w:tabs>
          <w:tab w:leader="none" w:pos="126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L/C Issuer</w:t>
      </w:r>
      <w:r>
        <w:rPr>
          <w:rFonts w:ascii="Times New Roman" w:cs="Times New Roman" w:eastAsia="Times New Roman" w:hAnsi="Times New Roman"/>
          <w:sz w:val="21"/>
          <w:szCs w:val="21"/>
          <w:color w:val="auto"/>
        </w:rPr>
        <w:t>. Each Lender and the Borrower agree that, in paying any drawing under a Letter of Credit, the applicable L/C Issuer will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or any correspondent, participant or assignee of the applicable L/C Issuer will be liable to any Lender for</w:t>
      </w:r>
    </w:p>
    <w:p>
      <w:pPr>
        <w:jc w:val="both"/>
        <w:ind w:firstLine="6"/>
        <w:spacing w:after="0" w:line="242" w:lineRule="auto"/>
        <w:tabs>
          <w:tab w:leader="none" w:pos="25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 taken or omitted in connection herewith at the request or with the approval of the Lenders or the Required Lenders, as applicable, (ii) any action taken or omitted in the absence of its gross negligence, willful misconduct or bad faith, with such absence to be presumed unless otherwise determined by a court of competent jurisdiction in a final and nonappealable judgment,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this assumption is not intended to, and will not, preclude the Borrower and/or another Subsidiary of the Borrower, as applicable, from pursuing such rights and remedies as it may have against the beneficiary or transferee at law or under any other agreement. None of the L/C Issuers, the Administrative Agent, any of their respective Related Parties or any correspondent, participant or assignee of the applicable L/C Issuer will be liable or responsible by reason of or in connection with the issuance or transfer of any Letter of Credit or any payment or failure to make any payment thereunder (irrespective of any of the matters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2.04(e)</w:t>
      </w:r>
      <w:r>
        <w:rPr>
          <w:rFonts w:ascii="Times New Roman" w:cs="Times New Roman" w:eastAsia="Times New Roman" w:hAnsi="Times New Roman"/>
          <w:sz w:val="21"/>
          <w:szCs w:val="21"/>
          <w:color w:val="auto"/>
        </w:rPr>
        <w:t xml:space="preser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anything in the foregoing to the contrary notwithstanding, the Borrower and/or another Subsidiary of the Borrower, as applicable, may have a claim against the applicable L/C Issuer, and the applicable L/C Issuer may be liable to the Borrower or such other Subsidiary of the Borrower, to the extent, but only to the extent, of any direct (as opposed to special, punitive, consequential or exemplary) damages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58" w:right="339" w:bottom="1440" w:gutter="0" w:footer="0" w:header="0"/>
        </w:sectPr>
      </w:pPr>
    </w:p>
    <w:bookmarkStart w:id="165" w:name="page166"/>
    <w:bookmarkEnd w:id="165"/>
    <w:p>
      <w:pPr>
        <w:jc w:val="both"/>
        <w:spacing w:after="0" w:line="245" w:lineRule="auto"/>
        <w:rPr>
          <w:sz w:val="20"/>
          <w:szCs w:val="20"/>
          <w:color w:val="auto"/>
        </w:rPr>
      </w:pPr>
      <w:r>
        <w:rPr>
          <w:rFonts w:ascii="Times New Roman" w:cs="Times New Roman" w:eastAsia="Times New Roman" w:hAnsi="Times New Roman"/>
          <w:sz w:val="21"/>
          <w:szCs w:val="21"/>
          <w:color w:val="auto"/>
        </w:rPr>
        <w:t>by it and that it proves were caused by (x) such L/C Issuer’s failure to exercise care when determining whether drafts and other documents presented under a Letter of Credit comply with the terms thereof or (y) such L/C Issuer’s willful failure to pay or material breach in bad faith under any Letter of Credit after the presentation to it by the beneficiary of a sight draft and certificate(s) strictly complying with the terms and conditions of a Letter of Credit, in each case as determined by a court of competent jurisdiction in a final and nonappealable judgment. The parties hereto expressly agree that, in the absence of willful misconduct, gross negligence or bad faith on the part of an L/C Issuer (with such absence to be presumed unless otherwise determined by a court of competent jurisdiction in a final and nonappealable judgment), such L/C Issuer shall be deemed to have exercised care in each such determination. In furtherance and not in limitation of the foregoing, the applicable L/C Issuer may, in its sole discretion, either accept documents that appear on their face to be in order, without responsibility for further investigation, regardless of any notice or information to the contrary, or refuse to accept and make payment upon such documents if such documents are not in strict compliance with the terms of such Letter of Credit. The applicable L/C Issuer will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7" w:lineRule="exact"/>
        <w:rPr>
          <w:sz w:val="20"/>
          <w:szCs w:val="20"/>
          <w:color w:val="auto"/>
        </w:rPr>
      </w:pPr>
    </w:p>
    <w:p>
      <w:pPr>
        <w:jc w:val="both"/>
        <w:ind w:firstLine="718"/>
        <w:spacing w:after="0" w:line="256" w:lineRule="auto"/>
        <w:tabs>
          <w:tab w:leader="none" w:pos="126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 of ISP and UCP</w:t>
      </w:r>
      <w:r>
        <w:rPr>
          <w:rFonts w:ascii="Times New Roman" w:cs="Times New Roman" w:eastAsia="Times New Roman" w:hAnsi="Times New Roman"/>
          <w:sz w:val="21"/>
          <w:szCs w:val="21"/>
          <w:color w:val="auto"/>
        </w:rPr>
        <w:t>. Unless otherwise expressly agreed by the applicable L/C Issuer and the Borrower when a Letter of Credit is issued (including any such agreement applicable to an Existing Letter of Credit and those relating to payment of fees of correspondent banks in the case of Letters of Credit denominated in Alternative Currencies), (i) the rules of the ISP will apply to each standby Letter of Credit and (ii) the rules of the UCP will apply to each commercial Letter of Credit. Notwithstanding the foregoing, no L/C Issuer shall be responsible to the Borrower for, and each L/C Issuer’s rights and remedies against the Borrower shall not be impaired by, any action or inaction of such L/C Issuer required under, or expressly authorized under the circumstances by, any applicable law, order, or practice that is required to be applied to any Letter of Credit or this Agreement, including the law or any order of a jurisdiction where such L/C Issuer or the beneficiary of any Letter of Credit is located, the practice stated in the ISP or the UCP,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74"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The Borrower shall pay to the Administrative Agent, for the account of the Lenders, in accordance with their Applicable Percentages, in US Dollars, a letter of credit fee (the “</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for each Letter of Credit equal to the Applicable Rate times the US Dollar Equivalent of the daily maximum amount then available to be drawn under such Letter of Credit. Each Defaulting Lender shall be entitled to receive Letter of Credit Fees pursuant to this </w:t>
      </w:r>
      <w:r>
        <w:rPr>
          <w:rFonts w:ascii="Times New Roman" w:cs="Times New Roman" w:eastAsia="Times New Roman" w:hAnsi="Times New Roman"/>
          <w:sz w:val="21"/>
          <w:szCs w:val="21"/>
          <w:u w:val="single" w:color="auto"/>
          <w:color w:val="auto"/>
        </w:rPr>
        <w:t>Section 2.04(h)</w:t>
      </w:r>
      <w:r>
        <w:rPr>
          <w:rFonts w:ascii="Times New Roman" w:cs="Times New Roman" w:eastAsia="Times New Roman" w:hAnsi="Times New Roman"/>
          <w:sz w:val="21"/>
          <w:szCs w:val="21"/>
          <w:color w:val="auto"/>
        </w:rPr>
        <w:t xml:space="preserve"> for any period during which such Lender is a Defaulting Lender only to the extent allocable to its Applicable Percentage of the stated amount of Letters of Credit for which it has provided Cash Collateral satisfactory to the applicable L/C Issuer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any Letter of Credit Fees not payable for the account of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58" w:right="339" w:bottom="1440" w:gutter="0" w:footer="0" w:header="0"/>
        </w:sectPr>
      </w:pPr>
    </w:p>
    <w:bookmarkStart w:id="166" w:name="page167"/>
    <w:bookmarkEnd w:id="166"/>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Lender pursuant to this sentence shall be payable, to the maximum extent permitted by applicable Law, to the other Lenders in accordance with the upward adjustments in their respective Applicable Percentages allocable to such Letter of Credit pursuant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with the balance of such Letter of Credit Fees, if any, payable to the applicable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Letter of Credit Fees shall be (i) due and payable on the fifteenth day following the last Business Day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32" w:lineRule="exact"/>
        <w:rPr>
          <w:sz w:val="20"/>
          <w:szCs w:val="20"/>
          <w:color w:val="auto"/>
        </w:rPr>
      </w:pPr>
    </w:p>
    <w:p>
      <w:pPr>
        <w:jc w:val="both"/>
        <w:ind w:firstLine="718"/>
        <w:spacing w:after="0" w:line="255" w:lineRule="auto"/>
        <w:tabs>
          <w:tab w:leader="none" w:pos="127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Fronting Fees and Documentary and Processing Charges Payable to L/C Issuers</w:t>
      </w:r>
      <w:r>
        <w:rPr>
          <w:rFonts w:ascii="Times New Roman" w:cs="Times New Roman" w:eastAsia="Times New Roman" w:hAnsi="Times New Roman"/>
          <w:sz w:val="21"/>
          <w:szCs w:val="21"/>
          <w:color w:val="auto"/>
        </w:rPr>
        <w:t xml:space="preserve">. The Borrower will pay directly to each L/C Issuer for its own account, in US Dollars, a fronting fee with respect to each Letter of Credit issued by it, at the rate per annum separately agreed in writing by the Borrower and such L/C Issuer, computed on the US Dollar Equivalent of the daily maximum amount then available to be drawn under such Letter of Credit. Such fronting fee shall be (i) due and payable on the fifteenth day after the end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For purposes of computing the daily amount available to be drawn under any Letter of Credit, the amount of such Letter of Credit will be determined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In addition, the Borrower will pay directly to each L/C Issuer for its own account, in US Dollars, the customary issuance, presentation, amendment, extension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0" w:lineRule="exact"/>
        <w:rPr>
          <w:rFonts w:ascii="Times New Roman" w:cs="Times New Roman" w:eastAsia="Times New Roman" w:hAnsi="Times New Roman"/>
          <w:sz w:val="21"/>
          <w:szCs w:val="21"/>
          <w:color w:val="auto"/>
        </w:rPr>
      </w:pPr>
    </w:p>
    <w:p>
      <w:pPr>
        <w:ind w:firstLine="718"/>
        <w:spacing w:after="0" w:line="298" w:lineRule="auto"/>
        <w:tabs>
          <w:tab w:leader="none" w:pos="127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 with Issuer Documents</w:t>
      </w:r>
      <w:r>
        <w:rPr>
          <w:rFonts w:ascii="Times New Roman" w:cs="Times New Roman" w:eastAsia="Times New Roman" w:hAnsi="Times New Roman"/>
          <w:sz w:val="21"/>
          <w:szCs w:val="21"/>
          <w:color w:val="auto"/>
        </w:rPr>
        <w:t>. In the event of any conflict between the terms hereof and the terms of any Issuer Document, the terms hereof will control.</w:t>
      </w:r>
    </w:p>
    <w:p>
      <w:pPr>
        <w:spacing w:after="0" w:line="129" w:lineRule="exact"/>
        <w:rPr>
          <w:rFonts w:ascii="Times New Roman" w:cs="Times New Roman" w:eastAsia="Times New Roman" w:hAnsi="Times New Roman"/>
          <w:sz w:val="21"/>
          <w:szCs w:val="21"/>
          <w:color w:val="auto"/>
        </w:rPr>
      </w:pPr>
    </w:p>
    <w:p>
      <w:pPr>
        <w:jc w:val="both"/>
        <w:ind w:firstLine="718"/>
        <w:spacing w:after="0" w:line="259" w:lineRule="auto"/>
        <w:tabs>
          <w:tab w:leader="none" w:pos="126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 Unless otherwise agreed by the Administrative Agent, each L/C Issuer shall report in writing to the Administrative Agent (i) on or prior to each Business Day on which such L/C Issuer issues, amends or extends any Letter of Credit, the date of such issuance, amendment or extension, and the currencies and amounts of the Letters of Credit issued, amended or extended by it and outstanding after giving effect to such issuance, amendment or extension (and whether the amounts thereof shall have changed), it being agreed that such L/C Issuer shall not effect any issuance, extension or amendment resulting in an increase in the amount of any Letter of Credit without first obtaining written confirmation from the Administrative Agent that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71" w:right="339" w:bottom="1440" w:gutter="0" w:footer="0" w:header="0"/>
        </w:sectPr>
      </w:pPr>
    </w:p>
    <w:bookmarkStart w:id="167" w:name="page168"/>
    <w:bookmarkEnd w:id="167"/>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extension or increase would not result in any limit referred to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04(a)(i)(A)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being exceeded, (ii) on each Business Day on which such L/C Issuer makes any disbursement in respect of a Letter of Credit drawing, the date, currency and amount of such disbursement, (iii) on any Business Day on which a Borrower fails to reimburse a Letter of Credit drawing required to be reimbursed to such L/C Issuer on such day, the date of such failure and the currency and amount of such Letter of Credit drawing and (iv) on any other Business Day, such other information as the Administrative Agent shall reasonably request as to the Letters of Credit issued by such L/C Issuer.</w:t>
      </w:r>
    </w:p>
    <w:p>
      <w:pPr>
        <w:spacing w:after="0" w:line="172" w:lineRule="exact"/>
        <w:rPr>
          <w:sz w:val="20"/>
          <w:szCs w:val="20"/>
          <w:color w:val="auto"/>
        </w:rPr>
      </w:pPr>
    </w:p>
    <w:p>
      <w:pPr>
        <w:jc w:val="both"/>
        <w:ind w:firstLine="718"/>
        <w:spacing w:after="0" w:line="257" w:lineRule="auto"/>
        <w:tabs>
          <w:tab w:leader="none" w:pos="127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Letters of Credit Issued for Subsidiaries</w:t>
      </w:r>
      <w:r>
        <w:rPr>
          <w:rFonts w:ascii="Times New Roman" w:cs="Times New Roman" w:eastAsia="Times New Roman" w:hAnsi="Times New Roman"/>
          <w:sz w:val="21"/>
          <w:szCs w:val="21"/>
          <w:color w:val="auto"/>
        </w:rPr>
        <w:t>. Notwithstanding that a Letter of Credit issued or outstanding hereunder is in support of any obligations of, or is for the account of, any other Subsidiary of the Borrower, or states that a Subsidiary is the “account party”, “applicant,” “customer,” “instructing party,” or the like of or for such Letter of Credit, and without derogating from any rights of the applicable L/C Issuer (whether arising by contract, at law, in equity or otherwise) against such Subsidiary in respect of such Letter of Credit, the Borrower shall be obligated to reimburse, indemnify and compensate the applicable L/C Issuer hereunder for any and all drawings under such Letter of Credit (and the Borrower hereby irrevocably waives any defenses that might otherwise be available to it as a guarantor or surety of the obligations of any such Subsidiary in respect of any such Letter of Credit). The Borrower hereby acknowledges that the issuance of Letters of Credit for the account of any other Subsidiary of the Borrower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11"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 xml:space="preserve">. (a) The Borrower may, by hand delivery, fax or e-mail </w:t>
      </w:r>
      <w:r>
        <w:rPr>
          <w:rFonts w:ascii="Times New Roman" w:cs="Times New Roman" w:eastAsia="Times New Roman" w:hAnsi="Times New Roman"/>
          <w:sz w:val="21"/>
          <w:szCs w:val="21"/>
          <w:b w:val="1"/>
          <w:bCs w:val="1"/>
          <w:u w:val="single" w:color="auto"/>
          <w:color w:val="0000FF"/>
        </w:rPr>
        <w:t>(or transmission via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Approved Borrower Portal if arrangements for doing so have been approved by the Administrative Agent)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of a Prepayment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Notice, appropriately completed and signed by a Responsible Officer of the Borrower, to the Administrative Agent, at any time or from time to time voluntarily prepay any Committed Borrowing in whole or in part, without premium or penalty;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 such Prepayment Notice must be received by the Administrative Agent not later than 11:00 a.m., Local Time, (A) three (3) Business Days prior to any date of prepayment of any Term Benchmark Committed Borrowing denominated in US Dollars (or such shorter period of time as may be agreed to by the Administrative Agent), (B) five (5) Business Days prior to any date of prepayment of any RFR Committed Borrowing denominated in US Dollars, (C) four (4) Business Days (or five (5) Business Days, in the case of prepayment of any Term Benchmark Committed Borrowing denominated in Special Notice Currencies) (or such shorter period of time as may be agreed to by the Administrative Agent) prior to the date of prepayment of any Term Benchmark Committed Borrowing denominated in Alternative Currencies, and (C) on the date of prepayment of any Base Rate Committed Borrowing and</w:t>
      </w:r>
    </w:p>
    <w:p>
      <w:pPr>
        <w:spacing w:after="0" w:line="4" w:lineRule="exact"/>
        <w:rPr>
          <w:sz w:val="20"/>
          <w:szCs w:val="20"/>
          <w:color w:val="auto"/>
        </w:rPr>
      </w:pPr>
    </w:p>
    <w:p>
      <w:pPr>
        <w:jc w:val="both"/>
        <w:ind w:firstLine="6"/>
        <w:spacing w:after="0" w:line="249" w:lineRule="auto"/>
        <w:tabs>
          <w:tab w:leader="none" w:pos="31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prepayment of Committed Loans must be in an aggregate amount that is an integral multiple of the Borrowing Multiple and not less than the Borrowing Minimum for the applicable currency or, in each case, if less, the entire principal amount thereof then outstanding.</w:t>
      </w:r>
    </w:p>
    <w:p>
      <w:pPr>
        <w:spacing w:after="0" w:line="178" w:lineRule="exact"/>
        <w:rPr>
          <w:sz w:val="20"/>
          <w:szCs w:val="20"/>
          <w:color w:val="auto"/>
        </w:rPr>
      </w:pPr>
    </w:p>
    <w:p>
      <w:pPr>
        <w:ind w:firstLine="624"/>
        <w:spacing w:after="0" w:line="298" w:lineRule="auto"/>
        <w:rPr>
          <w:sz w:val="20"/>
          <w:szCs w:val="20"/>
          <w:color w:val="auto"/>
        </w:rPr>
      </w:pPr>
      <w:r>
        <w:rPr>
          <w:rFonts w:ascii="Times New Roman" w:cs="Times New Roman" w:eastAsia="Times New Roman" w:hAnsi="Times New Roman"/>
          <w:sz w:val="21"/>
          <w:szCs w:val="21"/>
          <w:color w:val="auto"/>
        </w:rPr>
        <w:t>Each Prepayment Notice shall specify the prepayment date, the Committed Borrowing or Committed Borrowings to be prepaid and the principal amount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71" w:right="339" w:bottom="1440" w:gutter="0" w:footer="0" w:header="0"/>
        </w:sectPr>
      </w:pPr>
    </w:p>
    <w:bookmarkStart w:id="168" w:name="page169"/>
    <w:bookmarkEnd w:id="168"/>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Committed Borrowing or portion thereof to be prepaid. The Administrative Agent will promptly notify each Lender of its receipt of each Prepayment Notice, and of the amount of such Lender’s Applicable Percentage of such prepayment of any Committed Borrowing. If a Prepayment Notice is given by the Borrower, it will make such prepayment and the payment amount specified in such notice will be due and payable on the date specified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such Prepayment Notice may state that it is conditioned upon the occurrence of one or more events specified therein, in which case such Prepayment Notice may be revoked by the Borrower (by notice to the Administrative Agent on or prior to the specified date of prepayment) if such condition is not satisfied and, in the case of such revocation, the Borrower shall not be required to make such prepayment and such prepayment amount shall cease to be due and payable. Any prepayment of a Committed Loan shall, to the extent required by </w:t>
      </w:r>
      <w:r>
        <w:rPr>
          <w:rFonts w:ascii="Times New Roman" w:cs="Times New Roman" w:eastAsia="Times New Roman" w:hAnsi="Times New Roman"/>
          <w:sz w:val="21"/>
          <w:szCs w:val="21"/>
          <w:u w:val="single" w:color="auto"/>
          <w:color w:val="auto"/>
        </w:rPr>
        <w:t>Section 2.08(d)</w:t>
      </w:r>
      <w:r>
        <w:rPr>
          <w:rFonts w:ascii="Times New Roman" w:cs="Times New Roman" w:eastAsia="Times New Roman" w:hAnsi="Times New Roman"/>
          <w:sz w:val="21"/>
          <w:szCs w:val="21"/>
          <w:color w:val="auto"/>
        </w:rPr>
        <w:t xml:space="preserve">, be accompanied by all accrued interest on the amount prepaid and, in the case of any prepayment of Term Benchmark Committed Loans on any day other than on the last day of the Interest Period applicable thereto, shall be subject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Each prepayment of a Committed Borrowing shall be applied ratably to the Committed Loans comprising the prepaid Committed Borrowing.</w:t>
      </w:r>
    </w:p>
    <w:p>
      <w:pPr>
        <w:spacing w:after="0" w:line="200" w:lineRule="exact"/>
        <w:rPr>
          <w:sz w:val="20"/>
          <w:szCs w:val="20"/>
          <w:color w:val="auto"/>
        </w:rPr>
      </w:pPr>
    </w:p>
    <w:p>
      <w:pPr>
        <w:spacing w:after="0" w:line="237" w:lineRule="exact"/>
        <w:rPr>
          <w:sz w:val="20"/>
          <w:szCs w:val="20"/>
          <w:color w:val="auto"/>
        </w:rPr>
      </w:pPr>
    </w:p>
    <w:p>
      <w:pPr>
        <w:ind w:left="1260" w:hanging="542"/>
        <w:spacing w:after="0"/>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Bid Loan may be prepaid without the prior consent of the applicable Bid Loan Lender.</w:t>
      </w:r>
    </w:p>
    <w:p>
      <w:pPr>
        <w:spacing w:after="0" w:line="222" w:lineRule="exact"/>
        <w:rPr>
          <w:rFonts w:ascii="Times New Roman" w:cs="Times New Roman" w:eastAsia="Times New Roman" w:hAnsi="Times New Roman"/>
          <w:sz w:val="21"/>
          <w:szCs w:val="21"/>
          <w:color w:val="auto"/>
        </w:rPr>
      </w:pPr>
    </w:p>
    <w:p>
      <w:pPr>
        <w:jc w:val="both"/>
        <w:ind w:firstLine="718"/>
        <w:spacing w:after="0" w:line="262" w:lineRule="auto"/>
        <w:tabs>
          <w:tab w:leader="none" w:pos="126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the Borrower at any time that the Total Outstandings at such time exceed the Aggregate Commitments then in effect, then, no later than the next Business Day after receipt of such notice, the Borrower shall prepay Committed Borrowings (and, if no Committed Borrowings are outstanding, shall deposit Cash Collateral in respect of L/C Obligations) in an aggregate amount equal to the lesser of (i) the amount necessary to eliminate such excess and (ii) the Total Outstandings (less the US Dollar Equivalent of Bid Loans then outstanding).</w:t>
      </w:r>
    </w:p>
    <w:p>
      <w:pPr>
        <w:spacing w:after="0" w:line="165"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the Borrower at any time that the Outstanding Amount of all Loans and all Letters of Credit denominated in an Alternative Currency or a Discretionary Alternative Currency at such time exceeds an amount equal to 105% of the Alternative Currency Sublimit then in effect, then, within two (2) Business Days after receipt of such notice, the Borrower shall prepay Committed Borrowings denominated in an Alternative Currency (and, if no Committed Borrowings denominated in an Alternative Currency are outstanding, shall deposit Cash Collateral in respect of Letters of Credit denominated in an Alternative Currency) in an aggregate amount equal to the lesser of (i) the amount necessary to eliminate such excess and (ii) the sum of the Outstanding Amount of such Committed Borrowings and the Outstanding Amount of the L/C Obligations in respect of such Letters of Credit.</w:t>
      </w:r>
    </w:p>
    <w:p>
      <w:pPr>
        <w:spacing w:after="0" w:line="17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Termination or Reduction of Commitments</w:t>
      </w:r>
      <w:r>
        <w:rPr>
          <w:rFonts w:ascii="Times New Roman" w:cs="Times New Roman" w:eastAsia="Times New Roman" w:hAnsi="Times New Roman"/>
          <w:sz w:val="21"/>
          <w:szCs w:val="21"/>
          <w:color w:val="auto"/>
        </w:rPr>
        <w:t xml:space="preserve">. Unless previously terminated, the Commitments shall terminate on the Maturity Date. The Borrower may, upon written notice to the Administrative Agent, terminate the Aggregate Commitments, or from time to time permanently reduce the Aggregate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any such notice must be received by the Administrative Agent not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71" w:right="339" w:bottom="1440" w:gutter="0" w:footer="0" w:header="0"/>
        </w:sectPr>
      </w:pPr>
    </w:p>
    <w:bookmarkStart w:id="169" w:name="page170"/>
    <w:bookmarkEnd w:id="169"/>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than 11:00 a.m., New York City time, three (3) Business Days prior to the date of termination or reduction (or such shorter period of time as may be agreed to by the Administrative Agent), (b) any such partial reduction will be in an aggregate amount of $5,000,000 or any whole multiple of $1,000,000 in excess thereof, (c) the Borrower will not terminate or reduce the Aggregate Commitments if, after giving effect thereto and to any concurrent prepayments hereunder, (A) the Outstanding Amount of the Committed Loans of any Lender, plus the Outstanding Amount of such Lender’s Bid Loans plus such Lender’s Applicable Percentage of the Outstanding Amount of all L/C Obligations would exceed its Commitment or (B) the Total Outstandings would exceed the Aggregate Commitments, unless, in each of cases (A) and (B), the Total Outstandings consist solely of the Outstanding Amount of L/C Obligations and the Borrower has concurrently Cash Collateralized the Outstanding Amount of L/C Obligations and (d) if, after giving effect to any reduction of the Aggregate Commitments, the Alternative Currency Sublimit or the Letter of Credit Sublimit exceeds the amount of the Aggregate Commitments, such sublimit shall automatically be reduced by the amount of such excess. Each notice delivered by the Borrower pursuant to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be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notice of termination of the Aggregate Commitments delivered by the Borrower may state that such notice is conditioned upon the occurrence of one or more events specified therein, in which case such notice may be revoked by the Borrower (by notice to the Administrative Agent prior to the specified date of termination) if such condition is not satisfied and, in the case of such revocation, such termination will not be effective. Promptly following receipt of any notice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the Administrative Agent will notify the Lenders of the details thereof. Any partial reduction of the Aggregate Commitments will be applied to the Commitment of each Lender according to its Applicable Percentage. Any termination or reduction of the Commitments shall be permanent. All Unused Commitment Fees accrued through the date of any termination or reduction of the Commitments (in the case of any reduction, in respect of the aggregate amount of the Commitments subject to such reduction) shall be payable on the date of such termination or reduction. Except as otherwise set forth above, the amount of any such Aggregate Commitment reduction will not be applied to the Alternative Currency Sublimit or the Letter of Credit Sublimit unless otherwise specified by the Borrower.</w:t>
      </w:r>
    </w:p>
    <w:p>
      <w:pPr>
        <w:spacing w:after="0" w:line="18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Repayment of Loans</w:t>
      </w:r>
      <w:r>
        <w:rPr>
          <w:rFonts w:ascii="Times New Roman" w:cs="Times New Roman" w:eastAsia="Times New Roman" w:hAnsi="Times New Roman"/>
          <w:sz w:val="21"/>
          <w:szCs w:val="21"/>
          <w:color w:val="auto"/>
        </w:rPr>
        <w:t>. (a) The Borrower will repay to the Administrative Agent, for the account of the Lenders, on the Maturity Date the aggregate principal amount of Committed Loans outstanding on such date.</w:t>
      </w:r>
    </w:p>
    <w:p>
      <w:pPr>
        <w:spacing w:after="0" w:line="142" w:lineRule="exact"/>
        <w:rPr>
          <w:sz w:val="20"/>
          <w:szCs w:val="20"/>
          <w:color w:val="auto"/>
        </w:rPr>
      </w:pPr>
    </w:p>
    <w:p>
      <w:pPr>
        <w:ind w:right="20" w:firstLine="718"/>
        <w:spacing w:after="0" w:line="298" w:lineRule="auto"/>
        <w:tabs>
          <w:tab w:leader="none" w:pos="12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repay to the Administrative Agent, for the account of the applicable Bid Loan Lender, each Bid Loan on the last day of the Interest Period in respect thereof.</w:t>
      </w:r>
    </w:p>
    <w:p>
      <w:pPr>
        <w:spacing w:after="0" w:line="12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(a) Subject to the provisions of </w:t>
      </w:r>
      <w:r>
        <w:rPr>
          <w:rFonts w:ascii="Times New Roman" w:cs="Times New Roman" w:eastAsia="Times New Roman" w:hAnsi="Times New Roman"/>
          <w:sz w:val="21"/>
          <w:szCs w:val="21"/>
          <w:u w:val="single" w:color="auto"/>
          <w:color w:val="auto"/>
        </w:rPr>
        <w:t>Section 2.08(b)</w:t>
      </w:r>
      <w:r>
        <w:rPr>
          <w:rFonts w:ascii="Times New Roman" w:cs="Times New Roman" w:eastAsia="Times New Roman" w:hAnsi="Times New Roman"/>
          <w:sz w:val="21"/>
          <w:szCs w:val="21"/>
          <w:color w:val="auto"/>
        </w:rPr>
        <w:t>, (i) each Term Benchmark Committed Loan denominated in US Dollars will bear interest on the outstanding principal amount thereof for each Interest Period at a rate per annum equal to the Adjusted Term SOFR Rate for such Interest Period plus the Applicable Rate, (ii) each RFR Loan shall bear interest at a rate per annum equal to the Adjusted Daily Simple SOFR plus the Applicable Rate, (iii) each Base Rate Committed Loan will bear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71" w:right="339" w:bottom="1440" w:gutter="0" w:footer="0" w:header="0"/>
        </w:sectPr>
      </w:pPr>
    </w:p>
    <w:bookmarkStart w:id="170" w:name="page171"/>
    <w:bookmarkEnd w:id="170"/>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the outstanding principal amount thereof at a rate per annum equal to the Base Rate plus the Applicable Rate and (iv) each Bid Loan shall bear interest on the outstanding principal amount thereof for the Interest Period therefor at a rate per annum determined in accordance with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718"/>
        <w:spacing w:after="0" w:line="256" w:lineRule="auto"/>
        <w:tabs>
          <w:tab w:leader="none" w:pos="1264"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or any fee or other amount (including any Unreimbursed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w:t>
      </w:r>
      <w:r>
        <w:rPr>
          <w:rFonts w:ascii="Times New Roman" w:cs="Times New Roman" w:eastAsia="Times New Roman" w:hAnsi="Times New Roman"/>
          <w:sz w:val="21"/>
          <w:szCs w:val="21"/>
          <w:u w:val="single" w:color="auto"/>
          <w:color w:val="auto"/>
        </w:rPr>
        <w:t>Section 2.08(a)</w:t>
      </w:r>
      <w:r>
        <w:rPr>
          <w:rFonts w:ascii="Times New Roman" w:cs="Times New Roman" w:eastAsia="Times New Roman" w:hAnsi="Times New Roman"/>
          <w:sz w:val="21"/>
          <w:szCs w:val="21"/>
          <w:color w:val="auto"/>
        </w:rPr>
        <w:t xml:space="preserve"> or</w:t>
      </w:r>
    </w:p>
    <w:p>
      <w:pPr>
        <w:jc w:val="both"/>
        <w:ind w:firstLine="6"/>
        <w:spacing w:after="0" w:line="258" w:lineRule="auto"/>
        <w:tabs>
          <w:tab w:leader="none" w:pos="31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other amount, (A) in the case of any such amount denominated in US Dollars, 2.00% per annum plus the rate applicable to Base Rate Committed Loans as provided in </w:t>
      </w:r>
      <w:r>
        <w:rPr>
          <w:rFonts w:ascii="Times New Roman" w:cs="Times New Roman" w:eastAsia="Times New Roman" w:hAnsi="Times New Roman"/>
          <w:sz w:val="21"/>
          <w:szCs w:val="21"/>
          <w:u w:val="single" w:color="auto"/>
          <w:color w:val="auto"/>
        </w:rPr>
        <w:t>Section 2.08(a)</w:t>
      </w:r>
      <w:r>
        <w:rPr>
          <w:rFonts w:ascii="Times New Roman" w:cs="Times New Roman" w:eastAsia="Times New Roman" w:hAnsi="Times New Roman"/>
          <w:sz w:val="21"/>
          <w:szCs w:val="21"/>
          <w:color w:val="auto"/>
        </w:rPr>
        <w:t xml:space="preserve"> and (B) in the case of any such amount denominated in any other currency, 2.00% per annum plus the Overnight Rate for such currency plus the Applicable Rate for Term Benchmark Committed Loans.</w:t>
      </w:r>
    </w:p>
    <w:p>
      <w:pPr>
        <w:spacing w:after="0" w:line="169"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Accrued and unpaid interest on past due amounts (including interest on past due interest) shall be due and payable</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demand.</w:t>
      </w:r>
    </w:p>
    <w:p>
      <w:pPr>
        <w:spacing w:after="0" w:line="198"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Interest on each Loan will be due and payable in arrears on each Interest Payment Date applicable thereto, at such other times as may be specified herein and upon termination of the Aggregate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the event of any repayment or prepayment of any Loan (other than a prepayment of a Base Rate Committed Loan prior to the end of the Availability Period), accrued interest on the principal amount repaid or prepaid shall be payable on the date of such repayment or prepayment and (ii)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 Interest hereunder will be due and payable in accordance with the terms hereof before and after judgment, and before and after the commencement of any proceeding under any Debtor Relief Law.</w:t>
      </w:r>
    </w:p>
    <w:p>
      <w:pPr>
        <w:spacing w:after="0" w:line="171"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5" w:val="left"/>
        </w:tabs>
        <w:numPr>
          <w:ilvl w:val="1"/>
          <w:numId w:val="93"/>
        </w:numPr>
        <w:rPr>
          <w:rFonts w:ascii="Times New Roman" w:cs="Times New Roman" w:eastAsia="Times New Roman" w:hAnsi="Times New Roman"/>
          <w:sz w:val="21"/>
          <w:szCs w:val="21"/>
          <w:b w:val="1"/>
          <w:bCs w:val="1"/>
          <w:color w:val="FF0000"/>
          <w:strike w:val="1"/>
        </w:rPr>
      </w:pPr>
      <w:r>
        <w:rPr>
          <w:rFonts w:ascii="Times New Roman" w:cs="Times New Roman" w:eastAsia="Times New Roman" w:hAnsi="Times New Roman"/>
          <w:sz w:val="21"/>
          <w:szCs w:val="21"/>
          <w:b w:val="1"/>
          <w:bCs w:val="1"/>
          <w:color w:val="FF0000"/>
          <w:strike w:val="1"/>
        </w:rPr>
        <w:t>Notwithstanding the foregoing, all “Eurocurrency Rate Loans” (as defined in this Agreement immediately prior to giving effect to Amendment No. 1 to this Agreement on the Amendment No. 1 Effective Date) outstanding as of the Amendment No. 1 Effective Date shall remain Eurocurrency Rate Loans outstanding under this Agreement (upon giving effect to Amendment No. 1 to this Agreement on the Amendment No. 1 Effective Date) until the end of the current Interest Period applicable thereto and, upon the expiration of such current Interest Period, shall be converted to Term Benchmark Loans with an Interest Period of one (1) month (the “</w:t>
      </w:r>
      <w:r>
        <w:rPr>
          <w:rFonts w:ascii="Times New Roman" w:cs="Times New Roman" w:eastAsia="Times New Roman" w:hAnsi="Times New Roman"/>
          <w:sz w:val="21"/>
          <w:szCs w:val="21"/>
          <w:b w:val="1"/>
          <w:bCs w:val="1"/>
          <w:u w:val="single" w:color="auto"/>
          <w:color w:val="FF0000"/>
          <w:strike w:val="1"/>
        </w:rPr>
        <w:t>SOFR Conversion</w:t>
      </w:r>
      <w:r>
        <w:rPr>
          <w:rFonts w:ascii="Times New Roman" w:cs="Times New Roman" w:eastAsia="Times New Roman" w:hAnsi="Times New Roman"/>
          <w:sz w:val="21"/>
          <w:szCs w:val="21"/>
          <w:b w:val="1"/>
          <w:bCs w:val="1"/>
          <w:color w:val="FF0000"/>
          <w:strike w:val="1"/>
        </w:rPr>
        <w:t xml:space="preserve">”). Subject to the SOFR Conversion, all other terms and conditions set forth in this Agreement with respect to Term Benchmark Loans shall apply to such “Eurocurrency Rate Loans” referred to in the first sentence of this clause (e), </w:t>
      </w:r>
      <w:r>
        <w:rPr>
          <w:rFonts w:ascii="Times New Roman" w:cs="Times New Roman" w:eastAsia="Times New Roman" w:hAnsi="Times New Roman"/>
          <w:sz w:val="21"/>
          <w:szCs w:val="21"/>
          <w:b w:val="1"/>
          <w:bCs w:val="1"/>
          <w:i w:val="1"/>
          <w:iCs w:val="1"/>
          <w:color w:val="FF0000"/>
          <w:strike w:val="1"/>
        </w:rPr>
        <w:t>mutatis mutandis</w:t>
      </w:r>
      <w:r>
        <w:rPr>
          <w:rFonts w:ascii="Times New Roman" w:cs="Times New Roman" w:eastAsia="Times New Roman" w:hAnsi="Times New Roman"/>
          <w:sz w:val="21"/>
          <w:szCs w:val="21"/>
          <w:b w:val="1"/>
          <w:bCs w:val="1"/>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71" w:right="339" w:bottom="1440" w:gutter="0" w:footer="0" w:header="0"/>
        </w:sectPr>
      </w:pPr>
    </w:p>
    <w:bookmarkStart w:id="171" w:name="page172"/>
    <w:bookmarkEnd w:id="171"/>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In addition to certain fees described in</w:t>
      </w:r>
      <w:r>
        <w:rPr>
          <w:rFonts w:ascii="Times New Roman" w:cs="Times New Roman" w:eastAsia="Times New Roman" w:hAnsi="Times New Roman"/>
          <w:sz w:val="21"/>
          <w:szCs w:val="21"/>
          <w:u w:val="single" w:color="auto"/>
          <w:color w:val="auto"/>
        </w:rPr>
        <w:t xml:space="preserve"> Sections 2.04(h)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2.04(i)</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718"/>
        <w:spacing w:after="0" w:line="243" w:lineRule="auto"/>
        <w:tabs>
          <w:tab w:leader="none" w:pos="126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Unused Commitment Fee</w:t>
      </w:r>
      <w:r>
        <w:rPr>
          <w:rFonts w:ascii="Times New Roman" w:cs="Times New Roman" w:eastAsia="Times New Roman" w:hAnsi="Times New Roman"/>
          <w:sz w:val="21"/>
          <w:szCs w:val="21"/>
          <w:color w:val="auto"/>
        </w:rPr>
        <w:t xml:space="preserve">. The Borrower shall pay to the Administrative Agent, for the account of each Lender (subject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in the case of any Defaulting Lender), an unused commitment fee (collectively, the “</w:t>
      </w:r>
      <w:r>
        <w:rPr>
          <w:rFonts w:ascii="Times New Roman" w:cs="Times New Roman" w:eastAsia="Times New Roman" w:hAnsi="Times New Roman"/>
          <w:sz w:val="21"/>
          <w:szCs w:val="21"/>
          <w:u w:val="single" w:color="auto"/>
          <w:color w:val="auto"/>
        </w:rPr>
        <w:t>Unused Commitment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in US Dollars equal to the Applicable Rate times the actual daily amount by which the Commitment of such Lender exceeds the sum of the Outstanding Amount of all the Committed Loans of such Lender and its Applicable Percentage of the Outstanding Amount of all the L/C Obligations. The Unused Commitment Fee shall accrue at all times during the Availability Period, including at any time during which one or more of the conditions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is not met, and shall be due and payable quarterly in arrears on the fifteenth day following the last day of each March, June, September and December, commencing with the first such date to occur after the Effective Date, and on the last day of the Availability Period. The Unused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1"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Fees</w:t>
      </w:r>
      <w:r>
        <w:rPr>
          <w:rFonts w:ascii="Times New Roman" w:cs="Times New Roman" w:eastAsia="Times New Roman" w:hAnsi="Times New Roman"/>
          <w:sz w:val="21"/>
          <w:szCs w:val="21"/>
          <w:color w:val="auto"/>
        </w:rPr>
        <w:t>. The Borrower will pay to the Arrangers and the Administrative Agent, for their own respective accounts, in US Dollars, fees in the amounts and at the times separately agreed in writing by the Borrower and the Arrangers or the Administrative Agent, as the case may be.</w:t>
      </w:r>
    </w:p>
    <w:p>
      <w:pPr>
        <w:spacing w:after="0" w:line="160"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All fees payable hereunder shall be paid on the dates due, in US Dollars in immediately available funds, to the Administrative Agent (or to the Arrangers or the applicable L/C Issuer, in the case of fees payable to it) for distribution, in the case of Unused Commitment Fees and Letter of Credit Fees, to the Lenders entitled thereto. All fees will be fully earned when paid and will not be refundable for any reason whatsoever.</w:t>
      </w:r>
    </w:p>
    <w:p>
      <w:pPr>
        <w:spacing w:after="0" w:line="161"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Computation of Interest and Fees</w:t>
      </w:r>
      <w:r>
        <w:rPr>
          <w:rFonts w:ascii="Times New Roman" w:cs="Times New Roman" w:eastAsia="Times New Roman" w:hAnsi="Times New Roman"/>
          <w:sz w:val="21"/>
          <w:szCs w:val="21"/>
          <w:color w:val="auto"/>
        </w:rPr>
        <w:t xml:space="preserve">. All computations of interest for Base Rate Loans only at times when the Base Rate is determined by reference to the Prime Rate and for any Alternative Currency Loan denominated in a currency with respect to which it is customary to compute interest on the basis of a year of 365 (or 366 days in a leap year) will be made on the basis of a year of 365 (or 366 days in a leap year). All other computations of fees and interest will be made on the basis of a 360-day year (which results in more fees or interest, as applicable, being paid than if computed on the basis of a 365-day year), or, in the case of interest in respect of Loans denominated in Alternative Currencies and Discretionary Alternative Currencies as to which market practice differs from the foregoing, in accordance with such market practice, as expressly agreed by the Borrower and the Administrative Agent. In each case interest shall be payable for the actual number of days elapsed. Interest will accrue on each Loan for the day on which the Loan is made, and will not accrue on a Loan, or any portion thereof, for the day on which the Loan or such portion is 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Loan that is repaid on the same day on which it is made will, subject to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bear interest for one day. All interest hereunder on any Loan shall be computed on a daily basis based upon the outstanding principal amount of such Loan as of the applicable date of determination.</w:t>
      </w:r>
    </w:p>
    <w:p>
      <w:pPr>
        <w:sectPr>
          <w:pgSz w:w="11900" w:h="16838" w:orient="portrait"/>
          <w:cols w:equalWidth="0" w:num="1">
            <w:col w:w="11240"/>
          </w:cols>
          <w:pgMar w:left="320" w:top="1146" w:right="339" w:bottom="1440" w:gutter="0" w:footer="0" w:header="0"/>
        </w:sectPr>
      </w:pPr>
    </w:p>
    <w:bookmarkStart w:id="172" w:name="page173"/>
    <w:bookmarkEnd w:id="172"/>
    <w:p>
      <w:pPr>
        <w:jc w:val="both"/>
        <w:spacing w:after="0" w:line="272" w:lineRule="auto"/>
        <w:rPr>
          <w:sz w:val="20"/>
          <w:szCs w:val="20"/>
          <w:color w:val="auto"/>
        </w:rPr>
      </w:pPr>
      <w:r>
        <w:rPr>
          <w:rFonts w:ascii="Times New Roman" w:cs="Times New Roman" w:eastAsia="Times New Roman" w:hAnsi="Times New Roman"/>
          <w:sz w:val="21"/>
          <w:szCs w:val="21"/>
          <w:color w:val="auto"/>
        </w:rPr>
        <w:t>Each determination by the Administrative Agent of an interest rate or fee hereunder will be conclusive and binding for all purposes, absent manifest error.</w:t>
      </w:r>
    </w:p>
    <w:p>
      <w:pPr>
        <w:spacing w:after="0" w:line="14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Evidence of Debt</w:t>
      </w:r>
      <w:r>
        <w:rPr>
          <w:rFonts w:ascii="Times New Roman" w:cs="Times New Roman" w:eastAsia="Times New Roman" w:hAnsi="Times New Roman"/>
          <w:sz w:val="21"/>
          <w:szCs w:val="21"/>
          <w:color w:val="auto"/>
        </w:rPr>
        <w:t>. (a) The Credit Extensions made by each Lender will be evidenced by one or more accounts or records maintained by such Lender and by the Administrative Agent in the ordinary course of business. The accounts or records maintained by the Administrative Agent and each Lender will be conclusive absent manifest error of the amount of the Credit Extensions made by the Lenders to the Borrower and the interest and payments thereon. Any failure to so record or any error in doing so will not, however, limit or otherwise affect the obligation of the Borrower hereunder to pay any amount owing with respect to the Obligations. The Administrative Agent will provide to the Borrower, upon their request, a statement of Loans, payments and other transactions pursuant to this Agreement. Such statement will be deemed correct, accurate, and binding on the Borrower (except for corrections and errors discovered by the Administrative Agent), unless the Borrower notifies the Administrative Agent in writing to the contrary within thirty (30) days after such statement is rendered. In the event a timely written notice of objections is given by the Borrower, only the items to which exception is expressly made will be considered to be disputed by the Borrower. In the event of any conflict between the accounts and records maintained by any Lender and the accounts and records of the Administrative Agent in respect of such matters, the accounts and records of the Administrative Agent will control in the absence of manifest error. Upon the request of any Lender to the Borrower made through the Administrative Agent, the Borrower will execute and deliver to such Lender (through the Administrative Agent) a Note, which will evidence such Lender’s Loans to the Borrower in addition to such accounts or records. Each Lender may attach schedules to a Note and endorse thereon the date, Type (if applicable), amount, currency and maturity of its Loans and payments with respect thereto.</w:t>
      </w:r>
    </w:p>
    <w:p>
      <w:pPr>
        <w:spacing w:after="0" w:line="178" w:lineRule="exact"/>
        <w:rPr>
          <w:sz w:val="20"/>
          <w:szCs w:val="20"/>
          <w:color w:val="auto"/>
        </w:rPr>
      </w:pPr>
    </w:p>
    <w:p>
      <w:pPr>
        <w:jc w:val="both"/>
        <w:ind w:firstLine="718"/>
        <w:spacing w:after="0" w:line="255" w:lineRule="auto"/>
        <w:tabs>
          <w:tab w:leader="none" w:pos="126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accounts and records referred to in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each Lender and the Administrative Agent will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will control in the absence of manifest error.</w:t>
      </w:r>
    </w:p>
    <w:p>
      <w:pPr>
        <w:spacing w:after="0" w:line="175"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Payments Generally; Agent’s Clawback</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All payments to be made by the Borrower will be made without condition or deduction for any counterclaim, defense, recoupment or setoff. Except as otherwise expressly provided herein (including the next succeeding sentence), all payments by the Borrower hereunder will be made to the Administrative Agent, for the account of the Lenders to which such payments are due, except that (i) payments pursuant to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04</w:t>
      </w:r>
      <w:r>
        <w:rPr>
          <w:rFonts w:ascii="Times New Roman" w:cs="Times New Roman" w:eastAsia="Times New Roman" w:hAnsi="Times New Roman"/>
          <w:sz w:val="21"/>
          <w:szCs w:val="21"/>
          <w:color w:val="auto"/>
        </w:rPr>
        <w:t xml:space="preserve"> shall be made directly to the Persons entitled thereto, and payments to be made directly to an L/C Issuer as expressly provided herein shall be so made, in each case in US Dollars and in Same Day Funds not later than 1:00 p.m., Local Time, on the date specified herein and (ii) all other payments under each Loan Document (including all fees) shall be made in US Dollars. Except as otherwise expressly provided herein, all payments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58" w:right="339" w:bottom="1440" w:gutter="0" w:footer="0" w:header="0"/>
        </w:sectPr>
      </w:pPr>
    </w:p>
    <w:bookmarkStart w:id="173" w:name="page174"/>
    <w:bookmarkEnd w:id="173"/>
    <w:p>
      <w:pPr>
        <w:jc w:val="both"/>
        <w:spacing w:after="0" w:line="242" w:lineRule="auto"/>
        <w:rPr>
          <w:sz w:val="20"/>
          <w:szCs w:val="20"/>
          <w:color w:val="auto"/>
        </w:rPr>
      </w:pPr>
      <w:r>
        <w:rPr>
          <w:rFonts w:ascii="Times New Roman" w:cs="Times New Roman" w:eastAsia="Times New Roman" w:hAnsi="Times New Roman"/>
          <w:sz w:val="21"/>
          <w:szCs w:val="21"/>
          <w:color w:val="auto"/>
        </w:rPr>
        <w:t>hereunder with respect to principal and interest on Loans denominated in an Alternative Currency or a Discretionary Alternative Currency or on Loans denominated in US Dollars that are Term Benchmark Loans will be made to the Administrative Agent, for the account of the Lenders to which such payments are due, in the currency of the applicable Loan in Same Day Funds, not later than 1:00 p.m., Local Time (or, in the case of Loans denominated in any Discretionary Alternative Currency, not later than the Applicable Time) on the dates specified herein. All such payments to the Administrative Agent shall be made to such account as may be specified by the Administrative Agent.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or a Discretionary Alternative Currency, it will make such payment in US Dollars in the US Dollar Equivalent of the Alternative Currency or the Discretionary Alternative Currency payment amount. The Administrative Agent shall distribute any such payment received by it for the account of any other Person to the appropriate recipient promptly following receipt thereof. All payments received by the Administrative Agent (A) after 1:00 p.m., Local Time, in the case of payments in US Dollars or an Alternative Currency, or (B) after the Applicable Time in the case of payments in a Discretionary Alternative Currency will, in each case, be deemed received on the next succeeding Business Day and any applicable interest or fee will continue to accrue. If any payment to be made by the Borrower will come due on a day that is not a Business Day, payment will be made on the next following Business Day, except (x) as otherwise set forth in the definition of “Interest Period” or “Maturity Date”, (y) that no payment will extend past the end of the Availability Period or (z) as otherwise agreed between the Borrower and Bid Loan Lender with respect to a Bid Loan, and such extension of time will be reflected in computing interest or fees, as the case may be.</w:t>
      </w:r>
    </w:p>
    <w:p>
      <w:pPr>
        <w:spacing w:after="0" w:line="175" w:lineRule="exact"/>
        <w:rPr>
          <w:sz w:val="20"/>
          <w:szCs w:val="20"/>
          <w:color w:val="auto"/>
        </w:rPr>
      </w:pPr>
    </w:p>
    <w:p>
      <w:pPr>
        <w:jc w:val="both"/>
        <w:ind w:firstLine="718"/>
        <w:spacing w:after="0" w:line="242" w:lineRule="auto"/>
        <w:tabs>
          <w:tab w:leader="none" w:pos="126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by Lenders; Presumption by the Administrative Agent</w:t>
      </w:r>
      <w:r>
        <w:rPr>
          <w:rFonts w:ascii="Times New Roman" w:cs="Times New Roman" w:eastAsia="Times New Roman" w:hAnsi="Times New Roman"/>
          <w:sz w:val="21"/>
          <w:szCs w:val="21"/>
          <w:color w:val="auto"/>
        </w:rPr>
        <w:t xml:space="preserve">. (i) Unless the Administrative Agent will have received notice from a Lender prior to the proposed date of any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(x) if denominated in US Dollars, the interest rate applicable to Base Rate Committed Loans and (y) if denominated in an Alternative Currency, the interest rate applicable to the subject Loan. If the Borrower and such Lender shall pay such interest to the Administrative Agent for the same or an overlapping period, the Administrative Agent will promptly remit to the Borrower the amount of such interest paid by the Borrower for such period. If such Lender pays its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58" w:right="339" w:bottom="1440" w:gutter="0" w:footer="0" w:header="0"/>
        </w:sectPr>
      </w:pPr>
    </w:p>
    <w:bookmarkStart w:id="174" w:name="page175"/>
    <w:bookmarkEnd w:id="174"/>
    <w:p>
      <w:pPr>
        <w:jc w:val="both"/>
        <w:spacing w:after="0" w:line="254" w:lineRule="auto"/>
        <w:rPr>
          <w:sz w:val="20"/>
          <w:szCs w:val="20"/>
          <w:color w:val="auto"/>
        </w:rPr>
      </w:pPr>
      <w:r>
        <w:rPr>
          <w:rFonts w:ascii="Times New Roman" w:cs="Times New Roman" w:eastAsia="Times New Roman" w:hAnsi="Times New Roman"/>
          <w:sz w:val="21"/>
          <w:szCs w:val="21"/>
          <w:color w:val="auto"/>
        </w:rPr>
        <w:t>applicable Committed Borrowing to the Administrative Agent, then the amount so paid will constitute such Lender’s Committed Loan included in such Committed Borrowing. Any payment by the Borrower will be without prejudice to any claim the Borrower may have against a Lender that shall have failed to make such payment to the Administrative Agent.</w:t>
      </w:r>
    </w:p>
    <w:p>
      <w:pPr>
        <w:spacing w:after="0" w:line="174" w:lineRule="exact"/>
        <w:rPr>
          <w:sz w:val="20"/>
          <w:szCs w:val="20"/>
          <w:color w:val="auto"/>
        </w:rPr>
      </w:pPr>
    </w:p>
    <w:p>
      <w:pPr>
        <w:jc w:val="both"/>
        <w:ind w:left="640" w:firstLine="638"/>
        <w:spacing w:after="0" w:line="243" w:lineRule="auto"/>
        <w:tabs>
          <w:tab w:leader="none" w:pos="1906"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the Borrower; Presumptions by the Administrative Agent</w:t>
      </w:r>
      <w:r>
        <w:rPr>
          <w:rFonts w:ascii="Times New Roman" w:cs="Times New Roman" w:eastAsia="Times New Roman" w:hAnsi="Times New Roman"/>
          <w:sz w:val="21"/>
          <w:szCs w:val="21"/>
          <w:color w:val="auto"/>
        </w:rPr>
        <w:t>. Unless the Administrative Agent will have received notice from the Borrower prior to the date on which any payment is due to the Administrative Agent for the account of the Lenders or an L/C Issuer hereunder that the Borrower will not make such payment, the Administrative Agent may assume that the Borrower has made such payment on such date in accordance herewith and may, in reliance upon such assumption, distribute to the Lenders or such L/C Issuer, as the case may be, the amount due. In such event, if the Borrower has not in fact made such payment, then each of the Lenders or such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 plus any administrative, processing or similar fees customarily charged by the Administrative Agent in connection with the foregoing.</w:t>
      </w:r>
    </w:p>
    <w:p>
      <w:pPr>
        <w:spacing w:after="0" w:line="178" w:lineRule="exact"/>
        <w:rPr>
          <w:rFonts w:ascii="Times New Roman" w:cs="Times New Roman" w:eastAsia="Times New Roman" w:hAnsi="Times New Roman"/>
          <w:sz w:val="21"/>
          <w:szCs w:val="21"/>
          <w:color w:val="auto"/>
        </w:rPr>
      </w:pPr>
    </w:p>
    <w:p>
      <w:pPr>
        <w:ind w:left="640" w:firstLine="638"/>
        <w:spacing w:after="0" w:line="272" w:lineRule="auto"/>
        <w:tabs>
          <w:tab w:leader="none" w:pos="191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notice of the Administrative Agent to any Lender or the Borrower with respect to any amount owing under this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will be conclusive, absent manifest error.</w:t>
      </w:r>
    </w:p>
    <w:p>
      <w:pPr>
        <w:spacing w:after="0" w:line="154"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Satisfy Conditions Precedent</w:t>
      </w:r>
      <w:r>
        <w:rPr>
          <w:rFonts w:ascii="Times New Roman" w:cs="Times New Roman" w:eastAsia="Times New Roman" w:hAnsi="Times New Roman"/>
          <w:sz w:val="21"/>
          <w:szCs w:val="21"/>
          <w:color w:val="auto"/>
        </w:rPr>
        <w:t xml:space="preserve">. In the event that any Lender made available to the Administrative Agent funds for any Loan to be made by such Lender to the Borrower as provided in the foregoing provisions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are not satisfied (or waived in accordance with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the Administrative Agent shall return such funds (in like funds as received from such Lender) to such Lender, without interest.</w:t>
      </w:r>
    </w:p>
    <w:p>
      <w:pPr>
        <w:spacing w:after="0" w:line="185"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Lenders Several</w:t>
      </w:r>
      <w:r>
        <w:rPr>
          <w:rFonts w:ascii="Times New Roman" w:cs="Times New Roman" w:eastAsia="Times New Roman" w:hAnsi="Times New Roman"/>
          <w:sz w:val="21"/>
          <w:szCs w:val="21"/>
          <w:color w:val="auto"/>
        </w:rPr>
        <w:t xml:space="preserve">. The obligations of the Lenders hereunder to make Loans, to fund participations in Letters of Credit and to make payments pursuant to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on any date required hereunder will not relieve any other Lender of its corresponding obligation to do so on such date, and no Lender will be responsible for the failure of any other Lender to so make its Loan, to purchase its participation or to make its payment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Source</w:t>
      </w:r>
      <w:r>
        <w:rPr>
          <w:rFonts w:ascii="Times New Roman" w:cs="Times New Roman" w:eastAsia="Times New Roman" w:hAnsi="Times New Roman"/>
          <w:sz w:val="21"/>
          <w:szCs w:val="21"/>
          <w:color w:val="auto"/>
        </w:rPr>
        <w:t>. Nothing herein will be deemed to obligate any Lender to obtain the funds for any Loan in any particular place or manner or to constitute a representation by any Lender that it has obtained or will obtain the funds for any Loan in any particular place or manner. Each Lender at its option may make any Loan by causing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58" w:right="339" w:bottom="1440" w:gutter="0" w:footer="0" w:header="0"/>
        </w:sectPr>
      </w:pPr>
    </w:p>
    <w:bookmarkStart w:id="175" w:name="page176"/>
    <w:bookmarkEnd w:id="175"/>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any domestic or foreign branch or Affiliate of such Lender to make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such option shall not affect the obligation of the Borrower to repay such Loan in accordance with the terms of this Agreement.</w:t>
      </w:r>
    </w:p>
    <w:p>
      <w:pPr>
        <w:spacing w:after="0" w:line="14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Sharing of Payments by Lenders</w:t>
      </w:r>
      <w:r>
        <w:rPr>
          <w:rFonts w:ascii="Times New Roman" w:cs="Times New Roman" w:eastAsia="Times New Roman" w:hAnsi="Times New Roman"/>
          <w:sz w:val="21"/>
          <w:szCs w:val="21"/>
          <w:color w:val="auto"/>
        </w:rPr>
        <w:t xml:space="preserve">. If any Lender shall, by exercising any right of setoff or counterclaim or otherwise, obtain payment in respect of any principal of or interest on any of the Committed Loans made by it, or the participations in L/C Obligations held by it, resulting in such Lender’s receiving payment of a proportion of the aggregate amount of such Committed Loans or such participations and accrued interest thereon greater than its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share thereof as provided herein, then the Lender receiving such greater proportion will (a) notify the Administrative Agent of such fact and (b) purchase (for cash at face value) participations in the Committed Loans and subparticipations in L/C Obligations of the other Lenders, or make such other adjustments as will be equitable, so that the benefit of all such payments will be shared by the Lenders ratably in accordance with the aggregate amounts of principal of and accrued interest on their respective Committed Loans and such participations held by them;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8" w:lineRule="exact"/>
        <w:rPr>
          <w:sz w:val="20"/>
          <w:szCs w:val="20"/>
          <w:color w:val="auto"/>
        </w:rPr>
      </w:pPr>
    </w:p>
    <w:p>
      <w:pPr>
        <w:jc w:val="both"/>
        <w:ind w:left="640" w:firstLine="638"/>
        <w:spacing w:after="0" w:line="261" w:lineRule="auto"/>
        <w:tabs>
          <w:tab w:leader="none" w:pos="19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such participations or subparticipations are purchased and all or any portion of the payment giving rise thereto is recovered, such participations or subparticipations will be rescinded and the purchase price restored to the extent of such recovery, without interest; and</w:t>
      </w:r>
    </w:p>
    <w:p>
      <w:pPr>
        <w:spacing w:after="0" w:line="166" w:lineRule="exact"/>
        <w:rPr>
          <w:rFonts w:ascii="Times New Roman" w:cs="Times New Roman" w:eastAsia="Times New Roman" w:hAnsi="Times New Roman"/>
          <w:sz w:val="21"/>
          <w:szCs w:val="21"/>
          <w:color w:val="auto"/>
        </w:rPr>
      </w:pPr>
    </w:p>
    <w:p>
      <w:pPr>
        <w:jc w:val="both"/>
        <w:ind w:left="640" w:firstLine="638"/>
        <w:spacing w:after="0" w:line="254" w:lineRule="auto"/>
        <w:tabs>
          <w:tab w:leader="none" w:pos="190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will not be construed to apply to (A) any payment made by the Borrower pursuant to and in accordance with the express terms of this Agreement (for the avoidance of doubt, as in effect from time to time), including the application of funds arising from the existence of a Defaulting Lender, (B) the application of Cash Collateral provided for in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(C) any payment obtained by a Lender as consideration for the assignment of or sale of a participation in any of its Committed Loans or subparticipations in L/C Obligations to any Eligible Assignee or Participant.</w:t>
      </w:r>
    </w:p>
    <w:p>
      <w:pPr>
        <w:spacing w:after="0" w:line="163"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Each Loan Party consents to the foregoing and agrees, to the extent it may effectively do so under applicable Laws, that any Lender acquiring a participation or subparticipation pursuant to the foregoing arrangements may exercise against such Loan Party rights of setoff and counterclaim with respect to such participation or subparticipation as fully as if such Lender were a direct creditor of such Loan Party in the amount of such participation or subparticipation.</w:t>
      </w:r>
    </w:p>
    <w:p>
      <w:pPr>
        <w:spacing w:after="0" w:line="1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u w:val="single" w:color="auto"/>
          <w:color w:val="auto"/>
        </w:rPr>
        <w:t>Expansion Option</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Request for Increase</w:t>
      </w:r>
      <w:r>
        <w:rPr>
          <w:rFonts w:ascii="Times New Roman" w:cs="Times New Roman" w:eastAsia="Times New Roman" w:hAnsi="Times New Roman"/>
          <w:sz w:val="21"/>
          <w:szCs w:val="21"/>
          <w:color w:val="auto"/>
        </w:rPr>
        <w:t>. Upon written notice to the Administrative Agent (which will promptly notify the Lenders), the Borrower may from time to time request an increase in the Aggregate Commitments or enter into one or more tranches of term loans (each an “</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in each case by an amount (in the aggregate for all such requests) not exceeding the sum of (i) $250,000,000, plus (ii) an unlimited amount so long as the Consolidated Leverage Ratio (calculated on a pro forma basis and assuming any such increased commitment is fully drawn and excluding the cash proceeds of any borrowing under any such increase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58" w:right="339" w:bottom="1440" w:gutter="0" w:footer="0" w:header="0"/>
        </w:sectPr>
      </w:pPr>
    </w:p>
    <w:bookmarkStart w:id="176" w:name="page177"/>
    <w:bookmarkEnd w:id="176"/>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applied promptly for the specified transaction in connection with such incurrence upon receipt thereof) is not greater than 0.25:1.00 above the Consolidated Leverage Ratio in effect immediately prior to giving effect to such increase;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request for an increase or Incremental Term Loan will be in a minimum amount of $25,000,000. At the time of sending such notice, the Borrower (in consultation with the Administrative Agent) will specify the time period within which each Lender is requested to respond (which will in no event be less than ten (10) Business Days from the date of delivery of such notice to the Lenders). Nothing contained in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constitute, or otherwise be deemed to be, a commitment on the part of any Lender to increase its Commitment hereunder, or provide Incremental Term Loans, at any time.</w:t>
      </w:r>
    </w:p>
    <w:p>
      <w:pPr>
        <w:spacing w:after="0" w:line="180" w:lineRule="exact"/>
        <w:rPr>
          <w:sz w:val="20"/>
          <w:szCs w:val="20"/>
          <w:color w:val="auto"/>
        </w:rPr>
      </w:pPr>
    </w:p>
    <w:p>
      <w:pPr>
        <w:jc w:val="both"/>
        <w:ind w:firstLine="718"/>
        <w:spacing w:after="0" w:line="255" w:lineRule="auto"/>
        <w:tabs>
          <w:tab w:leader="none" w:pos="126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Lender Elections</w:t>
      </w:r>
      <w:r>
        <w:rPr>
          <w:rFonts w:ascii="Times New Roman" w:cs="Times New Roman" w:eastAsia="Times New Roman" w:hAnsi="Times New Roman"/>
          <w:sz w:val="21"/>
          <w:szCs w:val="21"/>
          <w:color w:val="auto"/>
        </w:rPr>
        <w:t>. Each Lender will notify the Administrative Agent within such time period whether or not it agrees to increase its Commitment or participate in such Incremental Term Loans, which decision shall be in such Lender’s sole discretion, and, if so, whether by an amount equal to, greater than, or less than its Applicable Percentage of such requested increase or tranche. Any Lender not responding within such time period will be deemed to have declined to increase its Commitment or participate in the Incremental Term Loans.</w:t>
      </w:r>
    </w:p>
    <w:p>
      <w:pPr>
        <w:spacing w:after="0" w:line="174" w:lineRule="exact"/>
        <w:rPr>
          <w:rFonts w:ascii="Times New Roman" w:cs="Times New Roman" w:eastAsia="Times New Roman" w:hAnsi="Times New Roman"/>
          <w:sz w:val="21"/>
          <w:szCs w:val="21"/>
          <w:color w:val="auto"/>
        </w:rPr>
      </w:pPr>
    </w:p>
    <w:p>
      <w:pPr>
        <w:jc w:val="both"/>
        <w:ind w:firstLine="718"/>
        <w:spacing w:after="0" w:line="259" w:lineRule="auto"/>
        <w:tabs>
          <w:tab w:leader="none" w:pos="126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Notification by Administrative Agent; Additional Lenders</w:t>
      </w:r>
      <w:r>
        <w:rPr>
          <w:rFonts w:ascii="Times New Roman" w:cs="Times New Roman" w:eastAsia="Times New Roman" w:hAnsi="Times New Roman"/>
          <w:sz w:val="21"/>
          <w:szCs w:val="21"/>
          <w:color w:val="auto"/>
        </w:rPr>
        <w:t>. The Administrative Agent will notify the Borrower and each Lender of the Lenders’ responses to each request made hereunder. To achieve the full amount of a requested increase or tranche, the Borrower may also invite additional Eligible Assignees to become Lenders pursuant to an Incremental Joinder Agreement.</w:t>
      </w: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and Allocations</w:t>
      </w:r>
      <w:r>
        <w:rPr>
          <w:rFonts w:ascii="Times New Roman" w:cs="Times New Roman" w:eastAsia="Times New Roman" w:hAnsi="Times New Roman"/>
          <w:sz w:val="21"/>
          <w:szCs w:val="21"/>
          <w:color w:val="auto"/>
        </w:rPr>
        <w:t xml:space="preserve">. If the Aggregate Commitments are increased or a tranche of Incremental Term Loans are established in accordance with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the Administrative Agent and the Borrower will determine the effective date (the “</w:t>
      </w:r>
      <w:r>
        <w:rPr>
          <w:rFonts w:ascii="Times New Roman" w:cs="Times New Roman" w:eastAsia="Times New Roman" w:hAnsi="Times New Roman"/>
          <w:sz w:val="21"/>
          <w:szCs w:val="21"/>
          <w:u w:val="single" w:color="auto"/>
          <w:color w:val="auto"/>
        </w:rPr>
        <w:t>Incremental Effective Date</w:t>
      </w:r>
      <w:r>
        <w:rPr>
          <w:rFonts w:ascii="Times New Roman" w:cs="Times New Roman" w:eastAsia="Times New Roman" w:hAnsi="Times New Roman"/>
          <w:sz w:val="21"/>
          <w:szCs w:val="21"/>
          <w:color w:val="auto"/>
        </w:rPr>
        <w:t>”) and the final allocation of such increase or tranche. The Administrative Agent will promptly notify the Borrower and the Lenders of the final allocation of such increase or tranche and the Incremental Effective Date.</w:t>
      </w:r>
    </w:p>
    <w:p>
      <w:pPr>
        <w:spacing w:after="0" w:line="158" w:lineRule="exact"/>
        <w:rPr>
          <w:rFonts w:ascii="Times New Roman" w:cs="Times New Roman" w:eastAsia="Times New Roman" w:hAnsi="Times New Roman"/>
          <w:sz w:val="21"/>
          <w:szCs w:val="21"/>
          <w:color w:val="auto"/>
        </w:rPr>
      </w:pPr>
    </w:p>
    <w:p>
      <w:pPr>
        <w:jc w:val="both"/>
        <w:ind w:firstLine="718"/>
        <w:spacing w:after="0" w:line="251" w:lineRule="auto"/>
        <w:tabs>
          <w:tab w:leader="none" w:pos="126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Effectiveness</w:t>
      </w:r>
      <w:r>
        <w:rPr>
          <w:rFonts w:ascii="Times New Roman" w:cs="Times New Roman" w:eastAsia="Times New Roman" w:hAnsi="Times New Roman"/>
          <w:sz w:val="21"/>
          <w:szCs w:val="21"/>
          <w:color w:val="auto"/>
        </w:rPr>
        <w:t xml:space="preserve">. As a condition precedent to such increase or tranche, the Borrower will deliver to the Administrative Agent (i) a certificate dated as of the Incremental Effective Date signed by a Responsible Officer of the Borrower certifying that, before and after giving effect to such increase or tranche, (A) the representations and warranties contained in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and the other Loan Documents are true and correct in all material respects on and as of the Incremental Effective Date, except to the extent that such representations and warranties are already qualified by materiality, in which case such representations and warranties shall be true and correct in all respects, and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the representations and warranties contained in clause (a)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will be deemed to refer to the most recent statements furnished pursuant to clauses (a) and (b)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and (B) no Default exists and (ii) to the extent reasonably requested by the Administrative Agent, the documents and opinions of the types referred to in </w:t>
      </w:r>
      <w:r>
        <w:rPr>
          <w:rFonts w:ascii="Times New Roman" w:cs="Times New Roman" w:eastAsia="Times New Roman" w:hAnsi="Times New Roman"/>
          <w:sz w:val="21"/>
          <w:szCs w:val="21"/>
          <w:u w:val="single" w:color="auto"/>
          <w:color w:val="auto"/>
        </w:rPr>
        <w:t>Sections 4.01(b)(i)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4.01(b)(iii)</w:t>
      </w:r>
      <w:r>
        <w:rPr>
          <w:rFonts w:ascii="Times New Roman" w:cs="Times New Roman" w:eastAsia="Times New Roman" w:hAnsi="Times New Roman"/>
          <w:sz w:val="21"/>
          <w:szCs w:val="21"/>
          <w:color w:val="auto"/>
        </w:rPr>
        <w:t xml:space="preserve"> and customary reaffirmations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58" w:right="339" w:bottom="1440" w:gutter="0" w:footer="0" w:header="0"/>
        </w:sectPr>
      </w:pPr>
    </w:p>
    <w:bookmarkStart w:id="177" w:name="page178"/>
    <w:bookmarkEnd w:id="177"/>
    <w:p>
      <w:pPr>
        <w:jc w:val="both"/>
        <w:spacing w:after="0" w:line="247"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Incremental Term Loans incurred for the purpose of financing an acquisition or investment for which the Borrower has determined, in good faith, that limited conditionality is reasonably necessary (any such acquisition, a “</w:t>
      </w:r>
      <w:r>
        <w:rPr>
          <w:rFonts w:ascii="Times New Roman" w:cs="Times New Roman" w:eastAsia="Times New Roman" w:hAnsi="Times New Roman"/>
          <w:sz w:val="21"/>
          <w:szCs w:val="21"/>
          <w:u w:val="single" w:color="auto"/>
          <w:color w:val="auto"/>
        </w:rPr>
        <w:t>Limited Conditionality Acquisition</w:t>
      </w:r>
      <w:r>
        <w:rPr>
          <w:rFonts w:ascii="Times New Roman" w:cs="Times New Roman" w:eastAsia="Times New Roman" w:hAnsi="Times New Roman"/>
          <w:sz w:val="21"/>
          <w:szCs w:val="21"/>
          <w:color w:val="auto"/>
        </w:rPr>
        <w:t>” and such Incremental Term Loans, “</w:t>
      </w:r>
      <w:r>
        <w:rPr>
          <w:rFonts w:ascii="Times New Roman" w:cs="Times New Roman" w:eastAsia="Times New Roman" w:hAnsi="Times New Roman"/>
          <w:sz w:val="21"/>
          <w:szCs w:val="21"/>
          <w:u w:val="single" w:color="auto"/>
          <w:color w:val="auto"/>
        </w:rPr>
        <w:t>Acquisition-Related Incremental Term Loans</w:t>
      </w:r>
      <w:r>
        <w:rPr>
          <w:rFonts w:ascii="Times New Roman" w:cs="Times New Roman" w:eastAsia="Times New Roman" w:hAnsi="Times New Roman"/>
          <w:sz w:val="21"/>
          <w:szCs w:val="21"/>
          <w:color w:val="auto"/>
        </w:rPr>
        <w:t>”), clause (i) of this sentence shall be deemed to have been satisfied so long as (1) as of the date of execution of the definitive acquisition or investment documentation in respect of a Limited Conditionality Acquisition (a “</w:t>
      </w:r>
      <w:r>
        <w:rPr>
          <w:rFonts w:ascii="Times New Roman" w:cs="Times New Roman" w:eastAsia="Times New Roman" w:hAnsi="Times New Roman"/>
          <w:sz w:val="21"/>
          <w:szCs w:val="21"/>
          <w:u w:val="single" w:color="auto"/>
          <w:color w:val="auto"/>
        </w:rPr>
        <w:t>Limited Conditionality Acquisition Agreement</w:t>
      </w:r>
      <w:r>
        <w:rPr>
          <w:rFonts w:ascii="Times New Roman" w:cs="Times New Roman" w:eastAsia="Times New Roman" w:hAnsi="Times New Roman"/>
          <w:sz w:val="21"/>
          <w:szCs w:val="21"/>
          <w:color w:val="auto"/>
        </w:rPr>
        <w:t xml:space="preserve">”) by the parties thereto, no Default or Event of Default shall have occurred and be continuing or would result from entry into such documentation, (2) as of the date of the borrowing of such Acquisition-Related Incremental Term Loans, no Event of Default under Sections 8.01(a), (f) or (g) is in existence immediately before or immediately after giving effect (including on a pro forma basis) to such borrowing and to any concurrent transactions and any substantially concurrent use of proceeds thereof, (3) the representations and warranties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shall be true and correct in all material respects (except that any representation and warranty that is qualified by materiality or Material Adverse Effect shall be true and correct in all respects) as of the date of execution of the applicable Limited Conditionality Acquisition Agreement by the parties thereto,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(4) as of the date of the borrowing of such Acquisition-Related Incremental Term Loans, customary “Sungard” representations and warranties (with such representations and warranties to be reasonably determined by the Lenders providing such Acquisition-Related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Acquisition-Related Incremental Term Loans,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With respect to any increase in the Aggregate Commitments, the Borrower will prepay any Committed Loans outstanding on the Incremental Effective Date (and pay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to the extent necessary to keep the outstanding Committed Loans ratable with any revised Applicable Percentages arising from any nonratable increase in the Aggregate Commitments under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1280" w:hanging="562"/>
        <w:spacing w:after="0"/>
        <w:tabs>
          <w:tab w:leader="none" w:pos="128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Term Loans</w:t>
      </w:r>
      <w:r>
        <w:rPr>
          <w:rFonts w:ascii="Times New Roman" w:cs="Times New Roman" w:eastAsia="Times New Roman" w:hAnsi="Times New Roman"/>
          <w:sz w:val="21"/>
          <w:szCs w:val="21"/>
          <w:color w:val="auto"/>
        </w:rPr>
        <w:t>. The Incremental Term Loans (a) shall rank pari passu in right of payment with the Loans,</w:t>
      </w:r>
    </w:p>
    <w:p>
      <w:pPr>
        <w:spacing w:after="0" w:line="2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mature earlier than the Maturity Date (but may have amortization prior to such date) and (c) shall be treated no more</w:t>
      </w:r>
    </w:p>
    <w:p>
      <w:pPr>
        <w:spacing w:after="0" w:line="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favorably than the Loans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terms and conditions applicable to any tranche of Incremental Term Loans maturing after the Maturity Date may provide for financial or other covenants or prepayment requirements that are more favorable than the Loans to the extent applicable only during periods after the Maturity Date and (ii) the Incremental Term Loans may be priced differently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58" w:right="339" w:bottom="1440" w:gutter="0" w:footer="0" w:header="0"/>
        </w:sectPr>
      </w:pPr>
    </w:p>
    <w:bookmarkStart w:id="178" w:name="page179"/>
    <w:bookmarkEnd w:id="178"/>
    <w:p>
      <w:pPr>
        <w:jc w:val="both"/>
        <w:spacing w:after="0" w:line="255" w:lineRule="auto"/>
        <w:rPr>
          <w:sz w:val="20"/>
          <w:szCs w:val="20"/>
          <w:color w:val="auto"/>
        </w:rPr>
      </w:pPr>
      <w:r>
        <w:rPr>
          <w:rFonts w:ascii="Times New Roman" w:cs="Times New Roman" w:eastAsia="Times New Roman" w:hAnsi="Times New Roman"/>
          <w:sz w:val="21"/>
          <w:szCs w:val="21"/>
          <w:color w:val="auto"/>
        </w:rPr>
        <w:t>Loans. Incremental Term Loans may be made hereunder pursuant to an amendment or restatement (an “</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xml:space="preserve">”) of this Agreement and, as appropriate, the other Loan Documents, executed by the Borrower, each lender participating in such tranche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260" w:hanging="542"/>
        <w:spacing w:after="0"/>
        <w:tabs>
          <w:tab w:leader="none" w:pos="12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Provisions</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will supersede any provisions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11.01</w:t>
      </w:r>
      <w:r>
        <w:rPr>
          <w:rFonts w:ascii="Times New Roman" w:cs="Times New Roman" w:eastAsia="Times New Roman" w:hAnsi="Times New Roman"/>
          <w:sz w:val="21"/>
          <w:szCs w:val="21"/>
          <w:color w:val="auto"/>
        </w:rPr>
        <w:t xml:space="preserve"> to the contrary.</w:t>
      </w:r>
    </w:p>
    <w:p>
      <w:pPr>
        <w:spacing w:after="0" w:line="209"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calculating the aggregate principal amount of all increased Commitments or Incremental Term Loans established pursuant to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above, the Borrower may elect to use sub-clauses (i) or (ii) of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above in any order or concurrently. If both sub-clause (i) and (ii) of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are available and the Borrower does not make an election, the Borrower will be deemed to have elected sub-clause (ii) of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If the Borrower incurs any amounts under such sub-clause (i) above concurrently with sub-clause (ii) above, any amounts incurred under sub-clause (i) above at such time will not count as Indebtedness for purposes of calculating the Consolidated Leverage Ratio at such time.</w:t>
      </w:r>
    </w:p>
    <w:p>
      <w:pPr>
        <w:spacing w:after="0" w:line="175" w:lineRule="exact"/>
        <w:rPr>
          <w:rFonts w:ascii="Times New Roman" w:cs="Times New Roman" w:eastAsia="Times New Roman" w:hAnsi="Times New Roman"/>
          <w:sz w:val="21"/>
          <w:szCs w:val="21"/>
          <w:color w:val="auto"/>
        </w:rPr>
      </w:pPr>
    </w:p>
    <w:p>
      <w:pPr>
        <w:jc w:val="both"/>
        <w:ind w:firstLine="718"/>
        <w:spacing w:after="0" w:line="251" w:lineRule="auto"/>
        <w:tabs>
          <w:tab w:leader="none" w:pos="127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in its sole discretion, classify and reclassify or later divide, classify or reclassify such increased Commitments or Incremental Term Loans established pursuant to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(or any portion thereof). In the event that a portion of Indebtedness incurred pursuant to </w:t>
      </w:r>
      <w:r>
        <w:rPr>
          <w:rFonts w:ascii="Times New Roman" w:cs="Times New Roman" w:eastAsia="Times New Roman" w:hAnsi="Times New Roman"/>
          <w:sz w:val="21"/>
          <w:szCs w:val="21"/>
          <w:u w:val="single" w:color="auto"/>
          <w:color w:val="auto"/>
        </w:rPr>
        <w:t>Section 2.14(a)(i)</w:t>
      </w:r>
      <w:r>
        <w:rPr>
          <w:rFonts w:ascii="Times New Roman" w:cs="Times New Roman" w:eastAsia="Times New Roman" w:hAnsi="Times New Roman"/>
          <w:sz w:val="21"/>
          <w:szCs w:val="21"/>
          <w:color w:val="auto"/>
        </w:rPr>
        <w:t xml:space="preserve"> could later be classified under sub-clause (ii) of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(giving pro forma effect to the incurrence of such portion of such Indebtedness or other obligations), such portion of Indebtedness (and any obligations in respect thereof) shall be deemed be automatically re-classified under sub-clause (ii) even if not elected by the Borrower (unless the Borrower otherwise notifies the Administrative Agent).</w:t>
      </w:r>
    </w:p>
    <w:p>
      <w:pPr>
        <w:spacing w:after="0" w:line="181"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Certain Credit Support Events</w:t>
      </w:r>
      <w:r>
        <w:rPr>
          <w:rFonts w:ascii="Times New Roman" w:cs="Times New Roman" w:eastAsia="Times New Roman" w:hAnsi="Times New Roman"/>
          <w:sz w:val="21"/>
          <w:szCs w:val="21"/>
          <w:color w:val="auto"/>
        </w:rPr>
        <w:t>. (i) Upon the request of the Administrative Agent or any L/C Issuer (A) if such L/C Issuer has honored any full or partial drawing request under any Letter of Credit and such drawing has resulted in an L/C Borrowing or (B) if, as of the Letter of Credit Expiration Date, any L/C Obligation for any reason remains outstanding, the Borrower shall, in each case, promptly, but in any event, if such request is made by 1:00 p.m., Local Time, on the same Business Day and, if such request is made after 1:00 p.m., Local Time, on the next Business Day, Cash Collateralize the then Outstanding Amount of all L/C Obligations.</w:t>
      </w:r>
    </w:p>
    <w:p>
      <w:pPr>
        <w:spacing w:after="0" w:line="163" w:lineRule="exact"/>
        <w:rPr>
          <w:sz w:val="20"/>
          <w:szCs w:val="20"/>
          <w:color w:val="auto"/>
        </w:rPr>
      </w:pPr>
    </w:p>
    <w:p>
      <w:pPr>
        <w:jc w:val="both"/>
        <w:ind w:left="640" w:firstLine="638"/>
        <w:spacing w:after="0" w:line="257" w:lineRule="auto"/>
        <w:tabs>
          <w:tab w:leader="none" w:pos="190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there shall exist a Defaulting Lender, upon the request of the Administrative Agent or any L/C Issuer, the Borrower shall promptly, but in any event, if such request is made by 1:00 p.m., Local Time, on the same Business Day and, if such request is made after 1:00 p.m., Local Time, on the next Business Day, deliver to the Administrative Agent Cash Collateral in an amount sufficient to cover all Fronting Exposure relating to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58" w:right="339" w:bottom="1440" w:gutter="0" w:footer="0" w:header="0"/>
        </w:sectPr>
      </w:pPr>
    </w:p>
    <w:bookmarkStart w:id="179" w:name="page180"/>
    <w:bookmarkEnd w:id="179"/>
    <w:p>
      <w:pPr>
        <w:ind w:left="640"/>
        <w:spacing w:after="0"/>
        <w:rPr>
          <w:sz w:val="20"/>
          <w:szCs w:val="20"/>
          <w:color w:val="auto"/>
        </w:rPr>
      </w:pPr>
      <w:r>
        <w:rPr>
          <w:rFonts w:ascii="Times New Roman" w:cs="Times New Roman" w:eastAsia="Times New Roman" w:hAnsi="Times New Roman"/>
          <w:sz w:val="21"/>
          <w:szCs w:val="21"/>
          <w:color w:val="auto"/>
        </w:rPr>
        <w:t xml:space="preserve">Lender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and any Cash Collateral provided by the Defaulting Lender).</w:t>
      </w:r>
    </w:p>
    <w:p>
      <w:pPr>
        <w:spacing w:after="0" w:line="222" w:lineRule="exact"/>
        <w:rPr>
          <w:sz w:val="20"/>
          <w:szCs w:val="20"/>
          <w:color w:val="auto"/>
        </w:rPr>
      </w:pPr>
    </w:p>
    <w:p>
      <w:pPr>
        <w:jc w:val="both"/>
        <w:ind w:left="640" w:firstLine="638"/>
        <w:spacing w:after="0" w:line="257" w:lineRule="auto"/>
        <w:tabs>
          <w:tab w:leader="none" w:pos="1912"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if the Administrative Agent notifies the Borrower at any time that the Outstanding Amount of all L/C Obligations at such time exceeds 105% of the Letter of Credit Sublimit then in effect, then, within two (2) Business Days after receipt of such notice, the Borrower shall Cash Collateralize the L/C Obligations in an amount equal to the amount by which the Outstanding Amount of all L/C Obligations exceeds the Letter of Credit Sublimit.</w:t>
      </w:r>
    </w:p>
    <w:p>
      <w:pPr>
        <w:spacing w:after="0" w:line="171" w:lineRule="exact"/>
        <w:rPr>
          <w:rFonts w:ascii="Times New Roman" w:cs="Times New Roman" w:eastAsia="Times New Roman" w:hAnsi="Times New Roman"/>
          <w:sz w:val="21"/>
          <w:szCs w:val="21"/>
          <w:color w:val="auto"/>
        </w:rPr>
      </w:pPr>
    </w:p>
    <w:p>
      <w:pPr>
        <w:jc w:val="both"/>
        <w:ind w:firstLine="718"/>
        <w:spacing w:after="0" w:line="248" w:lineRule="auto"/>
        <w:tabs>
          <w:tab w:leader="none" w:pos="126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All Cash Collateral (other than credit support not constituting funds subject to deposit) will be maintained in blocked, segregated interest-bearing (such interest to be for the account of the Borrower if such Cash Collateral was provided by the Borrower) deposit accounts (“</w:t>
      </w:r>
      <w:r>
        <w:rPr>
          <w:rFonts w:ascii="Times New Roman" w:cs="Times New Roman" w:eastAsia="Times New Roman" w:hAnsi="Times New Roman"/>
          <w:sz w:val="21"/>
          <w:szCs w:val="21"/>
          <w:u w:val="single" w:color="auto"/>
          <w:color w:val="auto"/>
        </w:rPr>
        <w:t>Cash Collateral Accounts</w:t>
      </w:r>
      <w:r>
        <w:rPr>
          <w:rFonts w:ascii="Times New Roman" w:cs="Times New Roman" w:eastAsia="Times New Roman" w:hAnsi="Times New Roman"/>
          <w:sz w:val="21"/>
          <w:szCs w:val="21"/>
          <w:color w:val="auto"/>
        </w:rPr>
        <w:t xml:space="preserve">”) at the Administrative Agent or, if consented to by the Administrative Agent (such consent not to be unreasonably withheld, conditioned or delayed), another depositary institution that is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cause any depositary institution other than the Administrative Agent to take any actions necessary to enable the Administrative Agent to obtain Control (within the meaning of Section 9-104 of the Uniform Commercial Code as from time to time in effect in the State of New York) of such Cash Collateral Accounts, including executing and delivering and causing the relevant depositary bank to execute and deliver an agreement in form and substance reasonably satisfactory to the Administrative Agent. The Borrower, and to the extent provided by any Lender, such Lender, hereby grants to (and subjects to the control of) the Administrative Agent, for the benefit of the Administrative Agent, each L/C Issuer and the Lenders, and agrees to maintain, a first priority security interest in all such Cash Collateral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If at any time the Administrative Agent reasonably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Borrower or the relevant Defaulting Lender will, promptly upon demand by the Administrative Agent, pay or provide to the Administrative Agent additional Cash Collateral in an amount sufficient to eliminate such deficiency.</w:t>
      </w:r>
    </w:p>
    <w:p>
      <w:pPr>
        <w:spacing w:after="0" w:line="185" w:lineRule="exact"/>
        <w:rPr>
          <w:rFonts w:ascii="Times New Roman" w:cs="Times New Roman" w:eastAsia="Times New Roman" w:hAnsi="Times New Roman"/>
          <w:sz w:val="21"/>
          <w:szCs w:val="21"/>
          <w:color w:val="auto"/>
        </w:rPr>
      </w:pPr>
    </w:p>
    <w:p>
      <w:pPr>
        <w:jc w:val="both"/>
        <w:ind w:firstLine="718"/>
        <w:spacing w:after="0" w:line="252" w:lineRule="auto"/>
        <w:tabs>
          <w:tab w:leader="none" w:pos="126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Notwithstanding anything to the contrary contained in this Agreement, Cash Collateral provided under any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such Cash Collateral was so provided, prior to any other application of such property as may be provided for herein.</w:t>
      </w:r>
    </w:p>
    <w:p>
      <w:pPr>
        <w:spacing w:after="0" w:line="176"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Cash Collateral (or the appropriate portion thereof) provided to reduce Fronting Exposure or other obligations shall be released promptly following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58" w:right="339" w:bottom="1440" w:gutter="0" w:footer="0" w:header="0"/>
        </w:sectPr>
      </w:pPr>
    </w:p>
    <w:bookmarkStart w:id="180" w:name="page181"/>
    <w:bookmarkEnd w:id="180"/>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06(c)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upon the Borrower’s request if there exists Cash Collateral in excess of the requirements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Cash Collateral furnished by or on behalf of the Borrower shall not be released during the continuance of a Default or Event of Default (and following application as provided in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may be otherwise applied in accordance with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the following provisions shall apply until such time as such Lender is no longer a Defaulting Lender:</w:t>
      </w:r>
    </w:p>
    <w:p>
      <w:pPr>
        <w:spacing w:after="0" w:line="166" w:lineRule="exact"/>
        <w:rPr>
          <w:sz w:val="20"/>
          <w:szCs w:val="20"/>
          <w:color w:val="auto"/>
        </w:rPr>
      </w:pPr>
    </w:p>
    <w:p>
      <w:pPr>
        <w:ind w:left="640" w:firstLine="638"/>
        <w:spacing w:after="0" w:line="272" w:lineRule="auto"/>
        <w:tabs>
          <w:tab w:leader="none" w:pos="190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 and Amendments</w:t>
      </w:r>
      <w:r>
        <w:rPr>
          <w:rFonts w:ascii="Times New Roman" w:cs="Times New Roman" w:eastAsia="Times New Roman" w:hAnsi="Times New Roman"/>
          <w:sz w:val="21"/>
          <w:szCs w:val="21"/>
          <w:color w:val="auto"/>
        </w:rPr>
        <w:t xml:space="preserve">. Such Defaulting Lender’s right to approve or disapprove any amendment, waiver or consent with respect to this Agreement or any other Loan Document shall be restricted as set forth in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640" w:firstLine="638"/>
        <w:spacing w:after="0" w:line="248" w:lineRule="auto"/>
        <w:tabs>
          <w:tab w:leader="none" w:pos="190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Payments</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the payment on a pro rata basis of any amounts owing by such Defaulting Lender to any L/C Issuer hereunder;</w:t>
      </w:r>
      <w:r>
        <w:rPr>
          <w:rFonts w:ascii="Times New Roman" w:cs="Times New Roman" w:eastAsia="Times New Roman" w:hAnsi="Times New Roman"/>
          <w:sz w:val="21"/>
          <w:szCs w:val="21"/>
          <w:i w:val="1"/>
          <w:iCs w:val="1"/>
          <w:color w:val="auto"/>
        </w:rPr>
        <w:t xml:space="preserve"> third</w:t>
      </w:r>
      <w:r>
        <w:rPr>
          <w:rFonts w:ascii="Times New Roman" w:cs="Times New Roman" w:eastAsia="Times New Roman" w:hAnsi="Times New Roman"/>
          <w:sz w:val="21"/>
          <w:szCs w:val="21"/>
          <w:color w:val="auto"/>
        </w:rPr>
        <w:t>, if so determined by the Administrative Agent or requested by any L/C Issuer, to be held as Cash Collateral for future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funding obligations of such Defaulting Lender in respect of any participation in any Letter of Credit;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Borrower, to be held in a non-interest bearing deposit account and released in order to satisfy obligations of such Defaulting Lender to fund Loans under this Agreement;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or any L/C Issuer as a result of any judgment of a court of competent jurisdiction obtained by any Lender or any L/C Issuer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58" w:right="339" w:bottom="1440" w:gutter="0" w:footer="0" w:header="0"/>
        </w:sectPr>
      </w:pPr>
    </w:p>
    <w:bookmarkStart w:id="181" w:name="page182"/>
    <w:bookmarkEnd w:id="181"/>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 xml:space="preserve">amount of any Loans or L/C Borrowings in respect of which such Defaulting Lender has not fully funded its appropriate share and (y) such Loans or L/C Borrowings were made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or waived, such payment shall be applied solely to pay the Loans of, and L/C Advances owed to, all non-Defaulting Lenders on a pro rata basis prior to being applied to the payment of any Loans of, or L/C Advances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2.16(a)(ii)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180" w:lineRule="exact"/>
        <w:rPr>
          <w:sz w:val="20"/>
          <w:szCs w:val="20"/>
          <w:color w:val="auto"/>
        </w:rPr>
      </w:pPr>
    </w:p>
    <w:p>
      <w:pPr>
        <w:jc w:val="both"/>
        <w:ind w:left="640" w:firstLine="638"/>
        <w:spacing w:after="0" w:line="257" w:lineRule="auto"/>
        <w:tabs>
          <w:tab w:leader="none" w:pos="191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Fees</w:t>
      </w:r>
      <w:r>
        <w:rPr>
          <w:rFonts w:ascii="Times New Roman" w:cs="Times New Roman" w:eastAsia="Times New Roman" w:hAnsi="Times New Roman"/>
          <w:sz w:val="21"/>
          <w:szCs w:val="21"/>
          <w:color w:val="auto"/>
        </w:rPr>
        <w:t xml:space="preserve">. Such Defaulting Lender (x) shall not be entitled to receive any Unused Commitment Fee pursuant to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(and the Borrower shall not be required to pay any Unused Commitment Fee that otherwise would have been required to be paid to such Defaulting Lender) for any period during which such Lender is a Defaulting Lender and (y) shall be limited in its right to receive Letter of Credit Fees as provided in </w:t>
      </w:r>
      <w:r>
        <w:rPr>
          <w:rFonts w:ascii="Times New Roman" w:cs="Times New Roman" w:eastAsia="Times New Roman" w:hAnsi="Times New Roman"/>
          <w:sz w:val="21"/>
          <w:szCs w:val="21"/>
          <w:u w:val="single" w:color="auto"/>
          <w:color w:val="auto"/>
        </w:rPr>
        <w:t>Section 2.04(h)</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40" w:firstLine="638"/>
        <w:spacing w:after="0" w:line="251" w:lineRule="auto"/>
        <w:tabs>
          <w:tab w:leader="none" w:pos="190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Applicable Percentages to Reduce Fronting Exposure</w:t>
      </w:r>
      <w:r>
        <w:rPr>
          <w:rFonts w:ascii="Times New Roman" w:cs="Times New Roman" w:eastAsia="Times New Roman" w:hAnsi="Times New Roman"/>
          <w:sz w:val="21"/>
          <w:szCs w:val="21"/>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the “Applicable Percentage” of each non-Defaulting Lender shall be computed without giving effect to the Commitment of such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reallocation shall be given effect only to the extent that, after giving effect thereto, the aggregate obligation of each non-Defaulting Lender to acquire or fund participations in Letters of Credit shall not exceed the positive difference, if any, of (1) the Commitment of such non-Defaulting Lender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(2) the aggregate Outstanding Amount of the Committed Loans of such Lender.</w:t>
      </w:r>
    </w:p>
    <w:p>
      <w:pPr>
        <w:spacing w:after="0" w:line="179"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7"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xml:space="preserve">. Operation of the allocations provided in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above shall not be deemed to result in a default of the Borrower’s or any other Loan Party’s obligations to a Defaulting Lender under this Agreement or any other Loan Document.</w:t>
      </w:r>
    </w:p>
    <w:p>
      <w:pPr>
        <w:spacing w:after="0" w:line="166" w:lineRule="exact"/>
        <w:rPr>
          <w:rFonts w:ascii="Times New Roman" w:cs="Times New Roman" w:eastAsia="Times New Roman" w:hAnsi="Times New Roman"/>
          <w:sz w:val="21"/>
          <w:szCs w:val="21"/>
          <w:color w:val="auto"/>
        </w:rPr>
      </w:pPr>
    </w:p>
    <w:p>
      <w:pPr>
        <w:jc w:val="both"/>
        <w:ind w:left="640" w:firstLine="638"/>
        <w:spacing w:after="0" w:line="257" w:lineRule="auto"/>
        <w:tabs>
          <w:tab w:leader="none" w:pos="190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11.19</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1"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If Borrower, the Administrative Agent and the L/C Issuers agree in writing in their sole discretion that a Defaulting Lender should no longer be deemed to be a Defaulting Lender, the Administrative Agent will so notify the parties hereto, whereupon as of the date such confirmation is so received or the effective date specified in such notice (and subject to any conditions set forth therein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58" w:right="339" w:bottom="1440" w:gutter="0" w:footer="0" w:header="0"/>
        </w:sectPr>
      </w:pPr>
    </w:p>
    <w:bookmarkStart w:id="182" w:name="page183"/>
    <w:bookmarkEnd w:id="182"/>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include arrangements with respect to any Cash Collateral)), as applicable, such Lender will, to the extent applicable, purchase at par that portion of outstanding Committed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together with any payments reasonably determined by the Administrative Agent to be necessary to compensate the non-Defaulting Lenders for any loss, cost or expense of the type described in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(all of which purchases are hereby consented to by the Borrower and each Lender)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6"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2.17.</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1280" w:hanging="562"/>
        <w:spacing w:after="0"/>
        <w:tabs>
          <w:tab w:leader="none" w:pos="128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clauses (b), (c), (d), (e) and (f) of this Section 2.17, if:</w:t>
      </w:r>
    </w:p>
    <w:p>
      <w:pPr>
        <w:spacing w:after="0" w:line="222" w:lineRule="exact"/>
        <w:rPr>
          <w:rFonts w:ascii="Times New Roman" w:cs="Times New Roman" w:eastAsia="Times New Roman" w:hAnsi="Times New Roman"/>
          <w:sz w:val="21"/>
          <w:szCs w:val="21"/>
          <w:color w:val="auto"/>
        </w:rPr>
      </w:pPr>
    </w:p>
    <w:p>
      <w:pPr>
        <w:jc w:val="both"/>
        <w:ind w:left="480" w:firstLine="480"/>
        <w:spacing w:after="0" w:line="249" w:lineRule="auto"/>
        <w:tabs>
          <w:tab w:leader="none" w:pos="1263"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spacing w:after="0" w:line="178" w:lineRule="exact"/>
        <w:rPr>
          <w:rFonts w:ascii="Times New Roman" w:cs="Times New Roman" w:eastAsia="Times New Roman" w:hAnsi="Times New Roman"/>
          <w:sz w:val="21"/>
          <w:szCs w:val="21"/>
          <w:color w:val="auto"/>
        </w:rPr>
      </w:pPr>
    </w:p>
    <w:p>
      <w:pPr>
        <w:jc w:val="both"/>
        <w:ind w:left="480" w:firstLine="480"/>
        <w:spacing w:after="0" w:line="249" w:lineRule="auto"/>
        <w:tabs>
          <w:tab w:leader="none" w:pos="1269"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of making or maintaining their Loans included in such Borrowing,</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then the Administrative Agent shall give notice thereof to the Borrower and the Lenders by telephone, facsimile or electronic mail as promptly as practicable thereafter and, until (x) the Administrative Agent notifies the Borrower and the Lenders that the circumstances giving rise to such notice no longer exist with respect to the relevant Benchmark and (y) the Borrower delivers a new Committed Loan Notice in accordance with the terms of Section 2.02, any Committed Loan Notice that requests the conversion of any Borrowing to, or continuation of any Borrowing as, a Term Benchmark Borrowing and any Committed Loan Notice that requests a Term Benchmark Borrowing shall instead be deemed to be a Committed Loan Notice for (x) an RFR Borrowing so long as the Adjusted Daily Simple SOFR is not also the subject of Section 2.17(a)(i) or (ii) above or (y) a Base Rate Borrowing if the Adjusted Daily Simple SOFR also is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58" w:right="339" w:bottom="1440" w:gutter="0" w:footer="0" w:header="0"/>
        </w:sectPr>
      </w:pPr>
    </w:p>
    <w:bookmarkStart w:id="183" w:name="page184"/>
    <w:bookmarkEnd w:id="183"/>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Section 2.17(a)(i) or (ii)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circumstances giving rise to such notice affect only one Type of Borrowing, then all other Types of Borrowings shall be permitted;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in each case, the Borrower may revoke any Committed Loan Notice that is pending when such notice is received. Furthermore, if any Term Benchmark Loan or RFR Loan is outstanding on the date of the Borrower’s receipt of the notice from the Administrative Agent referred to in this Section 2.17(a)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Committed Loan Notice in accordance with the terms of Section 2.02, (A) any Term Benchmark Loan shall on the last day of the Interest Period applicable to such Loan, be converted by the Administrative Agent to, and shall constitute, (x) an RFR Borrowing so long as the Adjusted Daily Simple SOFR is not also the subject of Section 2.17(a)(i) or (ii) above or (y) a Base Rate Loan if the Adjusted Daily Simple SOFR also is the subject of Section 2.17(a)(i) or (ii) above, on such day, and (B) any RFR Loan shall on and from such day be converted by the Administrative Agent to, and shall constitute a Base Rate Loan.</w:t>
      </w:r>
    </w:p>
    <w:p>
      <w:pPr>
        <w:spacing w:after="0" w:line="200" w:lineRule="exact"/>
        <w:rPr>
          <w:sz w:val="20"/>
          <w:szCs w:val="20"/>
          <w:color w:val="auto"/>
        </w:rPr>
      </w:pPr>
    </w:p>
    <w:p>
      <w:pPr>
        <w:spacing w:after="0" w:line="233" w:lineRule="exact"/>
        <w:rPr>
          <w:sz w:val="20"/>
          <w:szCs w:val="20"/>
          <w:color w:val="auto"/>
        </w:rPr>
      </w:pPr>
    </w:p>
    <w:p>
      <w:pPr>
        <w:jc w:val="both"/>
        <w:ind w:firstLine="718"/>
        <w:spacing w:after="0" w:line="246" w:lineRule="auto"/>
        <w:tabs>
          <w:tab w:leader="none" w:pos="126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w:t>
      </w:r>
      <w:r>
        <w:rPr>
          <w:rFonts w:ascii="Times New Roman" w:cs="Times New Roman" w:eastAsia="Times New Roman" w:hAnsi="Times New Roman"/>
          <w:sz w:val="21"/>
          <w:szCs w:val="21"/>
          <w:b w:val="1"/>
          <w:bCs w:val="1"/>
          <w:u w:val="single" w:color="auto"/>
          <w:color w:val="0000FF"/>
        </w:rPr>
        <w:t>(including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related adjustments)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for all purposes hereunder and under any Loan Document in respect of such Benchmark setting and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w:t>
      </w:r>
      <w:r>
        <w:rPr>
          <w:rFonts w:ascii="Times New Roman" w:cs="Times New Roman" w:eastAsia="Times New Roman" w:hAnsi="Times New Roman"/>
          <w:sz w:val="21"/>
          <w:szCs w:val="21"/>
          <w:b w:val="1"/>
          <w:bCs w:val="1"/>
          <w:u w:val="single" w:color="auto"/>
          <w:color w:val="0000FF"/>
        </w:rPr>
        <w:t>(including any related adjustments)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for all purposes hereunder and under any Loan Document in respect of any 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4" w:lineRule="exact"/>
        <w:rPr>
          <w:rFonts w:ascii="Times New Roman" w:cs="Times New Roman" w:eastAsia="Times New Roman" w:hAnsi="Times New Roman"/>
          <w:sz w:val="21"/>
          <w:szCs w:val="21"/>
          <w:color w:val="auto"/>
        </w:rPr>
      </w:pPr>
    </w:p>
    <w:p>
      <w:pPr>
        <w:ind w:right="20" w:firstLine="718"/>
        <w:spacing w:after="0" w:line="272" w:lineRule="auto"/>
        <w:tabs>
          <w:tab w:leader="none" w:pos="126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promptly notify the Borrower and the Lenders of (i) any occurrence of a Benchmark Transition Event, (ii) the implementation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358" w:right="339" w:bottom="1440" w:gutter="0" w:footer="0" w:header="0"/>
        </w:sectPr>
      </w:pPr>
    </w:p>
    <w:bookmarkStart w:id="184" w:name="page185"/>
    <w:bookmarkEnd w:id="184"/>
    <w:p>
      <w:pPr>
        <w:jc w:val="both"/>
        <w:spacing w:after="0" w:line="247" w:lineRule="auto"/>
        <w:rPr>
          <w:sz w:val="20"/>
          <w:szCs w:val="20"/>
          <w:color w:val="auto"/>
        </w:rPr>
      </w:pPr>
      <w:r>
        <w:rPr>
          <w:rFonts w:ascii="Times New Roman" w:cs="Times New Roman" w:eastAsia="Times New Roman" w:hAnsi="Times New Roman"/>
          <w:sz w:val="21"/>
          <w:szCs w:val="21"/>
          <w:color w:val="auto"/>
        </w:rPr>
        <w:t>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2.17.</w:t>
      </w:r>
    </w:p>
    <w:p>
      <w:pPr>
        <w:spacing w:after="0" w:line="172" w:lineRule="exact"/>
        <w:rPr>
          <w:sz w:val="20"/>
          <w:szCs w:val="20"/>
          <w:color w:val="auto"/>
        </w:rPr>
      </w:pPr>
    </w:p>
    <w:p>
      <w:pPr>
        <w:jc w:val="both"/>
        <w:ind w:firstLine="718"/>
        <w:spacing w:after="0" w:line="245" w:lineRule="auto"/>
        <w:tabs>
          <w:tab w:leader="none" w:pos="1265"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6"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Borrower’s receipt of notice of the commencement of a Benchmark Unavailability Period, the Borrower may revoke any request for </w:t>
      </w:r>
      <w:r>
        <w:rPr>
          <w:rFonts w:ascii="Times New Roman" w:cs="Times New Roman" w:eastAsia="Times New Roman" w:hAnsi="Times New Roman"/>
          <w:sz w:val="21"/>
          <w:szCs w:val="21"/>
          <w:b w:val="1"/>
          <w:bCs w:val="1"/>
          <w:u w:val="single" w:color="auto"/>
          <w:color w:val="0000FF"/>
        </w:rPr>
        <w:t>(i)</w:t>
      </w:r>
      <w:r>
        <w:rPr>
          <w:rFonts w:ascii="Times New Roman" w:cs="Times New Roman" w:eastAsia="Times New Roman" w:hAnsi="Times New Roman"/>
          <w:sz w:val="21"/>
          <w:szCs w:val="21"/>
          <w:color w:val="auto"/>
        </w:rPr>
        <w:t xml:space="preserve"> a Term Benchmark Borrowing or a conversion to or continuation of Term Benchmark Loans to be made, converted or continued </w:t>
      </w:r>
      <w:r>
        <w:rPr>
          <w:rFonts w:ascii="Times New Roman" w:cs="Times New Roman" w:eastAsia="Times New Roman" w:hAnsi="Times New Roman"/>
          <w:sz w:val="21"/>
          <w:szCs w:val="21"/>
          <w:b w:val="1"/>
          <w:bCs w:val="1"/>
          <w:u w:val="single" w:color="auto"/>
          <w:color w:val="0000FF"/>
        </w:rPr>
        <w:t>or (ii) an RFR Borrowing or conversion to RFR Loans,</w:t>
      </w:r>
      <w:r>
        <w:rPr>
          <w:rFonts w:ascii="Times New Roman" w:cs="Times New Roman" w:eastAsia="Times New Roman" w:hAnsi="Times New Roman"/>
          <w:sz w:val="21"/>
          <w:szCs w:val="21"/>
          <w:color w:val="auto"/>
        </w:rPr>
        <w:t xml:space="preserve"> during any Benchmark Unavailability Period and, failing that, the Borrower will be deemed to have converted any request for a Term Benchmark Borrowing </w:t>
      </w:r>
      <w:r>
        <w:rPr>
          <w:rFonts w:ascii="Times New Roman" w:cs="Times New Roman" w:eastAsia="Times New Roman" w:hAnsi="Times New Roman"/>
          <w:sz w:val="21"/>
          <w:szCs w:val="21"/>
          <w:b w:val="1"/>
          <w:bCs w:val="1"/>
          <w:u w:val="single" w:color="auto"/>
          <w:color w:val="0000FF"/>
        </w:rPr>
        <w:t>or RFR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Borrowing, as applicable,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into a request for a Borrowing of or conversion to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solely with respect to any such request for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Term Benchmark 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 RFR Borrowing so long as the Adjusted Daily Simple SOFR is not the subject of a 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Transition Event or (B) a Base Rate Borrowing if the Adjusted Daily Simple SOFR is the subject of a Benchmark Transition Event.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or RFR Loan is outstanding on the date of the Borrower’s receipt of notice of the commencement of a Benchmark Unavailability Period with respect to a Relevant Rate applicable to such Term Benchmark Loan or RFR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358"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21"/>
          <w:szCs w:val="21"/>
          <w:color w:val="auto"/>
        </w:rPr>
        <w:t>then until such time as a Benchmark Replacement is implemented pursuant to this Section 2.17, (1) any Term Benchmark Loan shall on the last day of the Interest Period applicable to such Loan, be converted by the Administrative Agent to, and shall constitute, (x) an RFR Borrowing so long as the Adjusted Daily Simple SOFR is not the subject of a Benchmark Transition Event or</w:t>
      </w:r>
    </w:p>
    <w:p>
      <w:pPr>
        <w:spacing w:after="0" w:line="2" w:lineRule="exact"/>
        <w:rPr>
          <w:sz w:val="20"/>
          <w:szCs w:val="20"/>
          <w:color w:val="auto"/>
        </w:rPr>
      </w:pPr>
    </w:p>
    <w:p>
      <w:pPr>
        <w:ind w:firstLine="6"/>
        <w:spacing w:after="0" w:line="261" w:lineRule="auto"/>
        <w:tabs>
          <w:tab w:leader="none" w:pos="30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Base Rate Loan if the Adjusted Daily Simple SOFR is the subject of a Benchmark Transition Event, on such day and (2) any RFR Loan shall on and from such day be converted by the Administrative Agent to, and shall constitute a Base Rate Loan.</w:t>
      </w:r>
    </w:p>
    <w:p>
      <w:pPr>
        <w:spacing w:after="0" w:line="166" w:lineRule="exact"/>
        <w:rPr>
          <w:sz w:val="20"/>
          <w:szCs w:val="20"/>
          <w:color w:val="auto"/>
        </w:rPr>
      </w:pPr>
    </w:p>
    <w:p>
      <w:pPr>
        <w:ind w:left="1260" w:hanging="542"/>
        <w:spacing w:after="0"/>
        <w:tabs>
          <w:tab w:leader="none" w:pos="12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2.17.</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(i) RFR Loan, the Daily Simple SOFR or (ii) Term Benchmark Loan, the Term SOFR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2.17.</w:t>
      </w:r>
    </w:p>
    <w:p>
      <w:pPr>
        <w:spacing w:after="0" w:line="17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for any Available Tenor, the first alternative set forth in the order below that can be determined by the Administrative Agent for the applicable Benchmark Replacement Date:</w:t>
      </w:r>
    </w:p>
    <w:p>
      <w:pPr>
        <w:spacing w:after="0" w:line="129" w:lineRule="exact"/>
        <w:rPr>
          <w:sz w:val="20"/>
          <w:szCs w:val="20"/>
          <w:color w:val="auto"/>
        </w:rPr>
      </w:pPr>
    </w:p>
    <w:p>
      <w:pPr>
        <w:ind w:left="1280" w:hanging="638"/>
        <w:spacing w:after="0"/>
        <w:tabs>
          <w:tab w:leader="none" w:pos="128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Adjusted Daily Simple SOFR;</w:t>
      </w:r>
    </w:p>
    <w:p>
      <w:pPr>
        <w:spacing w:after="0" w:line="222" w:lineRule="exact"/>
        <w:rPr>
          <w:rFonts w:ascii="Times New Roman" w:cs="Times New Roman" w:eastAsia="Times New Roman" w:hAnsi="Times New Roman"/>
          <w:sz w:val="21"/>
          <w:szCs w:val="21"/>
          <w:color w:val="auto"/>
        </w:rPr>
      </w:pPr>
    </w:p>
    <w:p>
      <w:pPr>
        <w:jc w:val="both"/>
        <w:ind w:firstLine="642"/>
        <w:spacing w:after="0" w:line="254" w:lineRule="auto"/>
        <w:tabs>
          <w:tab w:leader="none" w:pos="126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3"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Benchmark Replacement as determined pursuant to clause (1) or clause (2)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58" w:right="339" w:bottom="1440" w:gutter="0" w:footer="0" w:header="0"/>
        </w:sectPr>
      </w:pPr>
    </w:p>
    <w:bookmarkStart w:id="186" w:name="page187"/>
    <w:bookmarkEnd w:id="186"/>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in the United States.</w:t>
      </w:r>
    </w:p>
    <w:p>
      <w:pPr>
        <w:spacing w:after="0" w:line="17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are generally consistent with changes made by the Administrative Agent in other syndicated credit facilities agented by it and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generally consistent with changes made by the Administrative Agent in other syndicated credit facilities agented by it and is reasonably necessary in connection with the administration of this Agreement and the other Loan Documents).</w:t>
      </w:r>
    </w:p>
    <w:p>
      <w:pPr>
        <w:spacing w:after="0" w:line="176"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such then-current Benchmark:</w:t>
      </w:r>
    </w:p>
    <w:p>
      <w:pPr>
        <w:spacing w:after="0" w:line="142" w:lineRule="exact"/>
        <w:rPr>
          <w:sz w:val="20"/>
          <w:szCs w:val="20"/>
          <w:color w:val="auto"/>
        </w:rPr>
      </w:pPr>
    </w:p>
    <w:p>
      <w:pPr>
        <w:jc w:val="both"/>
        <w:ind w:left="640" w:firstLine="638"/>
        <w:spacing w:after="0" w:line="261" w:lineRule="auto"/>
        <w:tabs>
          <w:tab w:leader="none" w:pos="158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71" w:right="339" w:bottom="1440" w:gutter="0" w:footer="0" w:header="0"/>
        </w:sectPr>
      </w:pPr>
    </w:p>
    <w:bookmarkStart w:id="187" w:name="page188"/>
    <w:bookmarkEnd w:id="187"/>
    <w:p>
      <w:pPr>
        <w:jc w:val="both"/>
        <w:ind w:left="640" w:firstLine="638"/>
        <w:spacing w:after="0" w:line="247" w:lineRule="auto"/>
        <w:tabs>
          <w:tab w:leader="none" w:pos="1622"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(3) of the definition of “Benchmark Transition Event,” the first date on which such Benchmark (or the published component used in the calculation thereof) has been </w:t>
      </w:r>
      <w:r>
        <w:rPr>
          <w:rFonts w:ascii="Times New Roman" w:cs="Times New Roman" w:eastAsia="Times New Roman" w:hAnsi="Times New Roman"/>
          <w:sz w:val="21"/>
          <w:szCs w:val="21"/>
          <w:b w:val="1"/>
          <w:bCs w:val="1"/>
          <w:u w:val="single" w:color="auto"/>
          <w:color w:val="0000FF"/>
        </w:rPr>
        <w:t>or, if such Benchmark is a term rate,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Available Tenors of such Benchmark (or component thereof) have been</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determined and announced by the regulatory</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supervisor for the administrator of such Benchmark (or such component thereof) to be no longer representative; provided, that such non-representativeness will be determined by reference to the most recent statement or publication referenced in such clause (3) and even if </w:t>
      </w:r>
      <w:r>
        <w:rPr>
          <w:rFonts w:ascii="Times New Roman" w:cs="Times New Roman" w:eastAsia="Times New Roman" w:hAnsi="Times New Roman"/>
          <w:sz w:val="21"/>
          <w:szCs w:val="21"/>
          <w:b w:val="1"/>
          <w:bCs w:val="1"/>
          <w:u w:val="single" w:color="auto"/>
          <w:color w:val="0000FF"/>
        </w:rPr>
        <w:t>such Benchmark (or component thereof) or, if such Benchmark is a term rate,</w:t>
      </w:r>
      <w:r>
        <w:rPr>
          <w:rFonts w:ascii="Times New Roman" w:cs="Times New Roman" w:eastAsia="Times New Roman" w:hAnsi="Times New Roman"/>
          <w:sz w:val="21"/>
          <w:szCs w:val="21"/>
          <w:color w:val="000000"/>
        </w:rPr>
        <w:t xml:space="preserve"> any Available Tenor of such Benchmark (or such component thereof) continues to be provided on such date.</w:t>
      </w:r>
    </w:p>
    <w:p>
      <w:pPr>
        <w:spacing w:after="0" w:line="18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17"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55" w:lineRule="exact"/>
        <w:rPr>
          <w:sz w:val="20"/>
          <w:szCs w:val="20"/>
          <w:color w:val="auto"/>
        </w:rPr>
      </w:pPr>
    </w:p>
    <w:p>
      <w:pPr>
        <w:jc w:val="both"/>
        <w:ind w:left="640" w:firstLine="638"/>
        <w:spacing w:after="0" w:line="249" w:lineRule="auto"/>
        <w:tabs>
          <w:tab w:leader="none" w:pos="158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w:t>
      </w:r>
      <w:r>
        <w:rPr>
          <w:rFonts w:ascii="Times New Roman" w:cs="Times New Roman" w:eastAsia="Times New Roman" w:hAnsi="Times New Roman"/>
          <w:sz w:val="21"/>
          <w:szCs w:val="21"/>
          <w:b w:val="1"/>
          <w:bCs w:val="1"/>
          <w:u w:val="single" w:color="auto"/>
          <w:color w:val="0000FF"/>
        </w:rPr>
        <w:t>such Benchmark (or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component thereof) or, if such Benchmark is a term rate,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any Available Tenor of such Benchmark (or such component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thereof);</w:t>
      </w:r>
    </w:p>
    <w:p>
      <w:pPr>
        <w:spacing w:after="0" w:line="166" w:lineRule="exact"/>
        <w:rPr>
          <w:rFonts w:ascii="Times New Roman" w:cs="Times New Roman" w:eastAsia="Times New Roman" w:hAnsi="Times New Roman"/>
          <w:sz w:val="21"/>
          <w:szCs w:val="21"/>
          <w:color w:val="auto"/>
        </w:rPr>
      </w:pPr>
    </w:p>
    <w:p>
      <w:pPr>
        <w:jc w:val="both"/>
        <w:ind w:left="640" w:firstLine="638"/>
        <w:spacing w:after="0" w:line="246" w:lineRule="auto"/>
        <w:tabs>
          <w:tab w:leader="none" w:pos="161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w:t>
      </w:r>
      <w:r>
        <w:rPr>
          <w:rFonts w:ascii="Times New Roman" w:cs="Times New Roman" w:eastAsia="Times New Roman" w:hAnsi="Times New Roman"/>
          <w:sz w:val="21"/>
          <w:szCs w:val="21"/>
          <w:b w:val="1"/>
          <w:bCs w:val="1"/>
          <w:u w:val="single" w:color="auto"/>
          <w:color w:val="0000FF"/>
        </w:rPr>
        <w:t>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Benchmark (or such component thereof) or, if such Benchmark is a term rate,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all Available Tenors of such 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(or such component thereof) permanently or indefinitely;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at the time of such statement or publication, there is no successor administrator that will continue to provide </w:t>
      </w:r>
      <w:r>
        <w:rPr>
          <w:rFonts w:ascii="Times New Roman" w:cs="Times New Roman" w:eastAsia="Times New Roman" w:hAnsi="Times New Roman"/>
          <w:sz w:val="21"/>
          <w:szCs w:val="21"/>
          <w:b w:val="1"/>
          <w:bCs w:val="1"/>
          <w:u w:val="single" w:color="auto"/>
          <w:color w:val="0000FF"/>
        </w:rPr>
        <w:t>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58" w:right="339" w:bottom="1440" w:gutter="0" w:footer="0" w:header="0"/>
        </w:sectPr>
      </w:pPr>
    </w:p>
    <w:bookmarkStart w:id="188" w:name="page189"/>
    <w:bookmarkEnd w:id="188"/>
    <w:p>
      <w:pPr>
        <w:ind w:left="640"/>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0000FF"/>
        </w:rPr>
        <w:t>Benchmark (or such component thereof) or, if such Benchmark is a term rate,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any Available Tenor of such 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 such component thereof); or</w:t>
      </w:r>
    </w:p>
    <w:p>
      <w:pPr>
        <w:spacing w:after="0" w:line="151" w:lineRule="exact"/>
        <w:rPr>
          <w:sz w:val="20"/>
          <w:szCs w:val="20"/>
          <w:color w:val="auto"/>
        </w:rPr>
      </w:pPr>
    </w:p>
    <w:p>
      <w:pPr>
        <w:jc w:val="both"/>
        <w:ind w:left="640" w:firstLine="638"/>
        <w:spacing w:after="0" w:line="257" w:lineRule="auto"/>
        <w:tabs>
          <w:tab w:leader="none" w:pos="161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announcing that </w:t>
      </w:r>
      <w:r>
        <w:rPr>
          <w:rFonts w:ascii="Times New Roman" w:cs="Times New Roman" w:eastAsia="Times New Roman" w:hAnsi="Times New Roman"/>
          <w:sz w:val="21"/>
          <w:szCs w:val="21"/>
          <w:b w:val="1"/>
          <w:bCs w:val="1"/>
          <w:u w:val="single" w:color="auto"/>
          <w:color w:val="0000FF"/>
        </w:rPr>
        <w:t>such Benchmark (or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component thereof) or, if such Benchmark is a term rate,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all Available Tenors of such Benchmark (or such component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thereof) are no longer, or as of a specified future date will no longer be, representative.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 if a public statement or publication of information set forth above has occurred with respect to each then-current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Tenor of such Benchmark (or the published component used in the calculation thereof).</w:t>
      </w:r>
    </w:p>
    <w:p>
      <w:pPr>
        <w:spacing w:after="0" w:line="19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2.17 and (y) ending at the time that a Benchmark Replacement has replaced such then-current Benchmark for all purposes hereunder and under any Loan Document in accordance with Section 2.17.</w:t>
      </w:r>
    </w:p>
    <w:p>
      <w:pPr>
        <w:spacing w:after="0" w:line="161"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xml:space="preserve">”), a rate per annum equal to SOFR for the day </w:t>
      </w:r>
      <w:r>
        <w:rPr>
          <w:rFonts w:ascii="Times New Roman" w:cs="Times New Roman" w:eastAsia="Times New Roman" w:hAnsi="Times New Roman"/>
          <w:sz w:val="21"/>
          <w:szCs w:val="21"/>
          <w:b w:val="1"/>
          <w:bCs w:val="1"/>
          <w:u w:val="single" w:color="auto"/>
          <w:color w:val="0000FF"/>
        </w:rPr>
        <w:t>(such day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“SOFR Determination Date”)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is five (5) U.S. Government Securities Business Days prior to (i) if such SOFR Rate Day is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r>
        <w:rPr>
          <w:rFonts w:ascii="Times New Roman" w:cs="Times New Roman" w:eastAsia="Times New Roman" w:hAnsi="Times New Roman"/>
          <w:sz w:val="21"/>
          <w:szCs w:val="21"/>
          <w:b w:val="1"/>
          <w:bCs w:val="1"/>
          <w:color w:val="0000FF"/>
        </w:rPr>
        <w:t>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6996430</wp:posOffset>
            </wp:positionH>
            <wp:positionV relativeFrom="paragraph">
              <wp:posOffset>-29210</wp:posOffset>
            </wp:positionV>
            <wp:extent cx="139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9065" cy="825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0000FF"/>
        </w:rPr>
        <w:t>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81"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35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of this Agreement or otherwise) with respect to the Adjusted Term SOFR Rate or the Adjusted Daily Simple SOFR, as applicable.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avoidance of doubt the initial Floor for each of Adjusted Term SOFR Rate or the Adjusted Daily Simple SOFR shall be 0%.</w:t>
      </w:r>
    </w:p>
    <w:p>
      <w:pPr>
        <w:spacing w:after="0" w:line="18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with respect to any setting of the then-current Benchmark means (i) if such Benchmark is the Term SOFR Rate, 5:00 a.m., Chicago time, on the day that is two (2) U.S. Government Securities Business Days preceding the date of such setting, (ii) if</w:t>
      </w:r>
      <w:r>
        <w:rPr>
          <w:rFonts w:ascii="Times New Roman" w:cs="Times New Roman" w:eastAsia="Times New Roman" w:hAnsi="Times New Roman"/>
          <w:sz w:val="21"/>
          <w:szCs w:val="21"/>
          <w:b w:val="1"/>
          <w:bCs w:val="1"/>
          <w:u w:val="single" w:color="auto"/>
          <w:color w:val="0000FF"/>
        </w:rPr>
        <w:t>, following a Benchmark Transition Event and a Benchmark Replacement Date with respect to the Term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Rate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 RFR for such Benchmark is Daily Simple SOFR, then four (4) U.S. Government Securities Business Days prior to such</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setting or (iii) if such Benchmark is none of the Term SOFR Rate or Daily Simple SOFR, the time determined by the Administrative Agent in its reasonable discretion.</w:t>
      </w:r>
    </w:p>
    <w:p>
      <w:pPr>
        <w:spacing w:after="0" w:line="176"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Board and/or the NYFRB, or a committee officially endorsed or convened by the Board and/or the NYFRB or, in each case, any successor thereto.</w:t>
      </w:r>
    </w:p>
    <w:p>
      <w:pPr>
        <w:spacing w:after="0" w:line="15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(i) with respect to any Term Benchmark Borrowing, the Adjusted Term SOFR Rate or (ii) with respect to any RFR Borrowing, the Adjusted Daily Simple SOFR, as applicable.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2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0000FF"/>
        </w:rPr>
        <w:t>“SOFR Determination Date” has the meaning specified in the definition of “Daily Simple SOFR”.</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has the meaning specified in the definition of “Daily Simple SOFR”.</w:t>
      </w:r>
    </w:p>
    <w:p>
      <w:pPr>
        <w:spacing w:after="0" w:line="22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III</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TAXES, YIELD PROTECTION AND ILLEGALITY</w:t>
      </w:r>
    </w:p>
    <w:p>
      <w:pPr>
        <w:spacing w:after="0" w:line="222" w:lineRule="exact"/>
        <w:rPr>
          <w:sz w:val="20"/>
          <w:szCs w:val="20"/>
          <w:color w:val="auto"/>
        </w:rPr>
      </w:pPr>
    </w:p>
    <w:p>
      <w:pPr>
        <w:ind w:left="62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ind w:firstLine="718"/>
        <w:spacing w:after="0" w:line="285" w:lineRule="auto"/>
        <w:tabs>
          <w:tab w:leader="none" w:pos="126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 Obligation to Withhold; Payments on Account of Taxes</w:t>
      </w:r>
      <w:r>
        <w:rPr>
          <w:rFonts w:ascii="Times New Roman" w:cs="Times New Roman" w:eastAsia="Times New Roman" w:hAnsi="Times New Roman"/>
          <w:sz w:val="21"/>
          <w:szCs w:val="21"/>
          <w:color w:val="auto"/>
        </w:rPr>
        <w:t>. (i) Any and all payments by or on account of any obligation of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58" w:right="339" w:bottom="1440" w:gutter="0" w:footer="0" w:header="0"/>
        </w:sectPr>
      </w:pPr>
    </w:p>
    <w:bookmarkStart w:id="190" w:name="page191"/>
    <w:bookmarkEnd w:id="190"/>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hereunder or under any other Loan Document shall to the extent permitted by applicable Laws be made free and clear of and without reduction or withholding for any Taxes. If, however, any Withholding Agent shall be required by applicable Law to withhold or deduct any Taxes from any payment, then (A) such Withholding Agent shall be entitled to withhold or make such deductions as are determined by such Withholding Agent to be required, including based upon the information and documentation it has received pursuant to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(B) such Withholding Agent shall timely pay the full amount withheld or deducted to the relevant Governmental Authority in accordance with applicable Law, and (C) to the extent that the withholding or deduction is made on account of Indemnified Taxes, the sum payable by such Loan Party shall be increased as necessary so that after any required withholding or the making of all required deductions (including withholding or deductions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Administrative Agent, the applicable Lender or the applicable L/C Issuer, as the case may be, receives an amount equal to the sum it would have received had no such withholding or deduction been made.</w:t>
      </w:r>
    </w:p>
    <w:p>
      <w:pPr>
        <w:spacing w:after="0" w:line="170" w:lineRule="exact"/>
        <w:rPr>
          <w:sz w:val="20"/>
          <w:szCs w:val="20"/>
          <w:color w:val="auto"/>
        </w:rPr>
      </w:pPr>
    </w:p>
    <w:p>
      <w:pPr>
        <w:jc w:val="both"/>
        <w:ind w:firstLine="642"/>
        <w:spacing w:after="0" w:line="267" w:lineRule="auto"/>
        <w:tabs>
          <w:tab w:leader="none" w:pos="126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Loan Parties</w:t>
      </w:r>
      <w:r>
        <w:rPr>
          <w:rFonts w:ascii="Times New Roman" w:cs="Times New Roman" w:eastAsia="Times New Roman" w:hAnsi="Times New Roman"/>
          <w:sz w:val="21"/>
          <w:szCs w:val="21"/>
          <w:color w:val="auto"/>
        </w:rPr>
        <w:t xml:space="preserve">. Without limiting the provisions of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the Loan Parties shall timely pay any Other Taxes to the relevant Governmental Authority in accordance with applicable Laws or at the option of the Administrative Agent timely reimburse it for the payment of any Other Taxes.</w:t>
      </w:r>
    </w:p>
    <w:p>
      <w:pPr>
        <w:spacing w:after="0" w:line="161" w:lineRule="exact"/>
        <w:rPr>
          <w:rFonts w:ascii="Times New Roman" w:cs="Times New Roman" w:eastAsia="Times New Roman" w:hAnsi="Times New Roman"/>
          <w:sz w:val="21"/>
          <w:szCs w:val="21"/>
          <w:color w:val="auto"/>
        </w:rPr>
      </w:pPr>
    </w:p>
    <w:p>
      <w:pPr>
        <w:jc w:val="both"/>
        <w:ind w:firstLine="642"/>
        <w:spacing w:after="0" w:line="256" w:lineRule="auto"/>
        <w:tabs>
          <w:tab w:leader="none" w:pos="126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Indemnifications</w:t>
      </w:r>
      <w:r>
        <w:rPr>
          <w:rFonts w:ascii="Times New Roman" w:cs="Times New Roman" w:eastAsia="Times New Roman" w:hAnsi="Times New Roman"/>
          <w:sz w:val="21"/>
          <w:szCs w:val="21"/>
          <w:color w:val="auto"/>
        </w:rPr>
        <w:t xml:space="preserve">. (i) Without limiting or duplication of the provisions of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3.01(b)</w:t>
      </w:r>
      <w:r>
        <w:rPr>
          <w:rFonts w:ascii="Times New Roman" w:cs="Times New Roman" w:eastAsia="Times New Roman" w:hAnsi="Times New Roman"/>
          <w:sz w:val="21"/>
          <w:szCs w:val="21"/>
          <w:color w:val="auto"/>
        </w:rPr>
        <w:t xml:space="preserve">, each Loan Party shall, and does hereby, indemnify the Administrative Agent, each Lender and each L/C Issuer, and shall make payment in respect thereof within 20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payable or paid by the Administrative Agent, such Lender or such L/C Issuer or required to be withheld or deducted from a payment to such Lender or such L/C Issuer, as the case may be, and any penalties, interest and reasonable expenses (including the fees, charges and disbursements of any counsel for the Administrative Agent, such Lender or such L/C Issuer) arising therefrom or with respect thereto, whether or not such Indemnified Taxes were correctly or legally imposed or asserted by the relevant Governmental Authority. A certificate as to any amount due pursuant to this </w:t>
      </w:r>
      <w:r>
        <w:rPr>
          <w:rFonts w:ascii="Times New Roman" w:cs="Times New Roman" w:eastAsia="Times New Roman" w:hAnsi="Times New Roman"/>
          <w:sz w:val="21"/>
          <w:szCs w:val="21"/>
          <w:u w:val="single" w:color="auto"/>
          <w:color w:val="auto"/>
        </w:rPr>
        <w:t>Section 3.01(c)(i)</w:t>
      </w:r>
      <w:r>
        <w:rPr>
          <w:rFonts w:ascii="Times New Roman" w:cs="Times New Roman" w:eastAsia="Times New Roman" w:hAnsi="Times New Roman"/>
          <w:sz w:val="21"/>
          <w:szCs w:val="21"/>
          <w:color w:val="auto"/>
        </w:rPr>
        <w:t xml:space="preserve"> delivered to the Borrower by a Lender or a L/C Issuer (with a copy to the Administrative Agent), or by the Administrative Agent on its own behalf or on behalf of a Lender or an L/C Issuer, shall be conclusive absent manifest error.</w:t>
      </w:r>
    </w:p>
    <w:p>
      <w:pPr>
        <w:spacing w:after="0" w:line="187" w:lineRule="exact"/>
        <w:rPr>
          <w:rFonts w:ascii="Times New Roman" w:cs="Times New Roman" w:eastAsia="Times New Roman" w:hAnsi="Times New Roman"/>
          <w:sz w:val="21"/>
          <w:szCs w:val="21"/>
          <w:color w:val="auto"/>
        </w:rPr>
      </w:pPr>
    </w:p>
    <w:p>
      <w:pPr>
        <w:jc w:val="both"/>
        <w:ind w:left="640" w:firstLine="638"/>
        <w:spacing w:after="0" w:line="257" w:lineRule="auto"/>
        <w:tabs>
          <w:tab w:leader="none" w:pos="190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3.01(b)</w:t>
      </w:r>
      <w:r>
        <w:rPr>
          <w:rFonts w:ascii="Times New Roman" w:cs="Times New Roman" w:eastAsia="Times New Roman" w:hAnsi="Times New Roman"/>
          <w:sz w:val="21"/>
          <w:szCs w:val="21"/>
          <w:color w:val="auto"/>
        </w:rPr>
        <w:t>, and except as provided below, each Lender and each L/C Issuer shall, and does hereby, severally indemnify the Administrative Agent, and shall make payment in respect thereof within 20 days after written demand therefor, against any and all (A) Indemnified Taxes (but only to the extent that any Loan Party has not already indemnified the Administrative Agent for such Indemnified Taxes and without limiting the obligation of the Loan Parties to do so), (B) any Taxes attributable to such Lender’s or such L/C Issuer’s failure to comply with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71" w:right="339" w:bottom="1440" w:gutter="0" w:footer="0" w:header="0"/>
        </w:sectPr>
      </w:pPr>
    </w:p>
    <w:bookmarkStart w:id="191" w:name="page192"/>
    <w:bookmarkEnd w:id="191"/>
    <w:p>
      <w:pPr>
        <w:jc w:val="both"/>
        <w:ind w:left="640"/>
        <w:spacing w:after="0" w:line="256" w:lineRule="auto"/>
        <w:rPr>
          <w:sz w:val="20"/>
          <w:szCs w:val="20"/>
          <w:color w:val="auto"/>
        </w:rPr>
      </w:pPr>
      <w:r>
        <w:rPr>
          <w:rFonts w:ascii="Times New Roman" w:cs="Times New Roman" w:eastAsia="Times New Roman" w:hAnsi="Times New Roman"/>
          <w:sz w:val="21"/>
          <w:szCs w:val="21"/>
          <w:color w:val="auto"/>
        </w:rPr>
        <w:t xml:space="preserve">Section 11.06(e)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any L/C Issuer by the Administrative Agent shall be conclusive absent manifest error. Each Lender and each L/C Issuer hereby authorizes the Administrative Agent (on its own behalf or on behalf of such Lender or such L/C Issuer) to set off and apply any and all amounts (including interest and fees)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21"/>
          <w:szCs w:val="21"/>
          <w:u w:val="single" w:color="auto"/>
          <w:color w:val="auto"/>
        </w:rPr>
        <w:t>Section 3.01(c)(ii)</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3.01(c)(ii)</w:t>
      </w:r>
      <w:r>
        <w:rPr>
          <w:rFonts w:ascii="Times New Roman" w:cs="Times New Roman" w:eastAsia="Times New Roman" w:hAnsi="Times New Roman"/>
          <w:sz w:val="21"/>
          <w:szCs w:val="21"/>
          <w:color w:val="auto"/>
        </w:rPr>
        <w:t xml:space="preserve">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174" w:lineRule="exact"/>
        <w:rPr>
          <w:sz w:val="20"/>
          <w:szCs w:val="20"/>
          <w:color w:val="auto"/>
        </w:rPr>
      </w:pPr>
    </w:p>
    <w:p>
      <w:pPr>
        <w:jc w:val="both"/>
        <w:ind w:firstLine="642"/>
        <w:spacing w:after="0" w:line="262" w:lineRule="auto"/>
        <w:tabs>
          <w:tab w:leader="none" w:pos="126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xml:space="preserve">. As soon as reasonably practicable after any payment of Taxes by the Loan Parties or by the Administrative Agent to a Governmental Authority as provided in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Borrower shall deliver to the Administrative Agent or the Administrative Agent shall deliver to the Borrower the original or a certified copy of a receipt issued by such Governmental Authority evidencing such payment, a copy of any return required by applicable Laws to report such payment or other evidence of such payment reasonably satisfactory to Borrower or the Administrative Agent, as the case may be.</w:t>
      </w:r>
    </w:p>
    <w:p>
      <w:pPr>
        <w:spacing w:after="0" w:line="152" w:lineRule="exact"/>
        <w:rPr>
          <w:rFonts w:ascii="Times New Roman" w:cs="Times New Roman" w:eastAsia="Times New Roman" w:hAnsi="Times New Roman"/>
          <w:sz w:val="21"/>
          <w:szCs w:val="21"/>
          <w:color w:val="auto"/>
        </w:rPr>
      </w:pPr>
    </w:p>
    <w:p>
      <w:pPr>
        <w:jc w:val="both"/>
        <w:ind w:firstLine="642"/>
        <w:spacing w:after="0" w:line="255" w:lineRule="auto"/>
        <w:tabs>
          <w:tab w:leader="none" w:pos="126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Lenders; Tax Documentation</w:t>
      </w:r>
      <w:r>
        <w:rPr>
          <w:rFonts w:ascii="Times New Roman" w:cs="Times New Roman" w:eastAsia="Times New Roman" w:hAnsi="Times New Roman"/>
          <w:sz w:val="21"/>
          <w:szCs w:val="21"/>
          <w:color w:val="auto"/>
        </w:rPr>
        <w:t xml:space="preserve">. (i) The Administrative Agent, each Lender and each L/C Issuer shall deliver to the Borrower and to the Administrative Agent (if applicable), if reasonably requested by the Borrower or the Administrative Agent in writing,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by the Loan Parties hereunder or under any other Loan Document are subject to Taxes, (B) if applicable, the required rate of withholding or deduction, and (C) the entitlement of the Administrative Agent, such Lender or such L/C Issuer to any available exemption from, or reduction of, applicable Taxes in respect of all payments to be made to such Person by the Loan Parties pursuant to this Agreement or otherwise to establish such Person’s status for withholding tax or information reporting purposes in the applicable jurisdictions. Notwithstanding anything to the contrary in this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the completion, execution and submission of the documentation referred to in this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(other than such documentation set forth in Sections </w:t>
      </w:r>
      <w:r>
        <w:rPr>
          <w:rFonts w:ascii="Times New Roman" w:cs="Times New Roman" w:eastAsia="Times New Roman" w:hAnsi="Times New Roman"/>
          <w:sz w:val="21"/>
          <w:szCs w:val="21"/>
          <w:u w:val="single" w:color="auto"/>
          <w:color w:val="auto"/>
        </w:rPr>
        <w:t>3.01(e)(ii)(A)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3.01(g)</w:t>
      </w:r>
      <w:r>
        <w:rPr>
          <w:rFonts w:ascii="Times New Roman" w:cs="Times New Roman" w:eastAsia="Times New Roman" w:hAnsi="Times New Roman"/>
          <w:sz w:val="21"/>
          <w:szCs w:val="21"/>
          <w:color w:val="auto"/>
        </w:rPr>
        <w:t>) shall not be required if in such Lender’s reasonable judgment such completion, execution or submission would subject such Lender to any material unreimbursed cost or expense or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71" w:right="339" w:bottom="1440" w:gutter="0" w:footer="0" w:header="0"/>
        </w:sectPr>
      </w:pPr>
    </w:p>
    <w:bookmarkStart w:id="192" w:name="page193"/>
    <w:bookmarkEnd w:id="192"/>
    <w:p>
      <w:pPr>
        <w:ind w:left="780" w:hanging="622"/>
        <w:spacing w:after="0"/>
        <w:tabs>
          <w:tab w:leader="none" w:pos="78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w:t>
      </w:r>
    </w:p>
    <w:p>
      <w:pPr>
        <w:spacing w:after="0" w:line="222" w:lineRule="exact"/>
        <w:rPr>
          <w:rFonts w:ascii="Times New Roman" w:cs="Times New Roman" w:eastAsia="Times New Roman" w:hAnsi="Times New Roman"/>
          <w:sz w:val="21"/>
          <w:szCs w:val="21"/>
          <w:color w:val="auto"/>
        </w:rPr>
      </w:pPr>
    </w:p>
    <w:p>
      <w:pPr>
        <w:jc w:val="both"/>
        <w:ind w:left="160" w:firstLine="634"/>
        <w:spacing w:after="0" w:line="259" w:lineRule="auto"/>
        <w:tabs>
          <w:tab w:leader="none" w:pos="1421"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a US Person shall, on or prior to the date it becomes a party to this Agreement (and from time to time thereafter upon the expiration, obsolescence or invalidity of any form, documentation or information previously delivered pursuant to this clause (A)), deliver to the Borrower and the Administrative Agent two properly completed and executed copies of Internal Revenue Service Form W-9 or such other documentation or information prescribed by applicable Laws or reasonably requested by the Borrower or the Administrative Agent as will establish its exemption from backup withholding; and</w:t>
      </w:r>
    </w:p>
    <w:p>
      <w:pPr>
        <w:spacing w:after="0" w:line="172" w:lineRule="exact"/>
        <w:rPr>
          <w:rFonts w:ascii="Times New Roman" w:cs="Times New Roman" w:eastAsia="Times New Roman" w:hAnsi="Times New Roman"/>
          <w:sz w:val="21"/>
          <w:szCs w:val="21"/>
          <w:color w:val="auto"/>
        </w:rPr>
      </w:pPr>
    </w:p>
    <w:p>
      <w:pPr>
        <w:jc w:val="both"/>
        <w:ind w:left="160" w:firstLine="634"/>
        <w:spacing w:after="0" w:line="258" w:lineRule="auto"/>
        <w:tabs>
          <w:tab w:leader="none" w:pos="1423"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on or prior to the date on which such Foreign Lender becomes a Foreign Lender under this Agreement (and from time to time thereafter upon the expiration, obsolescence or invalidity of any form, documentation or information previously delivered pursuant to this clause (B), or upon the request of the Borrower or the Administrative Agent, but only if such Foreign Lender is legally entitled to do so), two of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0120"/>
          </w:cols>
          <w:pgMar w:left="1440" w:top="1371" w:right="339" w:bottom="1440" w:gutter="0" w:footer="0" w:header="0"/>
        </w:sectPr>
      </w:pPr>
    </w:p>
    <w:bookmarkStart w:id="193" w:name="page194"/>
    <w:bookmarkEnd w:id="193"/>
    <w:p>
      <w:pPr>
        <w:ind w:left="800" w:right="20" w:firstLine="630"/>
        <w:spacing w:after="0" w:line="272" w:lineRule="auto"/>
        <w:tabs>
          <w:tab w:leader="none" w:pos="207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properly completed and executed copies of IRS Form W-8BEN or W-8BEN-E (or successor form) claiming eligibility for benefits of an income tax treaty to which the United States is a party,</w:t>
      </w:r>
    </w:p>
    <w:p>
      <w:pPr>
        <w:spacing w:after="0" w:line="128" w:lineRule="exact"/>
        <w:rPr>
          <w:sz w:val="20"/>
          <w:szCs w:val="20"/>
          <w:color w:val="auto"/>
        </w:rPr>
      </w:pPr>
    </w:p>
    <w:p>
      <w:pPr>
        <w:ind w:left="2060" w:hanging="630"/>
        <w:spacing w:after="0"/>
        <w:tabs>
          <w:tab w:leader="none" w:pos="20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properly completed and executed copies of IRS Form W-8ECI or W-8EXP (or successor</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form),</w:t>
      </w:r>
    </w:p>
    <w:p>
      <w:pPr>
        <w:spacing w:after="0" w:line="172" w:lineRule="exact"/>
        <w:rPr>
          <w:sz w:val="20"/>
          <w:szCs w:val="20"/>
          <w:color w:val="auto"/>
        </w:rPr>
      </w:pPr>
    </w:p>
    <w:p>
      <w:pPr>
        <w:jc w:val="both"/>
        <w:ind w:left="800" w:firstLine="630"/>
        <w:spacing w:after="0" w:line="238" w:lineRule="auto"/>
        <w:tabs>
          <w:tab w:leader="none" w:pos="2067"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Lender is not the beneficial owner of such payments, properly completed and executed copies of IRS Form W-8IMY (or successor form), accompanied by IRS Form W-8ECI, IRS Form W-8BEN or W-8BEN-E (or successor form), and all required supporting documentation, IRS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Lender is a partnership for U.S. federal income tax purposes and one or more direct or indirect partners of such Foreign Lender are claiming the portfolio interest exemption, such Foreign Lender may provide certification documents on behalf of each such direct and indirect partner,</w:t>
      </w:r>
    </w:p>
    <w:p>
      <w:pPr>
        <w:spacing w:after="0" w:line="179" w:lineRule="exact"/>
        <w:rPr>
          <w:sz w:val="20"/>
          <w:szCs w:val="20"/>
          <w:color w:val="auto"/>
        </w:rPr>
      </w:pPr>
    </w:p>
    <w:p>
      <w:pPr>
        <w:jc w:val="both"/>
        <w:ind w:left="800" w:firstLine="636"/>
        <w:spacing w:after="0" w:line="239" w:lineRule="auto"/>
        <w:rPr>
          <w:sz w:val="20"/>
          <w:szCs w:val="20"/>
          <w:color w:val="auto"/>
        </w:rPr>
      </w:pPr>
      <w:r>
        <w:rPr>
          <w:rFonts w:ascii="Times New Roman" w:cs="Times New Roman" w:eastAsia="Times New Roman" w:hAnsi="Times New Roman"/>
          <w:sz w:val="21"/>
          <w:szCs w:val="21"/>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1"/>
          <w:szCs w:val="21"/>
          <w:u w:val="single" w:color="auto"/>
          <w:color w:val="auto"/>
        </w:rPr>
        <w:t>Exhibit H-1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H-4</w:t>
      </w:r>
      <w:r>
        <w:rPr>
          <w:rFonts w:ascii="Times New Roman" w:cs="Times New Roman" w:eastAsia="Times New Roman" w:hAnsi="Times New Roman"/>
          <w:sz w:val="21"/>
          <w:szCs w:val="21"/>
          <w:color w:val="auto"/>
        </w:rPr>
        <w:t>, as applicable, and (y) properly completed and executed copies of IRS Form W-8BEN or W-8BEN-E (or successor form), or</w:t>
      </w:r>
    </w:p>
    <w:p>
      <w:pPr>
        <w:spacing w:after="0" w:line="178" w:lineRule="exact"/>
        <w:rPr>
          <w:sz w:val="20"/>
          <w:szCs w:val="20"/>
          <w:color w:val="auto"/>
        </w:rPr>
      </w:pPr>
    </w:p>
    <w:p>
      <w:pPr>
        <w:jc w:val="both"/>
        <w:ind w:left="800" w:firstLine="630"/>
        <w:spacing w:after="0" w:line="244" w:lineRule="auto"/>
        <w:tabs>
          <w:tab w:leader="none" w:pos="2061"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properly completed and executed copies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57" w:lineRule="exact"/>
        <w:rPr>
          <w:rFonts w:ascii="Times New Roman" w:cs="Times New Roman" w:eastAsia="Times New Roman" w:hAnsi="Times New Roman"/>
          <w:sz w:val="21"/>
          <w:szCs w:val="21"/>
          <w:color w:val="auto"/>
        </w:rPr>
      </w:pPr>
    </w:p>
    <w:p>
      <w:pPr>
        <w:jc w:val="both"/>
        <w:ind w:left="-480" w:firstLine="638"/>
        <w:spacing w:after="0" w:line="239" w:lineRule="auto"/>
        <w:tabs>
          <w:tab w:leader="none" w:pos="792"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each Lender and each L/C Issuer shall promptly (A) notify the Borrower and the Administrative Agent (if applicable) of any change in circumstances which would modify or render invalid any claimed exemption or reduction, and (B) take such steps as shall not be disadvantageous to it, in the reasonable judgment of such Person, and as may be reasonably necessary (including, in the case of any Lender, the re-designation of its Lending Office) to avoid any requirement of applicable Laws of any jurisdiction that any Loan Party or the Administrative Agent make any withholding or deduction for Taxes from amounts payable to such Person.</w:t>
      </w:r>
    </w:p>
    <w:p>
      <w:pPr>
        <w:spacing w:after="0" w:line="173" w:lineRule="exact"/>
        <w:rPr>
          <w:rFonts w:ascii="Times New Roman" w:cs="Times New Roman" w:eastAsia="Times New Roman" w:hAnsi="Times New Roman"/>
          <w:sz w:val="21"/>
          <w:szCs w:val="21"/>
          <w:color w:val="auto"/>
        </w:rPr>
      </w:pPr>
    </w:p>
    <w:p>
      <w:pPr>
        <w:jc w:val="both"/>
        <w:ind w:left="-480" w:firstLine="638"/>
        <w:spacing w:after="0" w:line="244" w:lineRule="auto"/>
        <w:tabs>
          <w:tab w:leader="none" w:pos="78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promptly deliver to the Administrative Agent, any Lender or any L/C Issuer, as the Administrative Agent, such Lender or such L/C Issuer shall reasonably request in writing, in a timely fashion after the Effective Date, such documents and forms required by any relevant taxing authorities under the Laws of any jurisdiction, duly executed and completed by the Borrower,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0120"/>
          </w:cols>
          <w:pgMar w:left="1440" w:top="1358" w:right="339" w:bottom="1440" w:gutter="0" w:footer="0" w:header="0"/>
        </w:sectPr>
      </w:pPr>
    </w:p>
    <w:bookmarkStart w:id="194" w:name="page195"/>
    <w:bookmarkEnd w:id="194"/>
    <w:p>
      <w:pPr>
        <w:jc w:val="both"/>
        <w:ind w:left="640"/>
        <w:spacing w:after="0" w:line="248" w:lineRule="auto"/>
        <w:rPr>
          <w:sz w:val="20"/>
          <w:szCs w:val="20"/>
          <w:color w:val="auto"/>
        </w:rPr>
      </w:pPr>
      <w:r>
        <w:rPr>
          <w:rFonts w:ascii="Times New Roman" w:cs="Times New Roman" w:eastAsia="Times New Roman" w:hAnsi="Times New Roman"/>
          <w:sz w:val="21"/>
          <w:szCs w:val="21"/>
          <w:color w:val="auto"/>
        </w:rPr>
        <w:t>required to be furnished by the Administrative Agent, such Lender or such L/C Issuer under such Laws in connection with any payment by the Administrative Agent, such Lender or such L/C Issuer of Taxes, or otherwise in connection with the Loan Documents, with respect to such jurisdiction.</w:t>
      </w:r>
    </w:p>
    <w:p>
      <w:pPr>
        <w:spacing w:after="0" w:line="179" w:lineRule="exact"/>
        <w:rPr>
          <w:sz w:val="20"/>
          <w:szCs w:val="20"/>
          <w:color w:val="auto"/>
        </w:rPr>
      </w:pPr>
    </w:p>
    <w:p>
      <w:pPr>
        <w:jc w:val="both"/>
        <w:ind w:firstLine="718"/>
        <w:spacing w:after="0" w:line="254" w:lineRule="auto"/>
        <w:tabs>
          <w:tab w:leader="none" w:pos="126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the Administrative Agent, any Lender or any L/C Issuer determines, in its sole discretion exercised in good faith, that it has received a refund (including, for this purpose, a credit in lieu of a refund) of any Taxes as to which it has been indemnified by the Loan Parties or with respect to which a Loan Party has paid additional amounts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with respect to the Taxes giving rise to such refund), net of all out-of-pocket expenses (including Taxes) incurred by the Administrative Agent, such Lender or such L/C Issuer, as the case may be,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Loan Party, upon the request of the Administrative Agent, such Lender or such L/C Issuer, agrees to repay the amount paid over to such Loan Party to the Administrative Agent, such Lender or such L/C Issuer (plus any penalties, interest or other charges imposed by the relevant Governmental Authority) in the event the Administrative Agent, such Lender or such L/C Issuer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shall not be construed to require the Administrative Agent, any Lender or any L/C Issuer to make available its Tax returns (or any other information relating to its Taxes that it deems confidential) to the Loan Parties or any other Person.</w:t>
      </w:r>
    </w:p>
    <w:p>
      <w:pPr>
        <w:spacing w:after="0" w:line="186"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Withholding Documentation</w:t>
      </w:r>
      <w:r>
        <w:rPr>
          <w:rFonts w:ascii="Times New Roman" w:cs="Times New Roman" w:eastAsia="Times New Roman" w:hAnsi="Times New Roman"/>
          <w:sz w:val="21"/>
          <w:szCs w:val="21"/>
          <w:color w:val="auto"/>
        </w:rPr>
        <w:t xml:space="preserve">. If a payment made to a Lender under this Agreement may be subject to United States federal withholding Tax under FATCA, such Lender shall deliver to the Borrower and the Administrative Agent, at the time or times prescribed by applicable Law and at such time or times reasonably requested by the Borrower or the Administrative Agent, such documentation prescribed by applicable Law and such additional documentation reasonably requested by the Borrower or the Administrative Agent to comply with its withholding obligations,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“FATCA” shall include any amendments made to FATCA after the Effective Date.</w:t>
      </w:r>
    </w:p>
    <w:p>
      <w:pPr>
        <w:spacing w:after="0" w:line="170" w:lineRule="exact"/>
        <w:rPr>
          <w:rFonts w:ascii="Times New Roman" w:cs="Times New Roman" w:eastAsia="Times New Roman" w:hAnsi="Times New Roman"/>
          <w:sz w:val="21"/>
          <w:szCs w:val="21"/>
          <w:color w:val="auto"/>
        </w:rPr>
      </w:pPr>
    </w:p>
    <w:p>
      <w:pPr>
        <w:ind w:right="20" w:firstLine="718"/>
        <w:spacing w:after="0" w:line="285" w:lineRule="auto"/>
        <w:tabs>
          <w:tab w:leader="none" w:pos="126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term “Lender” includes any L/C Issuer and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358" w:right="339" w:bottom="1440" w:gutter="0" w:footer="0" w:header="0"/>
        </w:sectPr>
      </w:pPr>
    </w:p>
    <w:bookmarkStart w:id="195" w:name="page196"/>
    <w:bookmarkEnd w:id="195"/>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If any Lender determines that any Law has made it unlawful, or that any Governmental Authority has asserted that it is unlawful, for such Lender or its applicable Lending Office to make, maintain or fund Term Benchmark Loans (whether denominated in US Dollars, an Alternative Currency or a Discretionary Alternative Currency), or to determine or charge interest rates based upon the Term SOFR Rate, or any Governmental Authority has imposed material restrictions on the authority of such Lender to purchase or sell, or to take deposits of, US Dollars, any Alternative Currency or a Discretionary Alternative Currency in the applicable offshore interbank market, then, on notice thereof by such Lender to the Borrower through the Administrative Agent, (a) any obligation of such Lender to make or continue Term Benchmark Loans in the affected currency or currencies or, in the case of Term Benchmark Committed Loans denominated in US Dollars, to convert Base Rate Committed Loans to Term Benchmark Committed Loans, will be suspended, and (b) if such notice asserts the illegality of such Lender making or maintaining Base Rate Loans the interest rate on which is determined by reference to the Adjusted Term SOFR Rate component of the Base Rate, the interest rate on which Base Rate Loans of such Lender shall, if necessary to avoid such illegality, be determined by the Administrative Agent without reference to the Adjusted Term SOFR Rate component of the Base Rate, in each case until such Lender notifies the Administrative Agent and Borrower that the circumstances giving rise to such determination no longer exist. Upon receipt of such notice, (i) the Borrower will, upon demand from such Lender (with a copy to the Administrative Agent), prepay such Loans or, if such Loans are denominated in US Dollars, convert to Base Rate Loans all such Term Benchmark Loans of such Lender, either on the last day of the Interest Period therefor, if such Lender may lawfully continue to maintain such Term Benchmark Loans to such day, or immediately, if such Lender may not lawfully continue to maintain such Term Benchmark Loans, and (ii) if such notice asserts the illegality of such Lender making or maintaining Base Rate Loans the interest on which is determined by reference to Adjusted Term SOFR Rate component of the Base Rate, the Administrative Agent shall during the period of such suspension compute the Base Rate applicable to such Lender without reference to the Adjusted Term SOFR Rate component thereof until the Administrative Agent is advised in writing by such Lender that it is no longer illegal for such Lender to determine or charge interest rates based upon the Term SOFR Rate. Upon any such prepayment or conversion, the Borrower will also pay accrued interest on the amount so prepaid or converted.</w:t>
      </w:r>
    </w:p>
    <w:p>
      <w:pPr>
        <w:spacing w:after="0" w:line="199" w:lineRule="exact"/>
        <w:rPr>
          <w:sz w:val="20"/>
          <w:szCs w:val="20"/>
          <w:color w:val="auto"/>
        </w:rPr>
      </w:pPr>
    </w:p>
    <w:p>
      <w:pPr>
        <w:ind w:left="62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62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1"/>
          <w:szCs w:val="21"/>
          <w:u w:val="single" w:color="auto"/>
          <w:color w:val="auto"/>
        </w:rPr>
        <w:t>Increased Costs; Additional Reserve Requirements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280" w:hanging="562"/>
        <w:spacing w:after="0"/>
        <w:tabs>
          <w:tab w:leader="none" w:pos="128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will:</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0"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liquidity, compulsory loan, insurance charge or similar requirement against assets of, deposits with or for the account of, or credit extended or participated in by, any Lender or any L/C Issuer;</w:t>
      </w:r>
    </w:p>
    <w:p>
      <w:pPr>
        <w:spacing w:after="0" w:line="153" w:lineRule="exact"/>
        <w:rPr>
          <w:rFonts w:ascii="Times New Roman" w:cs="Times New Roman" w:eastAsia="Times New Roman" w:hAnsi="Times New Roman"/>
          <w:sz w:val="21"/>
          <w:szCs w:val="21"/>
          <w:color w:val="auto"/>
        </w:rPr>
      </w:pPr>
    </w:p>
    <w:p>
      <w:pPr>
        <w:ind w:left="640" w:firstLine="638"/>
        <w:spacing w:after="0" w:line="285" w:lineRule="auto"/>
        <w:tabs>
          <w:tab w:leader="none" w:pos="190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the Administrative Agent, any Lender or any L/C Issuer to any Tax on its loans, loan principal, letters of credit, commitments or other obligations, or its deposits, reserves, other liabilities or capital attributable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146" w:right="339" w:bottom="1440" w:gutter="0" w:footer="0" w:header="0"/>
        </w:sectPr>
      </w:pPr>
    </w:p>
    <w:bookmarkStart w:id="196" w:name="page197"/>
    <w:bookmarkEnd w:id="196"/>
    <w:p>
      <w:pPr>
        <w:ind w:left="640"/>
        <w:spacing w:after="0" w:line="285" w:lineRule="auto"/>
        <w:rPr>
          <w:sz w:val="20"/>
          <w:szCs w:val="20"/>
          <w:color w:val="auto"/>
        </w:rPr>
      </w:pPr>
      <w:r>
        <w:rPr>
          <w:rFonts w:ascii="Times New Roman" w:cs="Times New Roman" w:eastAsia="Times New Roman" w:hAnsi="Times New Roman"/>
          <w:sz w:val="21"/>
          <w:szCs w:val="21"/>
          <w:color w:val="auto"/>
        </w:rPr>
        <w:t xml:space="preserve">(except for Indemnified Taxes or Other Taxes covered by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the imposition of, or any change in the rate of, any Excluded Tax payable by the Administrative Agent, such Lender or such L/C Issuer); or</w:t>
      </w:r>
    </w:p>
    <w:p>
      <w:pPr>
        <w:spacing w:after="0" w:line="142" w:lineRule="exact"/>
        <w:rPr>
          <w:sz w:val="20"/>
          <w:szCs w:val="20"/>
          <w:color w:val="auto"/>
        </w:rPr>
      </w:pPr>
    </w:p>
    <w:p>
      <w:pPr>
        <w:jc w:val="both"/>
        <w:ind w:left="640" w:firstLine="638"/>
        <w:spacing w:after="0" w:line="274" w:lineRule="auto"/>
        <w:tabs>
          <w:tab w:leader="none" w:pos="191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L/C Issuer or the applicable offshore interbank market any other condition, cost or expense (other than Taxes) affecting this Agreement or Loans made by such Lender or any Letter of Credit or participation therein;</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and the result of any of the foregoing will be to increase the cost to the Administrative Agent or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the Administrative Agent, such Lender or such L/C Issuer hereunder (whether of principal, interest or any other amount) then, upon request of the Administrative Agent, such Lender or such L/C Issuer, as the case may be,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w:t>
      </w:r>
    </w:p>
    <w:p>
      <w:pPr>
        <w:spacing w:after="0" w:line="171" w:lineRule="exact"/>
        <w:rPr>
          <w:sz w:val="20"/>
          <w:szCs w:val="20"/>
          <w:color w:val="auto"/>
        </w:rPr>
      </w:pPr>
    </w:p>
    <w:p>
      <w:pPr>
        <w:jc w:val="both"/>
        <w:ind w:firstLine="718"/>
        <w:spacing w:after="0" w:line="257" w:lineRule="auto"/>
        <w:tabs>
          <w:tab w:leader="none" w:pos="1264"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or Liquidity Requirements</w:t>
      </w:r>
      <w:r>
        <w:rPr>
          <w:rFonts w:ascii="Times New Roman" w:cs="Times New Roman" w:eastAsia="Times New Roman" w:hAnsi="Times New Roman"/>
          <w:sz w:val="21"/>
          <w:szCs w:val="21"/>
          <w:color w:val="auto"/>
        </w:rPr>
        <w:t>. If any Lender or any L/C Issuer determines that any Change in Law affecting such Lender or such L/C Issuer or any Lending Office of such Lender, or such Lender’s or such L/C Issuer’s holding company, if any, regarding capital or liquidity requirements has had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its holding company could have achieved but for such Change in Law (taking into consideration such Lender’s or such L/C Issuer’s or its holding company’s policies with respect to capital adequacy or liquidity), then from time to time the Borrower upon request of such Lender or such L/C Issuer, as the case may be, will pay to such Lender or such L/C Issuer, as the case may be, such additional amount or amounts as will compensate such Lender or such L/C Issuer or its holding company for any such reduction suffered.</w:t>
      </w:r>
    </w:p>
    <w:p>
      <w:pPr>
        <w:spacing w:after="0" w:line="170" w:lineRule="exact"/>
        <w:rPr>
          <w:rFonts w:ascii="Times New Roman" w:cs="Times New Roman" w:eastAsia="Times New Roman" w:hAnsi="Times New Roman"/>
          <w:sz w:val="21"/>
          <w:szCs w:val="21"/>
          <w:color w:val="auto"/>
        </w:rPr>
      </w:pPr>
    </w:p>
    <w:p>
      <w:pPr>
        <w:jc w:val="both"/>
        <w:ind w:firstLine="718"/>
        <w:spacing w:after="0" w:line="266" w:lineRule="auto"/>
        <w:tabs>
          <w:tab w:leader="none" w:pos="126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 certificate of a Lender or an L/C Issuer setting forth the amount or amounts necessary to compensate such Lender or such L/C Issuer or its holding company, as the case may be, as specified in </w:t>
      </w:r>
      <w:r>
        <w:rPr>
          <w:rFonts w:ascii="Times New Roman" w:cs="Times New Roman" w:eastAsia="Times New Roman" w:hAnsi="Times New Roman"/>
          <w:sz w:val="21"/>
          <w:szCs w:val="21"/>
          <w:u w:val="single" w:color="auto"/>
          <w:color w:val="auto"/>
        </w:rPr>
        <w:t>Section 3.04(a)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3.04(b)</w:t>
      </w:r>
      <w:r>
        <w:rPr>
          <w:rFonts w:ascii="Times New Roman" w:cs="Times New Roman" w:eastAsia="Times New Roman" w:hAnsi="Times New Roman"/>
          <w:sz w:val="21"/>
          <w:szCs w:val="21"/>
          <w:color w:val="auto"/>
        </w:rPr>
        <w:t xml:space="preserve"> and delivered to the Borrower will be conclusive absent manifest error. The Borrower will pay such Lender or such L/C Issuer, as the case may be,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71" w:right="339" w:bottom="1440" w:gutter="0" w:footer="0" w:header="0"/>
        </w:sectPr>
      </w:pPr>
    </w:p>
    <w:bookmarkStart w:id="197" w:name="page198"/>
    <w:bookmarkEnd w:id="197"/>
    <w:p>
      <w:pPr>
        <w:jc w:val="both"/>
        <w:ind w:firstLine="718"/>
        <w:spacing w:after="0" w:line="257" w:lineRule="auto"/>
        <w:tabs>
          <w:tab w:leader="none" w:pos="126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in Requests</w:t>
      </w:r>
      <w:r>
        <w:rPr>
          <w:rFonts w:ascii="Times New Roman" w:cs="Times New Roman" w:eastAsia="Times New Roman" w:hAnsi="Times New Roman"/>
          <w:sz w:val="21"/>
          <w:szCs w:val="21"/>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will not constitute a waiver of such Lender’s or such L/C Issuer’s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will not be required to compensate a Lender or an L/C Issuer pursuant to the foregoing provisions of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for any increased costs incurred or reductions suffered more than three (3)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three-month period referred to above will be extended to include the period of retroactive effect thereof).</w:t>
      </w:r>
    </w:p>
    <w:p>
      <w:pPr>
        <w:spacing w:after="0" w:line="183" w:lineRule="exact"/>
        <w:rPr>
          <w:rFonts w:ascii="Times New Roman" w:cs="Times New Roman" w:eastAsia="Times New Roman" w:hAnsi="Times New Roman"/>
          <w:sz w:val="21"/>
          <w:szCs w:val="21"/>
          <w:color w:val="auto"/>
        </w:rPr>
      </w:pPr>
    </w:p>
    <w:p>
      <w:pPr>
        <w:jc w:val="both"/>
        <w:ind w:firstLine="718"/>
        <w:spacing w:after="0" w:line="261" w:lineRule="auto"/>
        <w:tabs>
          <w:tab w:leader="none" w:pos="126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Agreements</w:t>
      </w:r>
      <w:r>
        <w:rPr>
          <w:rFonts w:ascii="Times New Roman" w:cs="Times New Roman" w:eastAsia="Times New Roman" w:hAnsi="Times New Roman"/>
          <w:sz w:val="21"/>
          <w:szCs w:val="21"/>
          <w:color w:val="auto"/>
        </w:rPr>
        <w:t xml:space="preserve">. With respect to amounts due under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as a result of any Change in Law, the claim for additional amounts shall be generally consistent with such Lender’s or such L/C Issuer’s treatment of customers of such Lender or such L/C Issuer that such Lender or such L/C Issuer considers, in its reasonable discretion, to be similarly situated to the Borrower and having generally similar provisions in their credit agreements with such Lender or such L/C Issuer.</w:t>
      </w:r>
    </w:p>
    <w:p>
      <w:pPr>
        <w:spacing w:after="0" w:line="169" w:lineRule="exact"/>
        <w:rPr>
          <w:sz w:val="20"/>
          <w:szCs w:val="20"/>
          <w:color w:val="auto"/>
        </w:rPr>
      </w:pPr>
    </w:p>
    <w:p>
      <w:pPr>
        <w:ind w:left="62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3.05.</w:t>
      </w:r>
      <w:r>
        <w:rPr>
          <w:sz w:val="20"/>
          <w:szCs w:val="20"/>
          <w:color w:val="auto"/>
        </w:rPr>
        <w:tab/>
      </w:r>
      <w:r>
        <w:rPr>
          <w:rFonts w:ascii="Times New Roman" w:cs="Times New Roman" w:eastAsia="Times New Roman" w:hAnsi="Times New Roman"/>
          <w:sz w:val="21"/>
          <w:szCs w:val="21"/>
          <w:u w:val="single" w:color="auto"/>
          <w:color w:val="auto"/>
        </w:rPr>
        <w:t>Compensation for Losses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42"/>
        <w:spacing w:after="0" w:line="255" w:lineRule="auto"/>
        <w:tabs>
          <w:tab w:leader="none" w:pos="1269"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Term Benchmark Loans, upon demand of any Lender (with a copy to the Administrative Agent) from time to time, the Borrower will promptly compensate such Lender for and hold such Lender harmless from any loss, cost or expense incurred by it as a result of (i) any continuation, conversion, payment or prepayment of any Term Benchmark Loan on a day other than the last day of the Interest Period for such Loan (whether voluntary, mandatory, automatic, by reason of acceleration, or otherwise), (ii) any failure by the Borrower (for a reason other than the failure of such Lender to make a Loan) to prepay, borrow, continue or convert any Term Benchmark Loan on the date or in the amount notified by the Borrower (whether or not any such notice may be revoked in accordance herewith), (iii) any failure by the Borrower to make payment of any Term Benchmark Loan or drawing under any Letter of Credit (or interest due thereon) denominated in an Alternative Currency on its scheduled due date or any payment thereof in a different currency; or (iv) any assignment of a Term Benchmark Loan on a day other than the last day of the Interest Period therefor as a result of a request by the Borrower pursuant to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w:t>
      </w:r>
    </w:p>
    <w:p>
      <w:pPr>
        <w:spacing w:after="0" w:line="1" w:lineRule="exact"/>
        <w:rPr>
          <w:rFonts w:ascii="Times New Roman" w:cs="Times New Roman" w:eastAsia="Times New Roman" w:hAnsi="Times New Roman"/>
          <w:sz w:val="21"/>
          <w:szCs w:val="21"/>
          <w:color w:val="auto"/>
        </w:rPr>
      </w:pPr>
    </w:p>
    <w:p>
      <w:pPr>
        <w:ind w:left="420" w:hanging="414"/>
        <w:spacing w:after="0"/>
        <w:tabs>
          <w:tab w:leader="none" w:pos="4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receipt thereof.</w:t>
      </w:r>
    </w:p>
    <w:p>
      <w:pPr>
        <w:spacing w:after="0" w:line="198" w:lineRule="exact"/>
        <w:rPr>
          <w:rFonts w:ascii="Times New Roman" w:cs="Times New Roman" w:eastAsia="Times New Roman" w:hAnsi="Times New Roman"/>
          <w:sz w:val="21"/>
          <w:szCs w:val="21"/>
          <w:color w:val="auto"/>
        </w:rPr>
      </w:pPr>
    </w:p>
    <w:p>
      <w:pPr>
        <w:jc w:val="both"/>
        <w:ind w:firstLine="642"/>
        <w:spacing w:after="0" w:line="267" w:lineRule="auto"/>
        <w:tabs>
          <w:tab w:leader="none" w:pos="1267"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RFR Loans, in the event of (i) the payment of any principal of any RFR Loan other than on the Interest Payment Date applicable thereto (including as a result of an Event of Default or as a result of any prepayment pursuant to Section 2.05), (ii) the failure to borrow or prepay any RFR Loan on the date specified in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371" w:right="339" w:bottom="1440" w:gutter="0" w:footer="0" w:header="0"/>
        </w:sectPr>
      </w:pPr>
    </w:p>
    <w:bookmarkStart w:id="198" w:name="page199"/>
    <w:bookmarkEnd w:id="198"/>
    <w:p>
      <w:pPr>
        <w:jc w:val="both"/>
        <w:spacing w:after="0" w:line="259" w:lineRule="auto"/>
        <w:rPr>
          <w:sz w:val="20"/>
          <w:szCs w:val="20"/>
          <w:color w:val="auto"/>
        </w:rPr>
      </w:pPr>
      <w:r>
        <w:rPr>
          <w:rFonts w:ascii="Times New Roman" w:cs="Times New Roman" w:eastAsia="Times New Roman" w:hAnsi="Times New Roman"/>
          <w:sz w:val="21"/>
          <w:szCs w:val="21"/>
          <w:color w:val="auto"/>
        </w:rPr>
        <w:t>delivered pursuant hereto (regardless of whether such notice may be revoked under Section 2.05(a) and is revoked in accordance therewith) or (iii) the assignment of any RFR Loan other than on the Interest Payment Date applicable thereto as a result of a request by the Borrower pursuant to Section 3.06,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72" w:lineRule="exact"/>
        <w:rPr>
          <w:sz w:val="20"/>
          <w:szCs w:val="20"/>
          <w:color w:val="auto"/>
        </w:rPr>
      </w:pPr>
    </w:p>
    <w:p>
      <w:pPr>
        <w:jc w:val="both"/>
        <w:ind w:firstLine="624"/>
        <w:spacing w:after="0" w:line="254"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Mitigation Obligations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the Loan Parties are required to pay any additional amount to any Lender, any L/C Issuer or any Governmental Authority for the account of any Lender or any L/C Issuer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or any L/C Issuer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such Lender or such L/C Issuer, as applicable, will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(a)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as applicable, and (b) in each case, would not subject such Lender or such L/C Issuer to any unreimbursed cost or expense and would not otherwise be disadvantageous to such Lender or such L/C Issuer. The Loan Parties hereby agree to pay all reasonable costs and expenses incurred by any Lender or any L/C Issuer in connection with any such designation or assignment.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9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Each party’s obligations under this Article III will survive the resignation or replacement of the Administrative Agent or any assignment of rights by, or the replacement of, a Lender, the termination of the Aggregate Commitments and the 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371" w:right="339" w:bottom="1440" w:gutter="0" w:footer="0" w:header="0"/>
        </w:sectPr>
      </w:pPr>
    </w:p>
    <w:bookmarkStart w:id="199" w:name="page200"/>
    <w:bookmarkEnd w:id="199"/>
    <w:p>
      <w:pPr>
        <w:ind w:left="5200"/>
        <w:spacing w:after="0"/>
        <w:rPr>
          <w:sz w:val="20"/>
          <w:szCs w:val="20"/>
          <w:color w:val="auto"/>
        </w:rPr>
      </w:pPr>
      <w:r>
        <w:rPr>
          <w:rFonts w:ascii="Times New Roman" w:cs="Times New Roman" w:eastAsia="Times New Roman" w:hAnsi="Times New Roman"/>
          <w:sz w:val="21"/>
          <w:szCs w:val="21"/>
          <w:color w:val="auto"/>
        </w:rPr>
        <w:t>ARTICLE IV</w:t>
      </w: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u w:val="single" w:color="auto"/>
          <w:color w:val="auto"/>
        </w:rPr>
        <w:t>CONDITIONS PRECEDENT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Conditions to Effectiveness</w:t>
      </w:r>
      <w:r>
        <w:rPr>
          <w:rFonts w:ascii="Times New Roman" w:cs="Times New Roman" w:eastAsia="Times New Roman" w:hAnsi="Times New Roman"/>
          <w:sz w:val="21"/>
          <w:szCs w:val="21"/>
          <w:color w:val="auto"/>
        </w:rPr>
        <w:t xml:space="preserve">. This Agreement and the obligations of the Lenders to make Loans and of the L/C Issuers to issue Letters of Credit hereunder </w:t>
      </w:r>
      <w:r>
        <w:rPr>
          <w:rFonts w:ascii="Times New Roman" w:cs="Times New Roman" w:eastAsia="Times New Roman" w:hAnsi="Times New Roman"/>
          <w:sz w:val="21"/>
          <w:szCs w:val="21"/>
          <w:b w:val="1"/>
          <w:bCs w:val="1"/>
          <w:color w:val="FF0000"/>
          <w:strike w:val="1"/>
        </w:rPr>
        <w:t>shall not become</w:t>
      </w:r>
      <w:r>
        <w:rPr>
          <w:rFonts w:ascii="Times New Roman" w:cs="Times New Roman" w:eastAsia="Times New Roman" w:hAnsi="Times New Roman"/>
          <w:sz w:val="21"/>
          <w:szCs w:val="21"/>
          <w:b w:val="1"/>
          <w:bCs w:val="1"/>
          <w:u w:val="single" w:color="auto"/>
          <w:color w:val="0000FF"/>
        </w:rPr>
        <w:t>became</w:t>
      </w:r>
      <w:r>
        <w:rPr>
          <w:rFonts w:ascii="Times New Roman" w:cs="Times New Roman" w:eastAsia="Times New Roman" w:hAnsi="Times New Roman"/>
          <w:sz w:val="21"/>
          <w:szCs w:val="21"/>
          <w:color w:val="auto"/>
        </w:rPr>
        <w:t xml:space="preserve"> effective </w:t>
      </w:r>
      <w:r>
        <w:rPr>
          <w:rFonts w:ascii="Times New Roman" w:cs="Times New Roman" w:eastAsia="Times New Roman" w:hAnsi="Times New Roman"/>
          <w:sz w:val="21"/>
          <w:szCs w:val="21"/>
          <w:b w:val="1"/>
          <w:bCs w:val="1"/>
          <w:color w:val="FF0000"/>
          <w:strike w:val="1"/>
        </w:rPr>
        <w:t>until</w:t>
      </w:r>
      <w:r>
        <w:rPr>
          <w:rFonts w:ascii="Times New Roman" w:cs="Times New Roman" w:eastAsia="Times New Roman" w:hAnsi="Times New Roman"/>
          <w:sz w:val="21"/>
          <w:szCs w:val="21"/>
          <w:b w:val="1"/>
          <w:bCs w:val="1"/>
          <w:u w:val="single" w:color="auto"/>
          <w:color w:val="0000FF"/>
        </w:rPr>
        <w:t>on</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0000FF"/>
        </w:rPr>
        <w:t>Effective Date</w:t>
      </w:r>
      <w:r>
        <w:rPr>
          <w:rFonts w:ascii="Times New Roman" w:cs="Times New Roman" w:eastAsia="Times New Roman" w:hAnsi="Times New Roman"/>
          <w:sz w:val="21"/>
          <w:szCs w:val="21"/>
          <w:color w:val="auto"/>
        </w:rPr>
        <w:t xml:space="preserve"> date on which each of the following conditions </w:t>
      </w:r>
      <w:r>
        <w:rPr>
          <w:rFonts w:ascii="Times New Roman" w:cs="Times New Roman" w:eastAsia="Times New Roman" w:hAnsi="Times New Roman"/>
          <w:sz w:val="21"/>
          <w:szCs w:val="21"/>
          <w:b w:val="1"/>
          <w:bCs w:val="1"/>
          <w:color w:val="FF0000"/>
          <w:strike w:val="1"/>
        </w:rPr>
        <w:t>shall be</w:t>
      </w:r>
      <w:r>
        <w:rPr>
          <w:rFonts w:ascii="Times New Roman" w:cs="Times New Roman" w:eastAsia="Times New Roman" w:hAnsi="Times New Roman"/>
          <w:sz w:val="21"/>
          <w:szCs w:val="21"/>
          <w:b w:val="1"/>
          <w:bCs w:val="1"/>
          <w:u w:val="single" w:color="auto"/>
          <w:color w:val="0000FF"/>
        </w:rPr>
        <w:t>was</w:t>
      </w:r>
      <w:r>
        <w:rPr>
          <w:rFonts w:ascii="Times New Roman" w:cs="Times New Roman" w:eastAsia="Times New Roman" w:hAnsi="Times New Roman"/>
          <w:sz w:val="21"/>
          <w:szCs w:val="21"/>
          <w:color w:val="auto"/>
        </w:rPr>
        <w:t xml:space="preserve"> satisfied (or waived in accordance with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42"/>
        <w:spacing w:after="0" w:line="267" w:lineRule="auto"/>
        <w:tabs>
          <w:tab w:leader="none" w:pos="126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Agent’s receipt from each party hereto a counterpart of this Agreement signed on behalf of such party (which, subject to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may include any Electronic Signatures transmitted by telecopy, emailed pdf, or any other electronic means that reproduces an image of an actual executed signature page).</w:t>
      </w:r>
    </w:p>
    <w:p>
      <w:pPr>
        <w:spacing w:after="0" w:line="174" w:lineRule="exact"/>
        <w:rPr>
          <w:rFonts w:ascii="Times New Roman" w:cs="Times New Roman" w:eastAsia="Times New Roman" w:hAnsi="Times New Roman"/>
          <w:sz w:val="21"/>
          <w:szCs w:val="21"/>
          <w:color w:val="auto"/>
        </w:rPr>
      </w:pPr>
    </w:p>
    <w:p>
      <w:pPr>
        <w:jc w:val="both"/>
        <w:ind w:firstLine="642"/>
        <w:spacing w:after="0" w:line="267" w:lineRule="auto"/>
        <w:tabs>
          <w:tab w:leader="none" w:pos="126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Agent’s receipt of the following, each of which may be delivered by facsimile or other electronic transmission (including “pdf” and “tif”), followed promptly after the Effective Date by originals;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delivery of any originals shall not be a condition precedent to the Effective Date:</w:t>
      </w:r>
    </w:p>
    <w:p>
      <w:pPr>
        <w:spacing w:after="0" w:line="161" w:lineRule="exact"/>
        <w:rPr>
          <w:rFonts w:ascii="Times New Roman" w:cs="Times New Roman" w:eastAsia="Times New Roman" w:hAnsi="Times New Roman"/>
          <w:sz w:val="21"/>
          <w:szCs w:val="21"/>
          <w:color w:val="auto"/>
        </w:rPr>
      </w:pPr>
    </w:p>
    <w:p>
      <w:pPr>
        <w:jc w:val="both"/>
        <w:ind w:left="640" w:firstLine="638"/>
        <w:spacing w:after="0" w:line="257" w:lineRule="auto"/>
        <w:tabs>
          <w:tab w:leader="none" w:pos="190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dated the Effective Date and signed by a Responsible Officer of each of the Loan Parties, (A) certifying and attaching a copy of the resolutions adopted by such Loan Party authorizing the execution, delivery and performance of this Agreement and, if applicable, the Notes, (B) certifying as to the incumbency and specimen signature of each Responsible Officer executing this Agreement and, if applicable, the Notes, on behalf of such Person, (C) attaching a good standing certificate (or the local equivalent, to the extent applicable in the relevant jurisdiction) and a certificate of incorporation (or the local equivalent) evidencing that such Loan Party is validly existing and in good standing (or the local equivalent, to the extent applicable in the relevant jurisdiction) in its jurisdiction of organization and (D) certifying and attaching a true and complete copy of the Organization Documents of such Loan Party (where customary and applicable, certified by the relevant Governmental Authority);</w:t>
      </w:r>
    </w:p>
    <w:p>
      <w:pPr>
        <w:spacing w:after="0" w:line="176" w:lineRule="exact"/>
        <w:rPr>
          <w:rFonts w:ascii="Times New Roman" w:cs="Times New Roman" w:eastAsia="Times New Roman" w:hAnsi="Times New Roman"/>
          <w:sz w:val="21"/>
          <w:szCs w:val="21"/>
          <w:color w:val="auto"/>
        </w:rPr>
      </w:pPr>
    </w:p>
    <w:p>
      <w:pPr>
        <w:jc w:val="both"/>
        <w:ind w:left="640" w:firstLine="638"/>
        <w:spacing w:after="0" w:line="259" w:lineRule="auto"/>
        <w:tabs>
          <w:tab w:leader="none" w:pos="1906"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dated the Effective Date and signed by a Responsible Officer of the Borrower, certifying that (A) the representations and warranties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are true and correct (1) in the case of the representations and warranties qualified as to materiality, in all respects and (2) otherwise, in all material respects, in each case on and as of the Effective Date, except to the extent that such representations and warranties specifically refer to an earlier date, in which case they are so true and correct as of such earlier date, and (B) on and as of the Effective Date, no Default has occurred and is continuing; and</w:t>
      </w:r>
    </w:p>
    <w:p>
      <w:pPr>
        <w:spacing w:after="0" w:line="172"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1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executed legal opinion of Pillsbury Winthrop Shaw Pittman LLP, counsel to the Loan Parties, addressed to the Administrative Agent, each L/C Issuer and each Lender, dated the Effective Date and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159" w:right="339" w:bottom="1440" w:gutter="0" w:footer="0" w:header="0"/>
        </w:sectPr>
      </w:pPr>
    </w:p>
    <w:bookmarkStart w:id="200" w:name="page201"/>
    <w:bookmarkEnd w:id="200"/>
    <w:p>
      <w:pPr>
        <w:jc w:val="both"/>
        <w:ind w:firstLine="718"/>
        <w:spacing w:after="0" w:line="269" w:lineRule="auto"/>
        <w:tabs>
          <w:tab w:leader="none" w:pos="126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due to the Administrative Agent, the Arrangers and the Lenders pursuant to this Agreement and, to the extent invoiced at least two (2) Business Days prior to the Effective Date, all reasonable and documented expenses to be paid or reimbursed to the Administrative Agent and the Arrangers on or prior to the Effective Date pursuant to this Agreement shall have been paid.</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(d) shall be deemed to be satisfied).</w:t>
      </w:r>
    </w:p>
    <w:p>
      <w:pPr>
        <w:spacing w:after="0" w:line="171"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 xml:space="preserve">Without limiting the generality of the provisions of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for purposes of determining compliance with the conditions specified in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each Lender will be deemed to have consented to, approved or accepted, or to be satisfied with, each document or other matter referred to in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unless the Administrative Agent will have received notice from such Lender prior to the proposed Effective Date, specifying its objection thereto. The Administrative Agent shall promptly notify in writing the Loan Parties and the Lenders of the occurrence of the Effective Date, and such notice shall be conclusive and binding.</w:t>
      </w:r>
    </w:p>
    <w:p>
      <w:pPr>
        <w:spacing w:after="0" w:line="166"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Conditions to all Credit Extensions</w:t>
      </w:r>
      <w:r>
        <w:rPr>
          <w:rFonts w:ascii="Times New Roman" w:cs="Times New Roman" w:eastAsia="Times New Roman" w:hAnsi="Times New Roman"/>
          <w:sz w:val="21"/>
          <w:szCs w:val="21"/>
          <w:color w:val="auto"/>
        </w:rPr>
        <w:t xml:space="preserve">. The obligation of each Lender to honor any Request for Credit Extension (other than a Committed Loan Notice requesting only a conversion of Committed Borrowings of one Type to the other Type, or a continuation of Term Benchmark Committed Loans) on and after the Effective Date is, subject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(as relating to Acquisition-Related Incremental Term Loans), subject to the following conditions precedent:</w:t>
      </w:r>
    </w:p>
    <w:p>
      <w:pPr>
        <w:spacing w:after="0" w:line="162" w:lineRule="exact"/>
        <w:rPr>
          <w:sz w:val="20"/>
          <w:szCs w:val="20"/>
          <w:color w:val="auto"/>
        </w:rPr>
      </w:pPr>
    </w:p>
    <w:p>
      <w:pPr>
        <w:jc w:val="both"/>
        <w:ind w:firstLine="718"/>
        <w:spacing w:after="0" w:line="266" w:lineRule="auto"/>
        <w:tabs>
          <w:tab w:leader="none" w:pos="126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will be true and correct (i) in the case of the representations and warranties qualified as to materiality, in all respects and (ii) otherwise, in all material respects, in each case on and as of the date of such Credit Extension, except to the extent that such representations and warranties specifically refer to an earlier date, in which case they will be so true and correct as of such earlier date.</w:t>
      </w:r>
    </w:p>
    <w:p>
      <w:pPr>
        <w:spacing w:after="0" w:line="161"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exists or would immediately result from such proposed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371" w:right="339" w:bottom="1440" w:gutter="0" w:footer="0" w:header="0"/>
        </w:sectPr>
      </w:pPr>
    </w:p>
    <w:bookmarkStart w:id="201" w:name="page202"/>
    <w:bookmarkEnd w:id="201"/>
    <w:p>
      <w:pPr>
        <w:ind w:firstLine="718"/>
        <w:spacing w:after="0" w:line="285" w:lineRule="auto"/>
        <w:tabs>
          <w:tab w:leader="none" w:pos="126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if applicable, the applicable L/C Issuer will have received a Request for Credit Extension in accordance with the requirements hereof.</w:t>
      </w:r>
    </w:p>
    <w:p>
      <w:pPr>
        <w:spacing w:after="0" w:line="14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 xml:space="preserve">Each Request for Credit Extension on and after the Effective Date (other than a Committed Loan Notice requesting a conversion of Committed Borrowings denominated in US Dollars to the other Type or a continuation of Term Benchmark Committed Borrowings) submitted by the Borrower will be deemed to be a representation and warranty that the conditions specified in </w:t>
      </w:r>
      <w:r>
        <w:rPr>
          <w:rFonts w:ascii="Times New Roman" w:cs="Times New Roman" w:eastAsia="Times New Roman" w:hAnsi="Times New Roman"/>
          <w:sz w:val="21"/>
          <w:szCs w:val="21"/>
          <w:u w:val="single" w:color="auto"/>
          <w:color w:val="auto"/>
        </w:rPr>
        <w:t>Sections 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4.02(b)</w:t>
      </w:r>
      <w:r>
        <w:rPr>
          <w:rFonts w:ascii="Times New Roman" w:cs="Times New Roman" w:eastAsia="Times New Roman" w:hAnsi="Times New Roman"/>
          <w:sz w:val="21"/>
          <w:szCs w:val="21"/>
          <w:color w:val="auto"/>
        </w:rPr>
        <w:t xml:space="preserve"> have been satisfied on and as of the date of the applicable Credit Extension.</w:t>
      </w:r>
    </w:p>
    <w:p>
      <w:pPr>
        <w:spacing w:after="0" w:line="1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ARTICLE V</w:t>
      </w:r>
    </w:p>
    <w:p>
      <w:pPr>
        <w:spacing w:after="0" w:line="20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u w:val="single" w:color="auto"/>
          <w:color w:val="auto"/>
        </w:rPr>
        <w:t>REPRESENTATIONS AND WARRANTIES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Borrower and the other Loan Parties represents and warrants to the Administrative Agent and the Lenders that:</w:t>
      </w:r>
    </w:p>
    <w:p>
      <w:pPr>
        <w:spacing w:after="0" w:line="22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Existence, Qualification and Power</w:t>
      </w:r>
      <w:r>
        <w:rPr>
          <w:rFonts w:ascii="Times New Roman" w:cs="Times New Roman" w:eastAsia="Times New Roman" w:hAnsi="Times New Roman"/>
          <w:sz w:val="21"/>
          <w:szCs w:val="21"/>
          <w:color w:val="auto"/>
        </w:rPr>
        <w:t xml:space="preserve">. Borrower and each Material Subsidiary (a) is duly organized or formed, validly existing and in good standing (or the local equivalent) under the Laws of the jurisdiction of its incorporation or organization, (b) has all requisite power, capacity and authority and all requisite governmental licenses, authorizations, consents and approvals to (i) own or lease its assets and carry on its business and (ii) in the case of any Loan Party, execute, deliver and perform its obligations under the Loan Documents to which it is a party, and (c) is duly qualified and is licensed and in good standing (or the local equivalent)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(other than as to any Loan Party), </w:t>
      </w:r>
      <w:r>
        <w:rPr>
          <w:rFonts w:ascii="Times New Roman" w:cs="Times New Roman" w:eastAsia="Times New Roman" w:hAnsi="Times New Roman"/>
          <w:sz w:val="21"/>
          <w:szCs w:val="21"/>
          <w:u w:val="single" w:color="auto"/>
          <w:color w:val="auto"/>
        </w:rPr>
        <w:t>(b)(i)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to the extent that failure to do so, individually or in the aggregate, would not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Authorization; No Contravention</w:t>
      </w:r>
      <w:r>
        <w:rPr>
          <w:rFonts w:ascii="Times New Roman" w:cs="Times New Roman" w:eastAsia="Times New Roman" w:hAnsi="Times New Roman"/>
          <w:sz w:val="21"/>
          <w:szCs w:val="21"/>
          <w:color w:val="auto"/>
        </w:rPr>
        <w:t xml:space="preserve">. The execution, delivery and performance by each Loan Party of each Loan Document to which such Person is party have been duly authorized by all necessary corporate or other organizational action, and do not and will not (a) contravene the terms of any such Person’s Organization Documents, (b) conflict with or result in any breach or contravention of, or the creation of any Lien under, or require any payment to be made under, any Contractual Obligation to which such Person is a party or affecting such Person or (c) violate any Law, except, in each case referred to in </w:t>
      </w:r>
      <w:r>
        <w:rPr>
          <w:rFonts w:ascii="Times New Roman" w:cs="Times New Roman" w:eastAsia="Times New Roman" w:hAnsi="Times New Roman"/>
          <w:sz w:val="21"/>
          <w:szCs w:val="21"/>
          <w:u w:val="single" w:color="auto"/>
          <w:color w:val="auto"/>
        </w:rPr>
        <w:t>clause</w:t>
      </w:r>
    </w:p>
    <w:p>
      <w:pPr>
        <w:spacing w:after="0" w:line="3" w:lineRule="exact"/>
        <w:rPr>
          <w:sz w:val="20"/>
          <w:szCs w:val="20"/>
          <w:color w:val="auto"/>
        </w:rPr>
      </w:pPr>
    </w:p>
    <w:p>
      <w:pPr>
        <w:ind w:firstLine="6"/>
        <w:spacing w:after="0" w:line="261" w:lineRule="auto"/>
        <w:tabs>
          <w:tab w:leader="none" w:pos="307" w:val="left"/>
        </w:tabs>
        <w:numPr>
          <w:ilvl w:val="0"/>
          <w:numId w:val="14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to the extent that failure to do so, individually or in the aggregate, would not reasonably be expected to have a Material Adverse Effect.</w:t>
      </w:r>
    </w:p>
    <w:p>
      <w:pPr>
        <w:spacing w:after="0" w:line="153"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Material Governmental Authorization</w:t>
      </w:r>
      <w:r>
        <w:rPr>
          <w:rFonts w:ascii="Times New Roman" w:cs="Times New Roman" w:eastAsia="Times New Roman" w:hAnsi="Times New Roman"/>
          <w:sz w:val="21"/>
          <w:szCs w:val="21"/>
          <w:color w:val="auto"/>
        </w:rPr>
        <w:t>. Other than any filings with the SEC and any approvals, authorizations, actions, notices and filings which have been duly obtained, taken, given or made and are in full force and effect, no approval, authorization, or other action by, or notice to, or filing with, any Governmental Authority is necessary or required in connection with the execution, delivery or performance by, or enforcement against, any Loan Party of this Agreement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371" w:right="339" w:bottom="1440" w:gutter="0" w:footer="0" w:header="0"/>
        </w:sectPr>
      </w:pPr>
    </w:p>
    <w:bookmarkStart w:id="202" w:name="page203"/>
    <w:bookmarkEnd w:id="202"/>
    <w:p>
      <w:pPr>
        <w:jc w:val="both"/>
        <w:spacing w:after="0" w:line="285" w:lineRule="auto"/>
        <w:rPr>
          <w:sz w:val="20"/>
          <w:szCs w:val="20"/>
          <w:color w:val="auto"/>
        </w:rPr>
      </w:pPr>
      <w:r>
        <w:rPr>
          <w:rFonts w:ascii="Times New Roman" w:cs="Times New Roman" w:eastAsia="Times New Roman" w:hAnsi="Times New Roman"/>
          <w:sz w:val="21"/>
          <w:szCs w:val="21"/>
          <w:color w:val="auto"/>
        </w:rPr>
        <w:t>Loan Document to which it is a party, except those approvals, authorizations, actions, notices and filings the failure of which to obtain, take, give or make, individually or in the aggregate, would not reasonably be expected to have a Material Adverse Effect.</w:t>
      </w:r>
    </w:p>
    <w:p>
      <w:pPr>
        <w:spacing w:after="0" w:line="12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has been, and each other Loan Document, when delivered hereunder, will have been, duly executed and delivered by each Loan Party that is a party thereto. This Agreement constitutes, and each other Loan Document when so delivered will constitute, a legal, valid and binding obligation of each Loan Party that is a party thereto, in each case enforceable against such Loan Party in accordance with its terms, subject to applicable Debtor Relief Laws and the effect of general principles of equity, whether applied by a court of law or equity.</w:t>
      </w:r>
    </w:p>
    <w:p>
      <w:pPr>
        <w:spacing w:after="0" w:line="153" w:lineRule="exact"/>
        <w:rPr>
          <w:sz w:val="20"/>
          <w:szCs w:val="20"/>
          <w:color w:val="auto"/>
        </w:rPr>
      </w:pPr>
    </w:p>
    <w:p>
      <w:pPr>
        <w:ind w:left="62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5.05.</w:t>
      </w:r>
      <w:r>
        <w:rPr>
          <w:sz w:val="20"/>
          <w:szCs w:val="20"/>
          <w:color w:val="auto"/>
        </w:rPr>
        <w:tab/>
      </w:r>
      <w:r>
        <w:rPr>
          <w:rFonts w:ascii="Times New Roman" w:cs="Times New Roman" w:eastAsia="Times New Roman" w:hAnsi="Times New Roman"/>
          <w:sz w:val="21"/>
          <w:szCs w:val="21"/>
          <w:u w:val="single" w:color="auto"/>
          <w:color w:val="auto"/>
        </w:rPr>
        <w:t>Financial Statements; No Material Adverse Effect</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718"/>
        <w:spacing w:after="0" w:line="260" w:lineRule="auto"/>
        <w:tabs>
          <w:tab w:leader="none" w:pos="126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Audited Financial Statements and the unaudited condensed consolidated balance sheet of the Borrower and its Subsidiaries, and the related unaudited condensed consolidated statements of operations, comprehensive income / (loss), stockholders’ equity and cash flows of the Borrower and its Subsidiaries, as of and for the fiscal quarter ended March 31, </w:t>
      </w:r>
      <w:r>
        <w:rPr>
          <w:rFonts w:ascii="Times New Roman" w:cs="Times New Roman" w:eastAsia="Times New Roman" w:hAnsi="Times New Roman"/>
          <w:sz w:val="21"/>
          <w:szCs w:val="21"/>
          <w:b w:val="1"/>
          <w:bCs w:val="1"/>
          <w:color w:val="FF0000"/>
          <w:strike w:val="1"/>
        </w:rPr>
        <w:t>2021</w:t>
      </w:r>
      <w:r>
        <w:rPr>
          <w:rFonts w:ascii="Times New Roman" w:cs="Times New Roman" w:eastAsia="Times New Roman" w:hAnsi="Times New Roman"/>
          <w:sz w:val="21"/>
          <w:szCs w:val="21"/>
          <w:b w:val="1"/>
          <w:bCs w:val="1"/>
          <w:u w:val="single" w:color="auto"/>
          <w:color w:val="0000FF"/>
        </w:rPr>
        <w:t>2024</w:t>
      </w:r>
      <w:r>
        <w:rPr>
          <w:rFonts w:ascii="Times New Roman" w:cs="Times New Roman" w:eastAsia="Times New Roman" w:hAnsi="Times New Roman"/>
          <w:sz w:val="21"/>
          <w:szCs w:val="21"/>
          <w:color w:val="auto"/>
        </w:rPr>
        <w:t>, have been prepared in accordance with GAAP consistently applied throughout the periods covered thereby, except as otherwise expressly noted therein, and fairly present, in all material respects, the consolidated financial position of the Borrower and its Subsidiaries at such dates and the consolidated results of their operations and cash flows for such periods (subject, in the case of such unaudited financial statements, to the absence of footnotes and to year-end audit adjustments).</w:t>
      </w:r>
    </w:p>
    <w:p>
      <w:pPr>
        <w:spacing w:after="0" w:line="139" w:lineRule="exact"/>
        <w:rPr>
          <w:rFonts w:ascii="Times New Roman" w:cs="Times New Roman" w:eastAsia="Times New Roman" w:hAnsi="Times New Roman"/>
          <w:sz w:val="21"/>
          <w:szCs w:val="21"/>
          <w:color w:val="auto"/>
        </w:rPr>
      </w:pPr>
    </w:p>
    <w:p>
      <w:pPr>
        <w:jc w:val="both"/>
        <w:ind w:firstLine="718"/>
        <w:spacing w:after="0" w:line="263" w:lineRule="auto"/>
        <w:tabs>
          <w:tab w:leader="none" w:pos="126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December 31, </w:t>
      </w:r>
      <w:r>
        <w:rPr>
          <w:rFonts w:ascii="Times New Roman" w:cs="Times New Roman" w:eastAsia="Times New Roman" w:hAnsi="Times New Roman"/>
          <w:sz w:val="21"/>
          <w:szCs w:val="21"/>
          <w:b w:val="1"/>
          <w:bCs w:val="1"/>
          <w:color w:val="FF0000"/>
          <w:strike w:val="1"/>
        </w:rPr>
        <w:t>2020</w:t>
      </w:r>
      <w:r>
        <w:rPr>
          <w:rFonts w:ascii="Times New Roman" w:cs="Times New Roman" w:eastAsia="Times New Roman" w:hAnsi="Times New Roman"/>
          <w:sz w:val="21"/>
          <w:szCs w:val="21"/>
          <w:b w:val="1"/>
          <w:bCs w:val="1"/>
          <w:u w:val="single" w:color="auto"/>
          <w:color w:val="0000FF"/>
        </w:rPr>
        <w:t>2023</w:t>
      </w:r>
      <w:r>
        <w:rPr>
          <w:rFonts w:ascii="Times New Roman" w:cs="Times New Roman" w:eastAsia="Times New Roman" w:hAnsi="Times New Roman"/>
          <w:sz w:val="21"/>
          <w:szCs w:val="21"/>
          <w:color w:val="auto"/>
        </w:rPr>
        <w:t xml:space="preserve">, except for events and circumstances disclosed in any SEC Documents, in each case filed or furnished and publicly available before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(but excluding any disclosure in the “Forward Looking Statements” section of any SEC Document and any other statements that are solely forward looking in nature included in any SEC Document (including in a “Risk Factors” section)), there has been no event or circumstance that, individually or in the aggregate, has had or would reasonably be expected to have a Material Adverse Effect.</w:t>
      </w:r>
    </w:p>
    <w:p>
      <w:pPr>
        <w:spacing w:after="0" w:line="165"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xml:space="preserve">. There are no actions, suits, proceedings, claims or disputes pending or, to the knowledge of the Borrower, threatened in writing, at law, in equity, in arbitration or before any Governmental Authority, by or against Borrower or any of its Subsidiaries that (a) would reasonably be likely to affect this Agreement or any other Loan Document or (b) except as specifically disclosed in any SEC Documents filed or furnished and publicly available before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(but excluding any disclosure in the “Forward Looking Statements” section of any SEC Document and any other statements that are solely forward looking in nature included in any SEC Document (including in a “Risk Factors” section)) or on </w:t>
      </w:r>
      <w:r>
        <w:rPr>
          <w:rFonts w:ascii="Times New Roman" w:cs="Times New Roman" w:eastAsia="Times New Roman" w:hAnsi="Times New Roman"/>
          <w:sz w:val="21"/>
          <w:szCs w:val="21"/>
          <w:u w:val="single" w:color="auto"/>
          <w:color w:val="auto"/>
        </w:rPr>
        <w:t>Schedule 5.06</w:t>
      </w:r>
      <w:r>
        <w:rPr>
          <w:rFonts w:ascii="Times New Roman" w:cs="Times New Roman" w:eastAsia="Times New Roman" w:hAnsi="Times New Roman"/>
          <w:sz w:val="21"/>
          <w:szCs w:val="21"/>
          <w:color w:val="auto"/>
        </w:rPr>
        <w:t>, individually or in the aggregate, if determined adversely,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371" w:right="339" w:bottom="1440" w:gutter="0" w:footer="0" w:header="0"/>
        </w:sectPr>
      </w:pPr>
    </w:p>
    <w:bookmarkStart w:id="203" w:name="page204"/>
    <w:bookmarkEnd w:id="203"/>
    <w:p>
      <w:pPr>
        <w:jc w:val="both"/>
        <w:ind w:firstLine="624"/>
        <w:spacing w:after="0" w:line="259"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(a) Borrower and the other Subsidiaries have implemented and maintain in effect policies and procedures designed to ensure compliance by the Borrower and the Subsidiaries and their respective directors, officers, employees and agents with Anti-Corruption Laws and applicable Sanctions, and Borrower and, to Borrower’s knowledge, the other Subsidiaries and their respective directors, officers, employees and agents are in compliance with Anti-Corruption Laws and applicable Sanctions, except where the failure to comply therewith, individually or in the aggregate, would not reasonably be expected to have a Material Adverse Effect.</w:t>
      </w:r>
    </w:p>
    <w:p>
      <w:pPr>
        <w:spacing w:after="0" w:line="172" w:lineRule="exact"/>
        <w:rPr>
          <w:sz w:val="20"/>
          <w:szCs w:val="20"/>
          <w:color w:val="auto"/>
        </w:rPr>
      </w:pPr>
    </w:p>
    <w:p>
      <w:pPr>
        <w:ind w:firstLine="718"/>
        <w:spacing w:after="0" w:line="285" w:lineRule="auto"/>
        <w:tabs>
          <w:tab w:leader="none" w:pos="126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 or any Guarantor (or, to the knowledge of the Borrower, any officer or director of the Borrower or any Guarantor), or any other Subsidiary, is a Sanctioned Person.</w:t>
      </w:r>
    </w:p>
    <w:p>
      <w:pPr>
        <w:spacing w:after="0" w:line="155"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 (a) None of the Borrower or any other Loan Party is engaged, principally or as one of its important activities, in the business of extending credit for the purpose of purchasing or carrying margin stock. No part of the proceeds of any Loan will be used, directly or indirectly, for any purpose that violates Regulation U or X of the Federal Reserve Board.</w:t>
      </w:r>
    </w:p>
    <w:p>
      <w:pPr>
        <w:spacing w:after="0" w:line="169" w:lineRule="exact"/>
        <w:rPr>
          <w:sz w:val="20"/>
          <w:szCs w:val="20"/>
          <w:color w:val="auto"/>
        </w:rPr>
      </w:pPr>
    </w:p>
    <w:p>
      <w:pPr>
        <w:ind w:left="1260" w:hanging="542"/>
        <w:spacing w:after="0"/>
        <w:tabs>
          <w:tab w:leader="none" w:pos="126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Loan Party is required to be registered as an “investment company” under the Investment Company Act of 1940.</w:t>
      </w:r>
    </w:p>
    <w:p>
      <w:pPr>
        <w:spacing w:after="0" w:line="222" w:lineRule="exact"/>
        <w:rPr>
          <w:sz w:val="20"/>
          <w:szCs w:val="20"/>
          <w:color w:val="auto"/>
        </w:rPr>
      </w:pPr>
    </w:p>
    <w:p>
      <w:pPr>
        <w:jc w:val="both"/>
        <w:ind w:firstLine="624"/>
        <w:spacing w:after="0" w:line="255"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The written information (other than projected financial information and information of a general economic or general industry nature) that has been furnished to the Arrangers or any of the Lenders in connection with the negotiation of, or pursuant to the terms of, this Agreement by or on behalf of the Borrower or any other Loan Party, did not and will not, in each case, when so furnished and taken as a whole, contain any untrue statement of a material fact or omit to state a material fact necessary to make the statements contained therein not misleading in the light of the circumstances under which such statements were made (in each case after giving effect to all supplements and updates provided thereto on or prior to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Effective Date);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with respect to projected financial information, the Borrower and the other Loan</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Parties represent only that such information was prepared in good faith based upon reasonable assumptions that are believed by the preparer thereof to be reasonable at the time made and at the time such projected financial information was delivered to the Arrangers or any of the Lenders (it being understood and agreed that such projected financial information is not to be viewed as facts and that actual results during the period or periods covered by any such projected financial information may differ significantly from the projected results, and no assurance can be given that the projected results will be realized).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159" w:right="339" w:bottom="1440" w:gutter="0" w:footer="0" w:header="0"/>
        </w:sectPr>
      </w:pPr>
    </w:p>
    <w:bookmarkStart w:id="204" w:name="page205"/>
    <w:bookmarkEnd w:id="204"/>
    <w:p>
      <w:pPr>
        <w:jc w:val="both"/>
        <w:ind w:firstLine="624"/>
        <w:spacing w:after="0" w:line="253"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Each of the Borrower and each Material Subsidiary is in compliance with the requirements of all Laws applicable to it or its business or property (including applicable Anti-Corruption Laws),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48"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 Except as would not reasonably be expected to result in a Material Adverse Effect, individually or in the aggregate:</w:t>
      </w:r>
    </w:p>
    <w:p>
      <w:pPr>
        <w:spacing w:after="0" w:line="115" w:lineRule="exact"/>
        <w:rPr>
          <w:sz w:val="20"/>
          <w:szCs w:val="20"/>
          <w:color w:val="auto"/>
        </w:rPr>
      </w:pPr>
    </w:p>
    <w:p>
      <w:pPr>
        <w:jc w:val="both"/>
        <w:ind w:firstLine="718"/>
        <w:spacing w:after="0" w:line="254" w:lineRule="auto"/>
        <w:tabs>
          <w:tab w:leader="none" w:pos="126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its Subsidiaries has good title to, or (to the knowledge of the Borrower or any Subsidiary) valid leasehold interests in, all its real and personal property (other than IP Rights, which is subject to Section 5.11(b)) material to its business; and</w:t>
      </w:r>
    </w:p>
    <w:p>
      <w:pPr>
        <w:spacing w:after="0" w:line="147" w:lineRule="exact"/>
        <w:rPr>
          <w:rFonts w:ascii="Times New Roman" w:cs="Times New Roman" w:eastAsia="Times New Roman" w:hAnsi="Times New Roman"/>
          <w:sz w:val="21"/>
          <w:szCs w:val="21"/>
          <w:color w:val="auto"/>
        </w:rPr>
      </w:pPr>
    </w:p>
    <w:p>
      <w:pPr>
        <w:jc w:val="both"/>
        <w:ind w:firstLine="718"/>
        <w:spacing w:after="0" w:line="261" w:lineRule="auto"/>
        <w:tabs>
          <w:tab w:leader="none" w:pos="126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its Subsidiaries owns, or is licensed to use (subject to the knowledge-qualified infringement representation in this Section 5.11(b)), all IP Rights used in its business and, subject to the exceptions set forth in Section 5.06(b), to any Loan Party’s knowledge does not infringe upon the IP Rights of any other Person.</w:t>
      </w:r>
    </w:p>
    <w:p>
      <w:pPr>
        <w:spacing w:after="0" w:line="1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ARTICLE VI</w:t>
      </w:r>
    </w:p>
    <w:p>
      <w:pPr>
        <w:spacing w:after="0" w:line="16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u w:val="single" w:color="auto"/>
          <w:color w:val="auto"/>
        </w:rPr>
        <w:t>AFFIRMATIVE COVENANTS</w:t>
      </w:r>
    </w:p>
    <w:p>
      <w:pPr>
        <w:spacing w:after="0" w:line="169" w:lineRule="exact"/>
        <w:rPr>
          <w:sz w:val="20"/>
          <w:szCs w:val="20"/>
          <w:color w:val="auto"/>
        </w:rPr>
      </w:pPr>
    </w:p>
    <w:p>
      <w:pPr>
        <w:jc w:val="both"/>
        <w:ind w:firstLine="624"/>
        <w:spacing w:after="0" w:line="242" w:lineRule="auto"/>
        <w:rPr>
          <w:sz w:val="20"/>
          <w:szCs w:val="20"/>
          <w:color w:val="auto"/>
        </w:rPr>
      </w:pPr>
      <w:r>
        <w:rPr>
          <w:rFonts w:ascii="Times New Roman" w:cs="Times New Roman" w:eastAsia="Times New Roman" w:hAnsi="Times New Roman"/>
          <w:sz w:val="21"/>
          <w:szCs w:val="21"/>
          <w:color w:val="auto"/>
        </w:rPr>
        <w:t>Until the Commitments shall have expired or been terminated, all Loans and other Obligations (other than contingent obligations as to which no claim has been made) shall have been paid in full, all Letters of Credit shall have expired or been terminated (other than Letters of Credit that have been Cash Collateralized in full or as to which other arrangements satisfactory to the applicable L/C Issuer and the Administrative Agent shall have been made) and all L/C Borrowings shall have been reimbursed in full, each of the Borrower and the other Loan Parties covenants and agrees with the Lenders that:</w:t>
      </w:r>
    </w:p>
    <w:p>
      <w:pPr>
        <w:spacing w:after="0" w:line="121"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Borrower will deliver to the Administrative Agent (which will make available copies to each Lender):</w:t>
      </w:r>
    </w:p>
    <w:p>
      <w:pPr>
        <w:spacing w:after="0" w:line="102" w:lineRule="exact"/>
        <w:rPr>
          <w:sz w:val="20"/>
          <w:szCs w:val="20"/>
          <w:color w:val="auto"/>
        </w:rPr>
      </w:pPr>
    </w:p>
    <w:p>
      <w:pPr>
        <w:jc w:val="both"/>
        <w:ind w:firstLine="718"/>
        <w:spacing w:after="0" w:line="236" w:lineRule="auto"/>
        <w:tabs>
          <w:tab w:leader="none" w:pos="12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90 days after the end of each Fiscal Year of the Borrower (commencing with the Fiscal Year ending December 31, 2021), a consolidated balance sheet of the Borrower and its Subsidiaries as of the end of such Fiscal Year, and the related consolidated statements of operations, comprehensive income / (loss), cash flows and stockholders’ equity for such Fiscal Year, setting forth in each case in comparative form the figures for the previous Fiscal Year, all in reasonable detail and prepared in accordance with GAAP, audited and accompanied by a report and opinion of Ernst &amp; Young LLP or another independent public registered accounting firm of recognized national standing, which report and opinion will be prepared in accordance with audit standards of the Public Company Accounting Oversight Board and will not be subject to any “going concern” or like qualification or exception or any qualification or exception as to the scope of such audit or with respect to the absence of material misstatement in accordance with GAAP; and</w:t>
      </w:r>
    </w:p>
    <w:p>
      <w:pPr>
        <w:spacing w:after="0" w:line="155"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45 days after the end of each of the first three fiscal quarters of each Fiscal Year of the Borrower (commencing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146" w:right="339" w:bottom="1440" w:gutter="0" w:footer="0" w:header="0"/>
        </w:sectPr>
      </w:pPr>
    </w:p>
    <w:bookmarkStart w:id="205" w:name="page206"/>
    <w:bookmarkEnd w:id="205"/>
    <w:p>
      <w:pPr>
        <w:jc w:val="both"/>
        <w:spacing w:after="0" w:line="257" w:lineRule="auto"/>
        <w:rPr>
          <w:sz w:val="20"/>
          <w:szCs w:val="20"/>
          <w:color w:val="auto"/>
        </w:rPr>
      </w:pPr>
      <w:r>
        <w:rPr>
          <w:rFonts w:ascii="Times New Roman" w:cs="Times New Roman" w:eastAsia="Times New Roman" w:hAnsi="Times New Roman"/>
          <w:sz w:val="21"/>
          <w:szCs w:val="21"/>
          <w:color w:val="auto"/>
        </w:rPr>
        <w:t>first full fiscal quarter ending after the Effective Date), a consolidated balance sheet of the Borrower and its Subsidiaries as of the end of such fiscal quarter, and the related consolidated statements of operations and comprehensive income / (loss) for such fiscal quarter and for the portion of the Fiscal Year then ended and the related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financial officer or the vice president and controller of the Borrower as fairly presenting, in all material respects, the consolidated financial position of the Borrower and its Subsidiaries as of the end of such fiscal quarter and the consolidated results of their operations and cash flows for such periods, subject only to normal year-end audit adjustments and the absence of footnotes.</w:t>
      </w:r>
    </w:p>
    <w:p>
      <w:pPr>
        <w:spacing w:after="0" w:line="177"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 xml:space="preserve">As to any information contained in materials furnished pursuant to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the Borrower will not be separately required to furnish such information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but the foregoing will not be in derogation of the obligation of the Borrower to furnish the information and materials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at the times specified therein.</w:t>
      </w:r>
    </w:p>
    <w:p>
      <w:pPr>
        <w:spacing w:after="0" w:line="148"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Certificates; Notice of Default; Other Information</w:t>
      </w:r>
      <w:r>
        <w:rPr>
          <w:rFonts w:ascii="Times New Roman" w:cs="Times New Roman" w:eastAsia="Times New Roman" w:hAnsi="Times New Roman"/>
          <w:sz w:val="21"/>
          <w:szCs w:val="21"/>
          <w:color w:val="auto"/>
        </w:rPr>
        <w:t>. The Borrower will deliver to the Administrative Agent (which will distribute copies to the Lenders):</w:t>
      </w:r>
    </w:p>
    <w:p>
      <w:pPr>
        <w:spacing w:after="0" w:line="129" w:lineRule="exact"/>
        <w:rPr>
          <w:sz w:val="20"/>
          <w:szCs w:val="20"/>
          <w:color w:val="auto"/>
        </w:rPr>
      </w:pPr>
    </w:p>
    <w:p>
      <w:pPr>
        <w:jc w:val="both"/>
        <w:ind w:firstLine="718"/>
        <w:spacing w:after="0" w:line="261" w:lineRule="auto"/>
        <w:tabs>
          <w:tab w:leader="none" w:pos="126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a duly completed Compliance Certificate signed by a Responsible Officer of the Borrower (which delivery may be by electronic communication, including fax or e-mail, and shall be deemed to be an original authentic counterpart thereof for all purposes);</w:t>
      </w:r>
    </w:p>
    <w:p>
      <w:pPr>
        <w:spacing w:after="0" w:line="152"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are available, copies of each proxy statement sent to the shareholders of the Borrower and copies of all annual, regular, periodic and special reports and registration statements which the Borrower files with the SEC under Section 13 or 15(d) of the Securities Exchange Act, and not otherwise required to be delivered to the Administrative Agent pursuant hereto;</w:t>
      </w:r>
    </w:p>
    <w:p>
      <w:pPr>
        <w:spacing w:after="0" w:line="174"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any Default becoming known to any Responsible Officer of the Borrower, a written statement of a Responsible Officer of the Borrower containing a heading or a reference line that reads “Notice under Section 6.02(c) of Incyte Corporation Credit Agreement dated August 18, 2021” and setting forth details of such Default and stating what action the Borrower or its Subsidiaries have taken and propose to take with respect thereto;</w:t>
      </w:r>
    </w:p>
    <w:p>
      <w:pPr>
        <w:spacing w:after="0" w:line="161" w:lineRule="exact"/>
        <w:rPr>
          <w:rFonts w:ascii="Times New Roman" w:cs="Times New Roman" w:eastAsia="Times New Roman" w:hAnsi="Times New Roman"/>
          <w:sz w:val="21"/>
          <w:szCs w:val="21"/>
          <w:color w:val="auto"/>
        </w:rPr>
      </w:pPr>
    </w:p>
    <w:p>
      <w:pPr>
        <w:jc w:val="both"/>
        <w:ind w:firstLine="718"/>
        <w:spacing w:after="0" w:line="261" w:lineRule="auto"/>
        <w:tabs>
          <w:tab w:leader="none" w:pos="126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request,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371" w:right="339" w:bottom="1440" w:gutter="0" w:footer="0" w:header="0"/>
        </w:sectPr>
      </w:pPr>
    </w:p>
    <w:bookmarkStart w:id="206" w:name="page207"/>
    <w:bookmarkEnd w:id="206"/>
    <w:p>
      <w:pPr>
        <w:ind w:firstLine="718"/>
        <w:spacing w:after="0" w:line="272" w:lineRule="auto"/>
        <w:tabs>
          <w:tab w:leader="none" w:pos="126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 written notice of any change in the information provided in the Beneficial Ownership Certification delivered to any Lender that would result in a change to the list of beneficial owners identified in such certification; and</w:t>
      </w:r>
    </w:p>
    <w:p>
      <w:pPr>
        <w:spacing w:after="0" w:line="154"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8"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following request, subject to the Borrower’s and its Subsidiaries’ internal policies for the protection and preservation of intellectual property, trade secrets and other non-financial proprietary information, such additional information regarding the corporate, financial or operating affairs of the Borrower or any Subsidiary (but excluding any financial information that the Borrower and its Subsidiaries do not produce in the ordinary course of business), or compliance with the terms of the Loan Documents by any Loan Party, as the Administrative Agent or any Lender through the Administrative Agent may from time to time reasonably request in relation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no case shall the Borrower be required to disclose any information if doing so would be reasonably likely to result in a violation of Regulation FD and (ii) if in the Borrower’s reasonable judgment the disclosure of any requested information would compromise attorney-client privilege, privilege afforded to attorney work product or similar privilege, the Borrower shall make available redacted versions of requested documents or, if unable to do so consistent with the preservation of such privilege, shall endeavor in good faith otherwise to disclose information responsive to such request in a manner that will protect such privilege;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Borrower shall not be required to deliver such information to the extent such information is publicly available.</w:t>
      </w:r>
    </w:p>
    <w:p>
      <w:pPr>
        <w:spacing w:after="0" w:line="169" w:lineRule="exact"/>
        <w:rPr>
          <w:sz w:val="20"/>
          <w:szCs w:val="20"/>
          <w:color w:val="auto"/>
        </w:rPr>
      </w:pPr>
    </w:p>
    <w:p>
      <w:pPr>
        <w:jc w:val="both"/>
        <w:ind w:firstLine="624"/>
        <w:spacing w:after="0" w:line="247" w:lineRule="auto"/>
        <w:rPr>
          <w:sz w:val="20"/>
          <w:szCs w:val="20"/>
          <w:color w:val="auto"/>
        </w:rPr>
      </w:pPr>
      <w:r>
        <w:rPr>
          <w:rFonts w:ascii="Times New Roman" w:cs="Times New Roman" w:eastAsia="Times New Roman" w:hAnsi="Times New Roman"/>
          <w:sz w:val="21"/>
          <w:szCs w:val="21"/>
          <w:color w:val="auto"/>
        </w:rPr>
        <w:t xml:space="preserve">Documents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6.02(b)</w:t>
      </w:r>
      <w:r>
        <w:rPr>
          <w:rFonts w:ascii="Times New Roman" w:cs="Times New Roman" w:eastAsia="Times New Roman" w:hAnsi="Times New Roman"/>
          <w:sz w:val="21"/>
          <w:szCs w:val="21"/>
          <w:color w:val="auto"/>
        </w:rPr>
        <w:t xml:space="preserve"> (to the extent any such documents are included in materials otherwise filed with the SEC) may be delivered electronically and if so delivered, will be deemed to have been delivered on the date on which (i) the Borrower posts such documents, or provides a link thereto on the Borrower’s website on the Internet at http://www.incyte.com (or such other website address as may be updated from time to time and provided to the Administrative Agent in writing) or (ii) such documents are posted on the Borrower’s behalf on an Approved Electronic Platform.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Payment of Taxes</w:t>
      </w:r>
      <w:r>
        <w:rPr>
          <w:rFonts w:ascii="Times New Roman" w:cs="Times New Roman" w:eastAsia="Times New Roman" w:hAnsi="Times New Roman"/>
          <w:sz w:val="21"/>
          <w:szCs w:val="21"/>
          <w:color w:val="auto"/>
        </w:rPr>
        <w:t>. The Borrower, the other Loan Parties and each other Material Subsidiary will pay and discharge its Tax liabilities at such time as they are due and payable, unless the same are being contested in good faith by appropriate proceedings diligently conducted and it is maintaining adequate reserves in accordance with GAAP, except to the extent that failure to pay or discharge such Tax liabilities, individually or in the aggregate, would not reasonably be expected to have a Material Adverse Effect.</w:t>
      </w:r>
    </w:p>
    <w:p>
      <w:pPr>
        <w:spacing w:after="0" w:line="18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Preservation of Existence, Etc</w:t>
      </w:r>
      <w:r>
        <w:rPr>
          <w:rFonts w:ascii="Times New Roman" w:cs="Times New Roman" w:eastAsia="Times New Roman" w:hAnsi="Times New Roman"/>
          <w:sz w:val="21"/>
          <w:szCs w:val="21"/>
          <w:color w:val="auto"/>
        </w:rPr>
        <w:t xml:space="preserve">. The Borrower, the other Loan Parties and each other Material Subsidiary will (a) preserve, renew and maintain in full force and effect its legal existence and good standing under the Laws of the jurisdiction of its organization or incorporation;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358" w:right="339" w:bottom="1440" w:gutter="0" w:footer="0" w:header="0"/>
        </w:sectPr>
      </w:pPr>
    </w:p>
    <w:bookmarkStart w:id="207" w:name="page208"/>
    <w:bookmarkEnd w:id="207"/>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prohibit any transaction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and (b) take all reasonable action to maintain all rights, privileges, permits, licenses and franchises necessary or desirable in the normal conduct of its business, except to the extent that failure to do so, individually or in the aggregate, would not reasonably be expected to have a Material Adverse Effect.</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Borrower, the other Loan Parties and each other Material Subsidiary will comply with the requirements of all Laws applicable to it or to its business or property,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6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(a) The Borrower and the other Loan Parties and each other Subsidiary will use the proceeds of the Credit Extensions for general corporate purposes, including (but not limited to) working capital, capital expenditures, acquisitions, investments, dividends, distributions and share buybacks.</w:t>
      </w:r>
    </w:p>
    <w:p>
      <w:pPr>
        <w:spacing w:after="0" w:line="153" w:lineRule="exact"/>
        <w:rPr>
          <w:sz w:val="20"/>
          <w:szCs w:val="20"/>
          <w:color w:val="auto"/>
        </w:rPr>
      </w:pPr>
    </w:p>
    <w:p>
      <w:pPr>
        <w:jc w:val="both"/>
        <w:ind w:firstLine="718"/>
        <w:spacing w:after="0" w:line="257" w:lineRule="auto"/>
        <w:tabs>
          <w:tab w:leader="none" w:pos="1264"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will not request any Loan or Letter of Credit, and the Borrower shall not use, and shall procure that Borrower and the Subsidiaries and their respective directors, officers, employees and Agent shall not use, the proceeds of any Loan or any Letter of Credit (i) in furtherance of an offer, payment, promise to pay, or authorization of the payment or giving of money, or anything else of value, to any Person in violation of any Anti-Corruption Laws or (ii) (A) for the purpose of funding any activity or business in any Sanctioned Country or for the purpose of funding any activity or business of or with any Sanctioned Person or</w:t>
      </w:r>
    </w:p>
    <w:p>
      <w:pPr>
        <w:spacing w:after="0" w:line="3" w:lineRule="exact"/>
        <w:rPr>
          <w:rFonts w:ascii="Times New Roman" w:cs="Times New Roman" w:eastAsia="Times New Roman" w:hAnsi="Times New Roman"/>
          <w:sz w:val="21"/>
          <w:szCs w:val="21"/>
          <w:color w:val="auto"/>
        </w:rPr>
      </w:pPr>
    </w:p>
    <w:p>
      <w:pPr>
        <w:ind w:firstLine="6"/>
        <w:spacing w:after="0" w:line="261" w:lineRule="auto"/>
        <w:tabs>
          <w:tab w:leader="none" w:pos="384"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other manner, in each case, as will result in any violation by any Lender, any L/C Issuer, any Arranger or the Administrative Agent of any Sanctions.</w:t>
      </w:r>
    </w:p>
    <w:p>
      <w:pPr>
        <w:spacing w:after="0" w:line="16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u w:val="single" w:color="auto"/>
          <w:color w:val="auto"/>
        </w:rPr>
        <w:t>Maintenance of Property and Insurance</w:t>
      </w:r>
      <w:r>
        <w:rPr>
          <w:rFonts w:ascii="Times New Roman" w:cs="Times New Roman" w:eastAsia="Times New Roman" w:hAnsi="Times New Roman"/>
          <w:sz w:val="21"/>
          <w:szCs w:val="21"/>
          <w:color w:val="auto"/>
        </w:rPr>
        <w:t>. The Borrower will, and will cause each of its Material Subsidiaries to, (a) keep and maintain all tangible property material to the conduct of its business in good working order and condition, ordinary wear and tear and casualty excepted and except (i) as otherwise permitted by Section 7.03 or (ii) where the failure to do so would not reasonably be expected to result in a Material Adverse Effect and (b) maintain, in all material respects, with carriers reasonably believed by the Borrower to be financially sound and reputable or through reasonable and adequate self-insurance insurance in such amounts and against such risks and such other hazards, as is customarily maintained by companies engaged in the same or similar businesses operating in the same or similar locations or where the Material Subsidiary operates.</w:t>
      </w:r>
    </w:p>
    <w:p>
      <w:pPr>
        <w:spacing w:after="0" w:line="1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ARTICLE VII</w:t>
      </w:r>
    </w:p>
    <w:p>
      <w:pPr>
        <w:spacing w:after="0" w:line="2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u w:val="single" w:color="auto"/>
          <w:color w:val="auto"/>
        </w:rPr>
        <w:t>NEGATIVE COVENANTS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color w:val="auto"/>
        </w:rPr>
        <w:t>Until the Commitments shall have expired or been terminated, all Loans and other Obligations (other than contingent obligations as to which no claim has been made) shall have been paid in full, all Letters of Credit shall have expired or been terminated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371" w:right="339" w:bottom="1440" w:gutter="0" w:footer="0" w:header="0"/>
        </w:sectPr>
      </w:pPr>
    </w:p>
    <w:bookmarkStart w:id="208" w:name="page209"/>
    <w:bookmarkEnd w:id="208"/>
    <w:p>
      <w:pPr>
        <w:jc w:val="both"/>
        <w:spacing w:after="0" w:line="267" w:lineRule="auto"/>
        <w:rPr>
          <w:sz w:val="20"/>
          <w:szCs w:val="20"/>
          <w:color w:val="auto"/>
        </w:rPr>
      </w:pPr>
      <w:r>
        <w:rPr>
          <w:rFonts w:ascii="Times New Roman" w:cs="Times New Roman" w:eastAsia="Times New Roman" w:hAnsi="Times New Roman"/>
          <w:sz w:val="21"/>
          <w:szCs w:val="21"/>
          <w:color w:val="auto"/>
        </w:rPr>
        <w:t>than Letters of Credit that have been Cash Collateralized in full or as to which other arrangements satisfactory to the applicable L/C Issuer and the Administrative Agent shall have been made) and all L/C Borrowings shall have been reimbursed in full, each of the Borrower and the other Loan Parties covenants and agrees with the Lenders that:</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None of the Borrower, the other Loan Parties or any other Subsidiary will create, incur, assume or permit to exist any Lien upon any of its property, assets or revenues, whether now owned or hereafter acquired, other than the following:</w:t>
      </w:r>
    </w:p>
    <w:p>
      <w:pPr>
        <w:spacing w:after="0" w:line="166" w:lineRule="exact"/>
        <w:rPr>
          <w:sz w:val="20"/>
          <w:szCs w:val="20"/>
          <w:color w:val="auto"/>
        </w:rPr>
      </w:pPr>
    </w:p>
    <w:p>
      <w:pPr>
        <w:ind w:left="1280" w:hanging="562"/>
        <w:spacing w:after="0"/>
        <w:tabs>
          <w:tab w:leader="none" w:pos="128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created pursuant to any Loan Document;</w:t>
      </w:r>
    </w:p>
    <w:p>
      <w:pPr>
        <w:spacing w:after="0" w:line="205" w:lineRule="exact"/>
        <w:rPr>
          <w:rFonts w:ascii="Times New Roman" w:cs="Times New Roman" w:eastAsia="Times New Roman" w:hAnsi="Times New Roman"/>
          <w:sz w:val="21"/>
          <w:szCs w:val="21"/>
          <w:color w:val="auto"/>
        </w:rPr>
      </w:pPr>
    </w:p>
    <w:p>
      <w:pPr>
        <w:jc w:val="both"/>
        <w:ind w:firstLine="718"/>
        <w:spacing w:after="0" w:line="256" w:lineRule="auto"/>
        <w:tabs>
          <w:tab w:leader="none" w:pos="1264"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w:t>
      </w:r>
      <w:r>
        <w:rPr>
          <w:rFonts w:ascii="Times New Roman" w:cs="Times New Roman" w:eastAsia="Times New Roman" w:hAnsi="Times New Roman"/>
          <w:sz w:val="21"/>
          <w:szCs w:val="21"/>
          <w:b w:val="1"/>
          <w:bCs w:val="1"/>
          <w:u w:val="single" w:color="auto"/>
          <w:color w:val="0000FF"/>
        </w:rPr>
        <w:t>Amendment No. 2</w:t>
      </w:r>
      <w:r>
        <w:rPr>
          <w:rFonts w:ascii="Times New Roman" w:cs="Times New Roman" w:eastAsia="Times New Roman" w:hAnsi="Times New Roman"/>
          <w:sz w:val="21"/>
          <w:szCs w:val="21"/>
          <w:color w:val="auto"/>
        </w:rPr>
        <w:t xml:space="preserve"> Effective Date and set forth on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01</w:t>
      </w:r>
      <w:r>
        <w:rPr>
          <w:rFonts w:ascii="Times New Roman" w:cs="Times New Roman" w:eastAsia="Times New Roman" w:hAnsi="Times New Roman"/>
          <w:sz w:val="21"/>
          <w:szCs w:val="21"/>
          <w:color w:val="auto"/>
        </w:rPr>
        <w:t xml:space="preserve"> and any renewals, extensions and refinancings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Liens do not encumber property other than the property subject to the original Lien or improvements thereon or replacements thereof and (ii) the amount of Indebtedness secured or benefited thereby is not increased, except by an amount equal to a reasonable premium or other reasonable amount paid, and fees and expenses reasonably incurred, in connection with any renewal, extension or refinancing of such Indebtedness;</w:t>
      </w:r>
    </w:p>
    <w:p>
      <w:pPr>
        <w:spacing w:after="0" w:line="173"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5"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any assets acquired by the Borrower or any Subsidiary after the Effective Date existing at the time of the acquisition thereof or on any asset of any Person that becomes a Subsidiary (or of any Person not previously Borrower or a Subsidiary that is merged or consolidated with or into Borrower or a Subsidiary in a transaction or series of related transactions permitted hereunder) after the Effective Date existing at the time such Person becomes a Subsidiary (or is so merged or consolidated), and any renewals, extensions and refinancings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Liens were not created in contemplation of or in connection with such acquisition or such Person becoming a Subsidiary (or such merger or consolidation), (ii) such Liens do not encumber property other than the property subject to the original Lien or improvements thereon or replacements thereof and</w:t>
      </w:r>
    </w:p>
    <w:p>
      <w:pPr>
        <w:spacing w:after="0" w:line="5" w:lineRule="exact"/>
        <w:rPr>
          <w:rFonts w:ascii="Times New Roman" w:cs="Times New Roman" w:eastAsia="Times New Roman" w:hAnsi="Times New Roman"/>
          <w:sz w:val="21"/>
          <w:szCs w:val="21"/>
          <w:color w:val="auto"/>
        </w:rPr>
      </w:pPr>
    </w:p>
    <w:p>
      <w:pPr>
        <w:jc w:val="both"/>
        <w:ind w:firstLine="6"/>
        <w:spacing w:after="0" w:line="255" w:lineRule="auto"/>
        <w:tabs>
          <w:tab w:leader="none" w:pos="38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Indebtedness secured or benefited thereby is not increased, except by an amount equal to a reasonable premium or other reasonable amount paid, and fees and expenses reasonably incurred, in connection with any renewal, extension or refinancing of such Indebtedness;</w:t>
      </w:r>
    </w:p>
    <w:p>
      <w:pPr>
        <w:spacing w:after="0" w:line="160"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fixed or capital assets acquired, constructed or improved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34" w:lineRule="exact"/>
        <w:rPr>
          <w:rFonts w:ascii="Times New Roman" w:cs="Times New Roman" w:eastAsia="Times New Roman" w:hAnsi="Times New Roman"/>
          <w:sz w:val="21"/>
          <w:szCs w:val="21"/>
          <w:color w:val="auto"/>
        </w:rPr>
      </w:pPr>
    </w:p>
    <w:p>
      <w:pPr>
        <w:jc w:val="both"/>
        <w:ind w:firstLine="6"/>
        <w:spacing w:after="0" w:line="247" w:lineRule="auto"/>
        <w:tabs>
          <w:tab w:leader="none" w:pos="27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Liens secure only Indebtedness incurred to finance the acquisition, construction or improvement of such fixed or capital assets (and obligations relating thereto not constituting Indebtedness), including any Capital Lease Obligations, and renewals, extensions and refinancings of any such Indebtedness that do not increase the amount of Indebtedness secured or benefited thereby, except by an amount equal to a reasonable premium or other reasonable amount paid, and fees and expenses reasonably incurred, in connection with any renewal, extension or refinancing of such Indebtedness and (ii) such Liens and the Indebtedness secured thereby (other than any such renewals, extensions or refinancings thereof) are incurred prior to or within 120 days after the later of such acquisition, the completion of such construction or improvement or full operation of such acquired asset; </w:t>
      </w:r>
      <w:r>
        <w:rPr>
          <w:rFonts w:ascii="Times New Roman" w:cs="Times New Roman" w:eastAsia="Times New Roman" w:hAnsi="Times New Roman"/>
          <w:sz w:val="21"/>
          <w:szCs w:val="21"/>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371" w:right="339" w:bottom="1440" w:gutter="0" w:footer="0" w:header="0"/>
        </w:sectPr>
      </w:pPr>
    </w:p>
    <w:bookmarkStart w:id="209" w:name="page210"/>
    <w:bookmarkEnd w:id="209"/>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pacing w:after="0" w:line="166" w:lineRule="exact"/>
        <w:rPr>
          <w:sz w:val="20"/>
          <w:szCs w:val="20"/>
          <w:color w:val="auto"/>
        </w:rPr>
      </w:pPr>
    </w:p>
    <w:p>
      <w:pPr>
        <w:ind w:left="1280" w:hanging="562"/>
        <w:spacing w:after="0"/>
        <w:tabs>
          <w:tab w:leader="none" w:pos="128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the Borrower or any Subsidiary of the Borrower;</w:t>
      </w:r>
    </w:p>
    <w:p>
      <w:pPr>
        <w:spacing w:after="0" w:line="222" w:lineRule="exact"/>
        <w:rPr>
          <w:rFonts w:ascii="Times New Roman" w:cs="Times New Roman" w:eastAsia="Times New Roman" w:hAnsi="Times New Roman"/>
          <w:sz w:val="21"/>
          <w:szCs w:val="21"/>
          <w:color w:val="auto"/>
        </w:rPr>
      </w:pPr>
    </w:p>
    <w:p>
      <w:pPr>
        <w:ind w:firstLine="718"/>
        <w:spacing w:after="0" w:line="285" w:lineRule="auto"/>
        <w:tabs>
          <w:tab w:leader="none" w:pos="1268"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securing any obligation of the Borrower or any Subsidiary in respect of interest rate, currency exchange rates or commodity pricing Swap Contracts entered into in the ordinary course of business for bona fide business purposes;</w:t>
      </w:r>
    </w:p>
    <w:p>
      <w:pPr>
        <w:spacing w:after="0" w:line="128"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proceeds of any Acquisition Indebtedness held in escrow prior to the release thereof from escrow;</w:t>
      </w:r>
    </w:p>
    <w:p>
      <w:pPr>
        <w:spacing w:after="0" w:line="222"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Encumbrances;</w:t>
      </w:r>
    </w:p>
    <w:p>
      <w:pPr>
        <w:spacing w:after="0" w:line="222" w:lineRule="exact"/>
        <w:rPr>
          <w:rFonts w:ascii="Times New Roman" w:cs="Times New Roman" w:eastAsia="Times New Roman" w:hAnsi="Times New Roman"/>
          <w:sz w:val="21"/>
          <w:szCs w:val="21"/>
          <w:color w:val="auto"/>
        </w:rPr>
      </w:pPr>
    </w:p>
    <w:p>
      <w:pPr>
        <w:jc w:val="both"/>
        <w:ind w:firstLine="718"/>
        <w:spacing w:after="0" w:line="261" w:lineRule="auto"/>
        <w:tabs>
          <w:tab w:leader="none" w:pos="127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any conditional sale, title retention, consignment, licensing or other similar arrangements for the sale of goods or commercialization of IP Rights entered into by the Borrower or any of its Subsidiaries the ordinary course of business;</w:t>
      </w:r>
    </w:p>
    <w:p>
      <w:pPr>
        <w:spacing w:after="0" w:line="166"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permitted hereunder to finance insurance premiums solely to the extent of such</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premiums;</w:t>
      </w:r>
    </w:p>
    <w:p>
      <w:pPr>
        <w:spacing w:after="0" w:line="185" w:lineRule="exact"/>
        <w:rPr>
          <w:rFonts w:ascii="Times New Roman" w:cs="Times New Roman" w:eastAsia="Times New Roman" w:hAnsi="Times New Roman"/>
          <w:sz w:val="21"/>
          <w:szCs w:val="21"/>
          <w:color w:val="auto"/>
        </w:rPr>
      </w:pPr>
    </w:p>
    <w:p>
      <w:pPr>
        <w:jc w:val="both"/>
        <w:ind w:firstLine="718"/>
        <w:spacing w:after="0" w:line="256" w:lineRule="auto"/>
        <w:tabs>
          <w:tab w:leader="none" w:pos="126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ind w:firstLine="718"/>
        <w:spacing w:after="0" w:line="285" w:lineRule="auto"/>
        <w:tabs>
          <w:tab w:leader="none" w:pos="127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law to secure payment of customs duties in connection with the importation of goods in the ordinary course of business;</w:t>
      </w:r>
    </w:p>
    <w:p>
      <w:pPr>
        <w:spacing w:after="0" w:line="128" w:lineRule="exact"/>
        <w:rPr>
          <w:rFonts w:ascii="Times New Roman" w:cs="Times New Roman" w:eastAsia="Times New Roman" w:hAnsi="Times New Roman"/>
          <w:sz w:val="21"/>
          <w:szCs w:val="21"/>
          <w:color w:val="auto"/>
        </w:rPr>
      </w:pPr>
    </w:p>
    <w:p>
      <w:pPr>
        <w:jc w:val="both"/>
        <w:ind w:firstLine="718"/>
        <w:spacing w:after="0" w:line="267" w:lineRule="auto"/>
        <w:tabs>
          <w:tab w:leader="none" w:pos="127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any cash earnest money deposits made by the Borrower or any of its Subsidiaries in connection with any Acquisition permitted by this Agreement, including, without limitation, in connection with any letter of intent or purchase agreement relating thereto;</w:t>
      </w:r>
    </w:p>
    <w:p>
      <w:pPr>
        <w:spacing w:after="0" w:line="161" w:lineRule="exact"/>
        <w:rPr>
          <w:rFonts w:ascii="Times New Roman" w:cs="Times New Roman" w:eastAsia="Times New Roman" w:hAnsi="Times New Roman"/>
          <w:sz w:val="21"/>
          <w:szCs w:val="21"/>
          <w:color w:val="auto"/>
        </w:rPr>
      </w:pPr>
    </w:p>
    <w:p>
      <w:pPr>
        <w:ind w:firstLine="718"/>
        <w:spacing w:after="0" w:line="272" w:lineRule="auto"/>
        <w:tabs>
          <w:tab w:leader="none" w:pos="126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the sale or transfer of any assets in a transaction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customary rights and restrictions contained in agreements relating to such sale or transfer pending the completion thereof;</w:t>
      </w:r>
    </w:p>
    <w:p>
      <w:pPr>
        <w:spacing w:after="0" w:line="154"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the nature of the right of setoff in favor of counterparties to contractual agreements with the Loan Parties (i) in the ordinary course of business or (ii) otherwise permitted hereunder other than in connection with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358" w:right="339" w:bottom="1440" w:gutter="0" w:footer="0" w:header="0"/>
        </w:sectPr>
      </w:pPr>
    </w:p>
    <w:bookmarkStart w:id="210" w:name="page211"/>
    <w:bookmarkEnd w:id="210"/>
    <w:p>
      <w:pPr>
        <w:ind w:left="1260" w:hanging="542"/>
        <w:spacing w:after="0"/>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and other sales of assets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constituting a Lien, Liens with respect to repurchase obligations related to investments;</w:t>
      </w:r>
    </w:p>
    <w:p>
      <w:pPr>
        <w:spacing w:after="0" w:line="209"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61"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58" w:lineRule="exact"/>
        <w:rPr>
          <w:rFonts w:ascii="Times New Roman" w:cs="Times New Roman" w:eastAsia="Times New Roman" w:hAnsi="Times New Roman"/>
          <w:sz w:val="21"/>
          <w:szCs w:val="21"/>
          <w:color w:val="auto"/>
        </w:rPr>
      </w:pPr>
    </w:p>
    <w:p>
      <w:pPr>
        <w:jc w:val="both"/>
        <w:ind w:firstLine="718"/>
        <w:spacing w:after="0" w:line="267" w:lineRule="auto"/>
        <w:tabs>
          <w:tab w:leader="none" w:pos="127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of sellers of goods to any Loan Party and any of their respective Subsidiaries arising under Article II of the UCC or similar provisions of applicable law in the ordinary course of business, covering only the goods sold and securing only the unpaid purchase price for such goods and related expenses;</w:t>
      </w:r>
    </w:p>
    <w:p>
      <w:pPr>
        <w:spacing w:after="0" w:line="161"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 and (iv) the aggregate principal amount of Indebtedness and other obligations secured by any Lien permitted by this clause (u) shall not exceed $100,000,000 at any time outstanding;</w:t>
      </w:r>
    </w:p>
    <w:p>
      <w:pPr>
        <w:spacing w:after="0" w:line="184"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not securing Indebtedness that are created or deemed to exist in favor of any purchaser or transferee of assets, accounts, or other rights to payment in connection with any Disposition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including UCC financing statements (or equivalent filings or registrations in foreign jurisdictions) that evidence or perfect the interests of such purchasers or transferees; and</w:t>
      </w:r>
    </w:p>
    <w:p>
      <w:pPr>
        <w:spacing w:after="0" w:line="171" w:lineRule="exact"/>
        <w:rPr>
          <w:rFonts w:ascii="Times New Roman" w:cs="Times New Roman" w:eastAsia="Times New Roman" w:hAnsi="Times New Roman"/>
          <w:sz w:val="21"/>
          <w:szCs w:val="21"/>
          <w:color w:val="auto"/>
        </w:rPr>
      </w:pPr>
    </w:p>
    <w:p>
      <w:pPr>
        <w:jc w:val="both"/>
        <w:ind w:firstLine="718"/>
        <w:spacing w:after="0" w:line="257" w:lineRule="auto"/>
        <w:tabs>
          <w:tab w:leader="none" w:pos="127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Liens securing other Indebtedness (and obligations relating thereto not constituting Indebtedness) of the Borrower and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any such Lien or Indebtedness is created, incurred or assumed, the aggregate outstanding principal amount of Indebtedness secured pursuant to this clause (w), when added to, without duplication, the aggregate outstanding principal amount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58"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1"/>
          <w:szCs w:val="21"/>
          <w:color w:val="auto"/>
        </w:rPr>
        <w:t xml:space="preserve">permitted pursuant to </w:t>
      </w:r>
      <w:r>
        <w:rPr>
          <w:rFonts w:ascii="Times New Roman" w:cs="Times New Roman" w:eastAsia="Times New Roman" w:hAnsi="Times New Roman"/>
          <w:sz w:val="21"/>
          <w:szCs w:val="21"/>
          <w:u w:val="single" w:color="auto"/>
          <w:color w:val="auto"/>
        </w:rPr>
        <w:t>Section 7.02(f)</w:t>
      </w:r>
      <w:r>
        <w:rPr>
          <w:rFonts w:ascii="Times New Roman" w:cs="Times New Roman" w:eastAsia="Times New Roman" w:hAnsi="Times New Roman"/>
          <w:sz w:val="21"/>
          <w:szCs w:val="21"/>
          <w:color w:val="auto"/>
        </w:rPr>
        <w:t>, does not exceed $100,000,000 at any time outstanding.</w:t>
      </w:r>
    </w:p>
    <w:p>
      <w:pPr>
        <w:spacing w:after="0" w:line="222"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Subsidiary Indebtedness</w:t>
      </w:r>
      <w:r>
        <w:rPr>
          <w:rFonts w:ascii="Times New Roman" w:cs="Times New Roman" w:eastAsia="Times New Roman" w:hAnsi="Times New Roman"/>
          <w:sz w:val="21"/>
          <w:szCs w:val="21"/>
          <w:color w:val="auto"/>
        </w:rPr>
        <w:t>. The Borrower will not permit any Subsidiary (other than the Borrower or any Subsidiary Guarantor) to create, incur, assume or permit to exist any Indebtedness, other than:</w:t>
      </w:r>
    </w:p>
    <w:p>
      <w:pPr>
        <w:spacing w:after="0" w:line="155" w:lineRule="exact"/>
        <w:rPr>
          <w:sz w:val="20"/>
          <w:szCs w:val="20"/>
          <w:color w:val="auto"/>
        </w:rPr>
      </w:pPr>
    </w:p>
    <w:p>
      <w:pPr>
        <w:jc w:val="both"/>
        <w:ind w:firstLine="718"/>
        <w:spacing w:after="0" w:line="257" w:lineRule="auto"/>
        <w:tabs>
          <w:tab w:leader="none" w:pos="126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outstanding on the Effective Date and set forth on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02</w:t>
      </w:r>
      <w:r>
        <w:rPr>
          <w:rFonts w:ascii="Times New Roman" w:cs="Times New Roman" w:eastAsia="Times New Roman" w:hAnsi="Times New Roman"/>
          <w:sz w:val="21"/>
          <w:szCs w:val="21"/>
          <w:color w:val="auto"/>
        </w:rPr>
        <w:t xml:space="preserve"> and any renewals, extensions or refinancings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such Indebtedness is not increased except by an amount equal to a reasonable premium or other reasonable amount paid, and fees and expenses reasonably incurred, in connection with any renewal, extension or refinancing thereof and by an amount equal to any existing commitments unutilized thereunder;</w:t>
      </w:r>
    </w:p>
    <w:p>
      <w:pPr>
        <w:spacing w:after="0" w:line="171"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(contingent or otherwise) of any Subsidiary existing or arising under any Swap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2"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by any Subsidiary of Indebtedness otherwise permitted hereunder of any other Subsidiary or of the</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w:t>
      </w:r>
    </w:p>
    <w:p>
      <w:pPr>
        <w:spacing w:after="0" w:line="198" w:lineRule="exact"/>
        <w:rPr>
          <w:rFonts w:ascii="Times New Roman" w:cs="Times New Roman" w:eastAsia="Times New Roman" w:hAnsi="Times New Roman"/>
          <w:sz w:val="21"/>
          <w:szCs w:val="21"/>
          <w:color w:val="auto"/>
        </w:rPr>
      </w:pPr>
    </w:p>
    <w:p>
      <w:pPr>
        <w:jc w:val="both"/>
        <w:ind w:firstLine="718"/>
        <w:spacing w:after="0" w:line="251" w:lineRule="auto"/>
        <w:tabs>
          <w:tab w:leader="none" w:pos="126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any Person that becomes a Subsidiary (or of any Person not previously a Subsidiary that is merged or consolidated with or into a Subsidiary in a transaction or series of related transactions permitted hereunder) after the Effective Date existing at the time such Person becomes a Subsidiary (or is so merged or consolidated), and any renewals, extensions or refinancings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is not created in contemplation of or in connection with such Person becoming a Subsidiary (or such merger or consolidation) and (ii) the amount of such Indebtedness is not increased, except by an amount equal to a reasonable premium or other reasonable amount paid, and fees and expenses reasonably incurred, in connection with any renewal, extension or refinancing of such Indebtedness;</w:t>
      </w:r>
    </w:p>
    <w:p>
      <w:pPr>
        <w:spacing w:after="0" w:line="179" w:lineRule="exact"/>
        <w:rPr>
          <w:rFonts w:ascii="Times New Roman" w:cs="Times New Roman" w:eastAsia="Times New Roman" w:hAnsi="Times New Roman"/>
          <w:sz w:val="21"/>
          <w:szCs w:val="21"/>
          <w:color w:val="auto"/>
        </w:rPr>
      </w:pPr>
    </w:p>
    <w:p>
      <w:pPr>
        <w:jc w:val="both"/>
        <w:ind w:firstLine="718"/>
        <w:spacing w:after="0" w:line="255" w:lineRule="auto"/>
        <w:tabs>
          <w:tab w:leader="none" w:pos="126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to finance the acquisition, construction or improvement of any fixed or capital assets, including Capital Lease Obligations, or assumed in connection with the acquisition of any fixed or capital assets, and any extensions, renewals and refinancings thereof that do not increase the outstanding principal amount thereof except by an amount equal to a reasonable premium or other reasonable amount paid, and fees and expenses reasonably incurred, in connection with any renewal, extension or refinancing of such Indebtedness;</w:t>
      </w:r>
    </w:p>
    <w:p>
      <w:pPr>
        <w:spacing w:after="0" w:line="161"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such Indebtedness is created, incurred or assumed, the aggregate outstanding principal amount of Indebtedness permitted by this clause (f), when added to, without duplication, the aggregate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358" w:right="339" w:bottom="1440" w:gutter="0" w:footer="0" w:header="0"/>
        </w:sectPr>
      </w:pPr>
    </w:p>
    <w:bookmarkStart w:id="212" w:name="page213"/>
    <w:bookmarkEnd w:id="212"/>
    <w:p>
      <w:pPr>
        <w:spacing w:after="0" w:line="285" w:lineRule="auto"/>
        <w:rPr>
          <w:sz w:val="20"/>
          <w:szCs w:val="20"/>
          <w:color w:val="auto"/>
        </w:rPr>
      </w:pPr>
      <w:r>
        <w:rPr>
          <w:rFonts w:ascii="Times New Roman" w:cs="Times New Roman" w:eastAsia="Times New Roman" w:hAnsi="Times New Roman"/>
          <w:sz w:val="21"/>
          <w:szCs w:val="21"/>
          <w:color w:val="auto"/>
        </w:rPr>
        <w:t xml:space="preserve">principal amount of Indebtedness that is secured by Liens permitted by </w:t>
      </w:r>
      <w:r>
        <w:rPr>
          <w:rFonts w:ascii="Times New Roman" w:cs="Times New Roman" w:eastAsia="Times New Roman" w:hAnsi="Times New Roman"/>
          <w:sz w:val="21"/>
          <w:szCs w:val="21"/>
          <w:u w:val="single" w:color="auto"/>
          <w:color w:val="auto"/>
        </w:rPr>
        <w:t>Section 7.01(w)</w:t>
      </w:r>
      <w:r>
        <w:rPr>
          <w:rFonts w:ascii="Times New Roman" w:cs="Times New Roman" w:eastAsia="Times New Roman" w:hAnsi="Times New Roman"/>
          <w:sz w:val="21"/>
          <w:szCs w:val="21"/>
          <w:color w:val="auto"/>
        </w:rPr>
        <w:t>, does not exceed $100,000,000 at any time outstanding;</w:t>
      </w:r>
    </w:p>
    <w:p>
      <w:pPr>
        <w:spacing w:after="0" w:line="129" w:lineRule="exact"/>
        <w:rPr>
          <w:sz w:val="20"/>
          <w:szCs w:val="20"/>
          <w:color w:val="auto"/>
        </w:rPr>
      </w:pPr>
    </w:p>
    <w:p>
      <w:pPr>
        <w:ind w:firstLine="718"/>
        <w:spacing w:after="0" w:line="285" w:lineRule="auto"/>
        <w:tabs>
          <w:tab w:leader="none" w:pos="126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intercompany loans owed by any Subsidiary to Borrower or to any other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shall not have been transferred or assigned to any Person other than Borrower or any Subsidiary;</w:t>
      </w:r>
    </w:p>
    <w:p>
      <w:pPr>
        <w:spacing w:after="0" w:line="141" w:lineRule="exact"/>
        <w:rPr>
          <w:rFonts w:ascii="Times New Roman" w:cs="Times New Roman" w:eastAsia="Times New Roman" w:hAnsi="Times New Roman"/>
          <w:sz w:val="21"/>
          <w:szCs w:val="21"/>
          <w:color w:val="auto"/>
        </w:rPr>
      </w:pPr>
    </w:p>
    <w:p>
      <w:pPr>
        <w:ind w:firstLine="718"/>
        <w:spacing w:after="0" w:line="285" w:lineRule="auto"/>
        <w:tabs>
          <w:tab w:leader="none" w:pos="126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arising in connection with the administration and operation of cash management services for the Borrower and any of its Subsidiaries, including cash pooling arrangements and overdraft facilities;</w:t>
      </w:r>
    </w:p>
    <w:p>
      <w:pPr>
        <w:spacing w:after="0" w:line="128" w:lineRule="exact"/>
        <w:rPr>
          <w:rFonts w:ascii="Times New Roman" w:cs="Times New Roman" w:eastAsia="Times New Roman" w:hAnsi="Times New Roman"/>
          <w:sz w:val="21"/>
          <w:szCs w:val="21"/>
          <w:color w:val="auto"/>
        </w:rPr>
      </w:pPr>
    </w:p>
    <w:p>
      <w:pPr>
        <w:ind w:firstLine="718"/>
        <w:spacing w:after="0" w:line="285" w:lineRule="auto"/>
        <w:tabs>
          <w:tab w:leader="none" w:pos="127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or contingent obligations arising under letters of credit (including standby and commercial), bankers’ acceptances, bank guarantees, surety bonds and similar instruments; obtained or applied for in the ordinary course of business; and</w:t>
      </w:r>
    </w:p>
    <w:p>
      <w:pPr>
        <w:spacing w:after="0" w:line="141" w:lineRule="exact"/>
        <w:rPr>
          <w:rFonts w:ascii="Times New Roman" w:cs="Times New Roman" w:eastAsia="Times New Roman" w:hAnsi="Times New Roman"/>
          <w:sz w:val="21"/>
          <w:szCs w:val="21"/>
          <w:color w:val="auto"/>
        </w:rPr>
      </w:pPr>
    </w:p>
    <w:p>
      <w:pPr>
        <w:jc w:val="both"/>
        <w:ind w:firstLine="718"/>
        <w:spacing w:after="0" w:line="261" w:lineRule="auto"/>
        <w:tabs>
          <w:tab w:leader="none" w:pos="127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 Person that becomes a Subsidiary after the date hereof pursuant to an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Indebtedness (i) was in existence prior to the date of such acquisition and (ii) was not incurred in connection with, or in contemplation of, such acquisition.</w:t>
      </w:r>
    </w:p>
    <w:p>
      <w:pPr>
        <w:spacing w:after="0" w:line="16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 (a) None of the Borrower or the other Loan Parties will (i) dissolve or be liquidated or (ii) merge or consolidate with or into another Person, unless, in the case of this clause (ii), (A) at the time thereof and immediately after giving effect thereto no Event of Default shall have occurred and be continuing, (B) if the Borrower is party to such consolidation or merger, the Borrower is the survivor of such consolidation or merger and (C) if any other Loan Party is party to such consolidation or merger and is not the survivor of any such consolidation or merger, (1) the surviving Person of such consolidation or merger shall expressly assume all the rights and obligations of such other Loan Party under this Agreement and the other Loan Documents pursuant to documentation reasonably satisfactory to the Administrative Agent and shall thereafter be deemed to be such other Loan Party for all purposes hereunder and (2) such consolidation or merger will not result in a change in the jurisdiction of organization of such other Loan Party (other than to any state within the United States).</w:t>
      </w:r>
    </w:p>
    <w:p>
      <w:pPr>
        <w:spacing w:after="0" w:line="165" w:lineRule="exact"/>
        <w:rPr>
          <w:sz w:val="20"/>
          <w:szCs w:val="20"/>
          <w:color w:val="auto"/>
        </w:rPr>
      </w:pPr>
    </w:p>
    <w:p>
      <w:pPr>
        <w:jc w:val="both"/>
        <w:ind w:firstLine="718"/>
        <w:spacing w:after="0" w:line="261" w:lineRule="auto"/>
        <w:tabs>
          <w:tab w:leader="none" w:pos="126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the Borrower and the other Loan Parties or any other Subsidiary will Dispose of (whether in one transaction or in a series of transactions) all or substantially all of the assets (whether now owned or hereafter acquired) of the Borrower and the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assets of and Equity Interests in any Subsidiary may be disposed of to any other </w:t>
      </w:r>
      <w:r>
        <w:rPr>
          <w:rFonts w:ascii="Times New Roman" w:cs="Times New Roman" w:eastAsia="Times New Roman" w:hAnsi="Times New Roman"/>
          <w:sz w:val="21"/>
          <w:szCs w:val="21"/>
          <w:b w:val="1"/>
          <w:bCs w:val="1"/>
          <w:color w:val="FF0000"/>
          <w:strike w:val="1"/>
        </w:rPr>
        <w:t>Wholly-Owned</w:t>
      </w:r>
      <w:r>
        <w:rPr>
          <w:rFonts w:ascii="Times New Roman" w:cs="Times New Roman" w:eastAsia="Times New Roman" w:hAnsi="Times New Roman"/>
          <w:sz w:val="21"/>
          <w:szCs w:val="21"/>
          <w:b w:val="1"/>
          <w:bCs w:val="1"/>
          <w:u w:val="single" w:color="auto"/>
          <w:color w:val="0000FF"/>
        </w:rPr>
        <w:t>Wholly Owned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Subsidiary or to Borrower.</w:t>
      </w:r>
    </w:p>
    <w:p>
      <w:pPr>
        <w:spacing w:after="0" w:line="169"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7.04.</w:t>
      </w:r>
      <w:r>
        <w:rPr>
          <w:sz w:val="20"/>
          <w:szCs w:val="20"/>
          <w:color w:val="auto"/>
        </w:rPr>
        <w:tab/>
      </w:r>
      <w:r>
        <w:rPr>
          <w:rFonts w:ascii="Times New Roman" w:cs="Times New Roman" w:eastAsia="Times New Roman" w:hAnsi="Times New Roman"/>
          <w:sz w:val="21"/>
          <w:szCs w:val="21"/>
          <w:u w:val="single" w:color="auto"/>
          <w:color w:val="auto"/>
        </w:rPr>
        <w:t>Dispositions</w:t>
      </w:r>
      <w:r>
        <w:rPr>
          <w:rFonts w:ascii="Times New Roman" w:cs="Times New Roman" w:eastAsia="Times New Roman" w:hAnsi="Times New Roman"/>
          <w:sz w:val="21"/>
          <w:szCs w:val="21"/>
          <w:color w:val="auto"/>
        </w:rPr>
        <w:t>. The Borrower will not, and will not permit any Subsidiary to, make any Disposition,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w:t>
      </w:r>
    </w:p>
    <w:p>
      <w:pPr>
        <w:spacing w:after="0" w:line="212" w:lineRule="exact"/>
        <w:rPr>
          <w:sz w:val="20"/>
          <w:szCs w:val="20"/>
          <w:color w:val="auto"/>
        </w:rPr>
      </w:pPr>
    </w:p>
    <w:p>
      <w:pPr>
        <w:ind w:firstLine="1278"/>
        <w:spacing w:after="0" w:line="285" w:lineRule="auto"/>
        <w:tabs>
          <w:tab w:leader="none" w:pos="1905" w:val="left"/>
        </w:tabs>
        <w:numPr>
          <w:ilvl w:val="0"/>
          <w:numId w:val="1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obsolete, worn out or surplus property (other than IP Rights) that is not material to the business of the Borrower or its Subsidiaries,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358" w:right="339" w:bottom="1440" w:gutter="0" w:footer="0" w:header="0"/>
        </w:sectPr>
      </w:pPr>
    </w:p>
    <w:bookmarkStart w:id="213" w:name="page214"/>
    <w:bookmarkEnd w:id="213"/>
    <w:p>
      <w:pPr>
        <w:spacing w:after="0" w:line="285" w:lineRule="auto"/>
        <w:rPr>
          <w:sz w:val="20"/>
          <w:szCs w:val="20"/>
          <w:color w:val="auto"/>
        </w:rPr>
      </w:pPr>
      <w:r>
        <w:rPr>
          <w:rFonts w:ascii="Times New Roman" w:cs="Times New Roman" w:eastAsia="Times New Roman" w:hAnsi="Times New Roman"/>
          <w:sz w:val="21"/>
          <w:szCs w:val="21"/>
          <w:color w:val="auto"/>
        </w:rPr>
        <w:t>no longer used or useful or economically practicable to maintain in the conduct of the business of the Borrower and its Subsidiaries in the ordinary course of business;</w:t>
      </w:r>
    </w:p>
    <w:p>
      <w:pPr>
        <w:spacing w:after="0" w:line="142" w:lineRule="exact"/>
        <w:rPr>
          <w:sz w:val="20"/>
          <w:szCs w:val="20"/>
          <w:color w:val="auto"/>
        </w:rPr>
      </w:pPr>
    </w:p>
    <w:p>
      <w:pPr>
        <w:ind w:left="1900" w:hanging="622"/>
        <w:spacing w:after="0"/>
        <w:tabs>
          <w:tab w:leader="none" w:pos="1900"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cash and inventory in the ordinary course of business;</w:t>
      </w:r>
    </w:p>
    <w:p>
      <w:pPr>
        <w:spacing w:after="0" w:line="235" w:lineRule="exact"/>
        <w:rPr>
          <w:rFonts w:ascii="Times New Roman" w:cs="Times New Roman" w:eastAsia="Times New Roman" w:hAnsi="Times New Roman"/>
          <w:sz w:val="21"/>
          <w:szCs w:val="21"/>
          <w:color w:val="010000"/>
        </w:rPr>
      </w:pPr>
    </w:p>
    <w:p>
      <w:pPr>
        <w:ind w:firstLine="1278"/>
        <w:spacing w:after="0" w:line="285" w:lineRule="auto"/>
        <w:tabs>
          <w:tab w:leader="none" w:pos="1905"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(i) long-term investments and (ii) other investments acquired pursuant to the Borrower’s investment policy approved by its board of directors (or committee thereof);</w:t>
      </w:r>
    </w:p>
    <w:p>
      <w:pPr>
        <w:spacing w:after="0" w:line="141" w:lineRule="exact"/>
        <w:rPr>
          <w:rFonts w:ascii="Times New Roman" w:cs="Times New Roman" w:eastAsia="Times New Roman" w:hAnsi="Times New Roman"/>
          <w:sz w:val="21"/>
          <w:szCs w:val="21"/>
          <w:color w:val="010000"/>
        </w:rPr>
      </w:pPr>
    </w:p>
    <w:p>
      <w:pPr>
        <w:jc w:val="both"/>
        <w:ind w:firstLine="1278"/>
        <w:spacing w:after="0" w:line="267" w:lineRule="auto"/>
        <w:tabs>
          <w:tab w:leader="none" w:pos="1903"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4" w:lineRule="exact"/>
        <w:rPr>
          <w:rFonts w:ascii="Times New Roman" w:cs="Times New Roman" w:eastAsia="Times New Roman" w:hAnsi="Times New Roman"/>
          <w:sz w:val="21"/>
          <w:szCs w:val="21"/>
          <w:color w:val="010000"/>
        </w:rPr>
      </w:pPr>
    </w:p>
    <w:p>
      <w:pPr>
        <w:ind w:left="1920" w:hanging="642"/>
        <w:spacing w:after="0"/>
        <w:tabs>
          <w:tab w:leader="none" w:pos="1920"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property by the Borrower or any Subsidiary Guarantor to the Borrower or any other</w:t>
      </w:r>
    </w:p>
    <w:p>
      <w:pPr>
        <w:spacing w:after="0" w:line="34"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Subsidiary Guarantor;</w:t>
      </w:r>
    </w:p>
    <w:p>
      <w:pPr>
        <w:spacing w:after="0" w:line="198" w:lineRule="exact"/>
        <w:rPr>
          <w:rFonts w:ascii="Times New Roman" w:cs="Times New Roman" w:eastAsia="Times New Roman" w:hAnsi="Times New Roman"/>
          <w:sz w:val="21"/>
          <w:szCs w:val="21"/>
          <w:color w:val="010000"/>
        </w:rPr>
      </w:pPr>
    </w:p>
    <w:p>
      <w:pPr>
        <w:jc w:val="both"/>
        <w:ind w:firstLine="1278"/>
        <w:spacing w:after="0" w:line="264" w:lineRule="auto"/>
        <w:tabs>
          <w:tab w:leader="none" w:pos="1908"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leases, licenses, subleases or sublicenses (including the provision of open source software under an open source license) granted in the ordinary course of business or as approved by the board of directors of the Borrower and, in each case, on ordinary commercial terms that do not interfere in any material respect with the business of the Borrower and its Subsidiaries;</w:t>
      </w:r>
    </w:p>
    <w:p>
      <w:pPr>
        <w:spacing w:after="0" w:line="200" w:lineRule="exact"/>
        <w:rPr>
          <w:rFonts w:ascii="Times New Roman" w:cs="Times New Roman" w:eastAsia="Times New Roman" w:hAnsi="Times New Roman"/>
          <w:sz w:val="21"/>
          <w:szCs w:val="21"/>
          <w:color w:val="010000"/>
        </w:rPr>
      </w:pPr>
    </w:p>
    <w:p>
      <w:pPr>
        <w:spacing w:after="0" w:line="235" w:lineRule="exact"/>
        <w:rPr>
          <w:rFonts w:ascii="Times New Roman" w:cs="Times New Roman" w:eastAsia="Times New Roman" w:hAnsi="Times New Roman"/>
          <w:sz w:val="21"/>
          <w:szCs w:val="21"/>
          <w:color w:val="010000"/>
        </w:rPr>
      </w:pPr>
    </w:p>
    <w:p>
      <w:pPr>
        <w:ind w:firstLine="1278"/>
        <w:spacing w:after="0" w:line="285" w:lineRule="auto"/>
        <w:tabs>
          <w:tab w:leader="none" w:pos="1903"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intellectual property rights (other than as permitted by clause (e) above) that are no longer used or useful in the business of the Borrower and its Subsidiaries;</w:t>
      </w:r>
    </w:p>
    <w:p>
      <w:pPr>
        <w:spacing w:after="0" w:line="141" w:lineRule="exact"/>
        <w:rPr>
          <w:rFonts w:ascii="Times New Roman" w:cs="Times New Roman" w:eastAsia="Times New Roman" w:hAnsi="Times New Roman"/>
          <w:sz w:val="21"/>
          <w:szCs w:val="21"/>
          <w:color w:val="010000"/>
        </w:rPr>
      </w:pPr>
    </w:p>
    <w:p>
      <w:pPr>
        <w:ind w:firstLine="1278"/>
        <w:spacing w:after="0" w:line="285" w:lineRule="auto"/>
        <w:tabs>
          <w:tab w:leader="none" w:pos="1903"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discount, write-off or Disposition of accounts receivable overdue by more than ninety days, in each case in the ordinary course of business;</w:t>
      </w:r>
    </w:p>
    <w:p>
      <w:pPr>
        <w:spacing w:after="0" w:line="141" w:lineRule="exact"/>
        <w:rPr>
          <w:rFonts w:ascii="Times New Roman" w:cs="Times New Roman" w:eastAsia="Times New Roman" w:hAnsi="Times New Roman"/>
          <w:sz w:val="21"/>
          <w:szCs w:val="21"/>
          <w:color w:val="010000"/>
        </w:rPr>
      </w:pPr>
    </w:p>
    <w:p>
      <w:pPr>
        <w:jc w:val="both"/>
        <w:ind w:firstLine="1278"/>
        <w:spacing w:after="0" w:line="262" w:lineRule="auto"/>
        <w:tabs>
          <w:tab w:leader="none" w:pos="1896"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Dispositions of non-core assets acquired in an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Dispositions shall be consummated within 360 days of such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 the consideration received for such assets shall be in an amount at least equal to the fair market value thereof (determined in good faith by the board of directors of the Borrower) and</w:t>
      </w:r>
    </w:p>
    <w:p>
      <w:pPr>
        <w:spacing w:after="0" w:line="1" w:lineRule="exact"/>
        <w:rPr>
          <w:rFonts w:ascii="Times New Roman" w:cs="Times New Roman" w:eastAsia="Times New Roman" w:hAnsi="Times New Roman"/>
          <w:sz w:val="21"/>
          <w:szCs w:val="21"/>
          <w:color w:val="010000"/>
        </w:rPr>
      </w:pPr>
    </w:p>
    <w:p>
      <w:pPr>
        <w:ind w:left="320" w:hanging="314"/>
        <w:spacing w:after="0"/>
        <w:tabs>
          <w:tab w:leader="none" w:pos="32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less than 75% thereof shall be paid in cash;</w:t>
      </w:r>
    </w:p>
    <w:p>
      <w:pPr>
        <w:spacing w:after="0" w:line="19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Restricted Payments permitted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010000"/>
        </w:rPr>
      </w:pPr>
    </w:p>
    <w:p>
      <w:pPr>
        <w:ind w:right="20" w:firstLine="1278"/>
        <w:spacing w:after="0" w:line="298" w:lineRule="auto"/>
        <w:tabs>
          <w:tab w:leader="none" w:pos="1903" w:val="left"/>
        </w:tabs>
        <w:numPr>
          <w:ilvl w:val="1"/>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property to the Borrower or any of its Subsidiaries; provided that if the transferor of such property is a Guarantor, the transferee thereof must either be the Borrower or a Guarantor;</w:t>
      </w:r>
    </w:p>
    <w:p>
      <w:pPr>
        <w:spacing w:after="0" w:line="129" w:lineRule="exact"/>
        <w:rPr>
          <w:rFonts w:ascii="Times New Roman" w:cs="Times New Roman" w:eastAsia="Times New Roman" w:hAnsi="Times New Roman"/>
          <w:sz w:val="21"/>
          <w:szCs w:val="21"/>
          <w:color w:val="010000"/>
        </w:rPr>
      </w:pPr>
    </w:p>
    <w:p>
      <w:pPr>
        <w:ind w:firstLine="1278"/>
        <w:spacing w:after="0" w:line="285" w:lineRule="auto"/>
        <w:tabs>
          <w:tab w:leader="none" w:pos="1896" w:val="left"/>
        </w:tabs>
        <w:numPr>
          <w:ilvl w:val="1"/>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Dispositions of investments in joint ventures, to the extent required by, or made pursuant to buy/sell arrangements between the joint venture parties set forth in joint venture arrangements and similar binding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371" w:right="339" w:bottom="1440" w:gutter="0" w:footer="0" w:header="0"/>
        </w:sectPr>
      </w:pPr>
    </w:p>
    <w:bookmarkStart w:id="214" w:name="page215"/>
    <w:bookmarkEnd w:id="214"/>
    <w:p>
      <w:pPr>
        <w:jc w:val="both"/>
        <w:ind w:firstLine="1278"/>
        <w:spacing w:after="0" w:line="257" w:lineRule="auto"/>
        <w:tabs>
          <w:tab w:leader="none" w:pos="1896"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Dispositions in any transaction or series of transactions not constituting Indebtedness pursuant to which the Borrower or any Subsidiary conveys, assigns, or otherwise transfers for fair market value (as determined by the Borrower in good faith) its right to receive royalty payments and related rights thereto from any Person that is not an Affiliate of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(m) </w:t>
      </w:r>
      <w:r>
        <w:rPr>
          <w:rFonts w:ascii="Times New Roman" w:cs="Times New Roman" w:eastAsia="Times New Roman" w:hAnsi="Times New Roman"/>
          <w:sz w:val="21"/>
          <w:szCs w:val="21"/>
          <w:i w:val="1"/>
          <w:iCs w:val="1"/>
          <w:color w:val="auto"/>
        </w:rPr>
        <w:t xml:space="preserve">plus </w:t>
      </w:r>
      <w:r>
        <w:rPr>
          <w:rFonts w:ascii="Times New Roman" w:cs="Times New Roman" w:eastAsia="Times New Roman" w:hAnsi="Times New Roman"/>
          <w:sz w:val="21"/>
          <w:szCs w:val="21"/>
          <w:color w:val="auto"/>
        </w:rPr>
        <w:t>(ii) clause (n) of this Section, (determined on the date of consummation of any such Disposition by reference to the amount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consolidated revenues of the Borrower and its Subsidiaries for the most recent Reference Period for which financial statements shall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(or, prior to the first such delivery, as of the end of the most recent fiscal quarter covered by the financial statements referred to in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and</w:t>
      </w:r>
    </w:p>
    <w:p>
      <w:pPr>
        <w:spacing w:after="0" w:line="170" w:lineRule="exact"/>
        <w:rPr>
          <w:rFonts w:ascii="Times New Roman" w:cs="Times New Roman" w:eastAsia="Times New Roman" w:hAnsi="Times New Roman"/>
          <w:sz w:val="21"/>
          <w:szCs w:val="21"/>
          <w:color w:val="010000"/>
        </w:rPr>
      </w:pPr>
    </w:p>
    <w:p>
      <w:pPr>
        <w:jc w:val="both"/>
        <w:ind w:firstLine="1278"/>
        <w:spacing w:after="0" w:line="255" w:lineRule="auto"/>
        <w:tabs>
          <w:tab w:leader="none" w:pos="1903"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Dispositions by the Borrower and its Subsidiaries not otherwise permitted under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3% in the aggregate for all such Dispositions made pursuant to this clause (n)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(or, prior to the first such delivery, as of the end of the most recent fiscal quarter covered by the financial statements referred to in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clause (m) of this Section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6.01(b)</w:t>
      </w:r>
      <w:r>
        <w:rPr>
          <w:rFonts w:ascii="Times New Roman" w:cs="Times New Roman" w:eastAsia="Times New Roman" w:hAnsi="Times New Roman"/>
          <w:sz w:val="21"/>
          <w:szCs w:val="21"/>
          <w:color w:val="auto"/>
        </w:rPr>
        <w:t xml:space="preserve"> (or, prior to the first such delivery, as of the end of the most recent fiscal quarter covered by the financial statements referred to in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right="20" w:firstLine="636"/>
        <w:spacing w:after="0" w:line="272"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The Borrower will not, and will not permit any of its Subsidiaries to, declare or make, or agree to pay or make, directly or indirectly, any Restricted Payment, except:</w:t>
      </w:r>
    </w:p>
    <w:p>
      <w:pPr>
        <w:spacing w:after="0" w:line="155" w:lineRule="exact"/>
        <w:rPr>
          <w:sz w:val="20"/>
          <w:szCs w:val="20"/>
          <w:color w:val="auto"/>
        </w:rPr>
      </w:pPr>
    </w:p>
    <w:p>
      <w:pPr>
        <w:ind w:firstLine="1278"/>
        <w:spacing w:after="0" w:line="285" w:lineRule="auto"/>
        <w:tabs>
          <w:tab w:leader="none" w:pos="190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declare and pay dividends or make other Restricted Payments with respect to its Equity Interests payable solely in additional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371" w:right="339" w:bottom="1440" w:gutter="0" w:footer="0" w:header="0"/>
        </w:sectPr>
      </w:pPr>
    </w:p>
    <w:bookmarkStart w:id="215" w:name="page216"/>
    <w:bookmarkEnd w:id="215"/>
    <w:p>
      <w:pPr>
        <w:jc w:val="both"/>
        <w:ind w:firstLine="1278"/>
        <w:spacing w:after="0" w:line="254" w:lineRule="auto"/>
        <w:tabs>
          <w:tab w:leader="none" w:pos="190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t>
      </w:r>
      <w:r>
        <w:rPr>
          <w:rFonts w:ascii="Times New Roman" w:cs="Times New Roman" w:eastAsia="Times New Roman" w:hAnsi="Times New Roman"/>
          <w:sz w:val="21"/>
          <w:szCs w:val="21"/>
          <w:b w:val="1"/>
          <w:bCs w:val="1"/>
          <w:color w:val="FF0000"/>
          <w:strike w:val="1"/>
        </w:rPr>
        <w:t>wholly-owned</w:t>
      </w:r>
      <w:r>
        <w:rPr>
          <w:rFonts w:ascii="Times New Roman" w:cs="Times New Roman" w:eastAsia="Times New Roman" w:hAnsi="Times New Roman"/>
          <w:sz w:val="21"/>
          <w:szCs w:val="21"/>
          <w:b w:val="1"/>
          <w:bCs w:val="1"/>
          <w:u w:val="single" w:color="auto"/>
          <w:color w:val="0000FF"/>
        </w:rPr>
        <w:t>Wholly Owned</w:t>
      </w:r>
      <w:r>
        <w:rPr>
          <w:rFonts w:ascii="Times New Roman" w:cs="Times New Roman" w:eastAsia="Times New Roman" w:hAnsi="Times New Roman"/>
          <w:sz w:val="21"/>
          <w:szCs w:val="21"/>
          <w:color w:val="auto"/>
        </w:rPr>
        <w:t xml:space="preserve"> Subsidiary, made on at least a ratable basis to any such equityholders that are the Borrower or a Subsidiary), (ii) make other Restricted Payments to the Borrower or any Subsidiary Guarantor (either directly or indirectly through one or more Subsidiaries that are not Loan Parties) and (iii) make any Restricted Payments that the Borrower would have otherwise been permitted to make pursuant to this Section 7.05;</w:t>
      </w:r>
    </w:p>
    <w:p>
      <w:pPr>
        <w:spacing w:after="0" w:line="162" w:lineRule="exact"/>
        <w:rPr>
          <w:rFonts w:ascii="Times New Roman" w:cs="Times New Roman" w:eastAsia="Times New Roman" w:hAnsi="Times New Roman"/>
          <w:sz w:val="21"/>
          <w:szCs w:val="21"/>
          <w:color w:val="auto"/>
        </w:rPr>
      </w:pPr>
    </w:p>
    <w:p>
      <w:pPr>
        <w:jc w:val="both"/>
        <w:ind w:firstLine="1278"/>
        <w:spacing w:after="0" w:line="253" w:lineRule="auto"/>
        <w:tabs>
          <w:tab w:leader="none" w:pos="190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make Restricted Payments (i) for the repurchase, retirement or other acquisition or retirement for value of Equity Interests of the Borrower from any future, present or former employee, officer, director, manager or consultant of the Borrower or any Subsidiary upon the death, disability, retirement or termination of employment of any such Person or (ii) pursuant to and in accordance with any agreement (including any employment agreement), stock option or stock purchase plans, incentive plans or other benefit plans, in each case for future, present or former directors, officers, managers, employees or consultants of the Borrower and its Subsidiaries (including, without limitation, in respect of tax withholding or other similar tax obligation related to the foregoing);</w:t>
      </w:r>
    </w:p>
    <w:p>
      <w:pPr>
        <w:spacing w:after="0" w:line="165" w:lineRule="exact"/>
        <w:rPr>
          <w:rFonts w:ascii="Times New Roman" w:cs="Times New Roman" w:eastAsia="Times New Roman" w:hAnsi="Times New Roman"/>
          <w:sz w:val="21"/>
          <w:szCs w:val="21"/>
          <w:color w:val="auto"/>
        </w:rPr>
      </w:pPr>
    </w:p>
    <w:p>
      <w:pPr>
        <w:jc w:val="both"/>
        <w:ind w:firstLine="1278"/>
        <w:spacing w:after="0" w:line="267" w:lineRule="auto"/>
        <w:tabs>
          <w:tab w:leader="none" w:pos="190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161" w:lineRule="exact"/>
        <w:rPr>
          <w:rFonts w:ascii="Times New Roman" w:cs="Times New Roman" w:eastAsia="Times New Roman" w:hAnsi="Times New Roman"/>
          <w:sz w:val="21"/>
          <w:szCs w:val="21"/>
          <w:color w:val="auto"/>
        </w:rPr>
      </w:pPr>
    </w:p>
    <w:p>
      <w:pPr>
        <w:ind w:firstLine="1278"/>
        <w:spacing w:after="0" w:line="272" w:lineRule="auto"/>
        <w:tabs>
          <w:tab w:leader="none" w:pos="190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its Subsidiaries may make any other Restricted Payment so long as the aggregate amount of all such Restricted Payments during any fiscal year does not exceed $100,000,000;</w:t>
      </w:r>
    </w:p>
    <w:p>
      <w:pPr>
        <w:spacing w:after="0" w:line="154" w:lineRule="exact"/>
        <w:rPr>
          <w:rFonts w:ascii="Times New Roman" w:cs="Times New Roman" w:eastAsia="Times New Roman" w:hAnsi="Times New Roman"/>
          <w:sz w:val="21"/>
          <w:szCs w:val="21"/>
          <w:color w:val="auto"/>
        </w:rPr>
      </w:pPr>
    </w:p>
    <w:p>
      <w:pPr>
        <w:jc w:val="both"/>
        <w:ind w:firstLine="1278"/>
        <w:spacing w:after="0" w:line="254" w:lineRule="auto"/>
        <w:tabs>
          <w:tab w:leader="none" w:pos="1908"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or any Subsidiary may distribute Equity Interests (or rights thereto) pursuant to a stockholder rights plan or redeem such rights in accordance with the terms of such plan to the extent such Equity Interests, by their terms (or by the terms of any security, instrument, agreement or other Equity Interest into which it is convertible, or for which it is exchangeable), or upon the happening of any event or condition, do not require the Borrower or any Subsidiary to purchase, redeem, retire, defease or otherwise make any payment prior to the date which is ninety-one (91) days after the Maturity Date in respect of any such Equity Interests or any warrant, right or option to acquire such Equity Interests; and</w:t>
      </w:r>
    </w:p>
    <w:p>
      <w:pPr>
        <w:spacing w:after="0" w:line="162" w:lineRule="exact"/>
        <w:rPr>
          <w:rFonts w:ascii="Times New Roman" w:cs="Times New Roman" w:eastAsia="Times New Roman" w:hAnsi="Times New Roman"/>
          <w:sz w:val="21"/>
          <w:szCs w:val="21"/>
          <w:color w:val="auto"/>
        </w:rPr>
      </w:pPr>
    </w:p>
    <w:p>
      <w:pPr>
        <w:jc w:val="both"/>
        <w:ind w:firstLine="1278"/>
        <w:spacing w:after="0" w:line="267" w:lineRule="auto"/>
        <w:tabs>
          <w:tab w:leader="none" w:pos="190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its Subsidiaries may make any other Restricted Payment so long as the Consolidated Leverage Ratio, calculated as of the last day of the most recently ended fiscal quarter of the Borrower to give effect to the making of such Restricted Payment on a pro forma basis does not exceed 3.00:1.00.</w:t>
      </w:r>
    </w:p>
    <w:p>
      <w:pPr>
        <w:spacing w:after="0" w:line="161" w:lineRule="exact"/>
        <w:rPr>
          <w:sz w:val="20"/>
          <w:szCs w:val="20"/>
          <w:color w:val="auto"/>
        </w:rPr>
      </w:pPr>
    </w:p>
    <w:p>
      <w:pPr>
        <w:ind w:firstLine="636"/>
        <w:spacing w:after="0" w:line="298" w:lineRule="auto"/>
        <w:rPr>
          <w:sz w:val="20"/>
          <w:szCs w:val="20"/>
          <w:color w:val="auto"/>
        </w:rPr>
      </w:pPr>
      <w:r>
        <w:rPr>
          <w:rFonts w:ascii="Times New Roman" w:cs="Times New Roman" w:eastAsia="Times New Roman" w:hAnsi="Times New Roman"/>
          <w:sz w:val="21"/>
          <w:szCs w:val="21"/>
          <w:color w:val="auto"/>
        </w:rPr>
        <w:t xml:space="preserve">SECTION 7.06. </w:t>
      </w:r>
      <w:r>
        <w:rPr>
          <w:rFonts w:ascii="Times New Roman" w:cs="Times New Roman" w:eastAsia="Times New Roman" w:hAnsi="Times New Roman"/>
          <w:sz w:val="21"/>
          <w:szCs w:val="21"/>
          <w:u w:val="single" w:color="auto"/>
          <w:color w:val="auto"/>
        </w:rPr>
        <w:t>Consolidated Leverage Ratio</w:t>
      </w:r>
      <w:r>
        <w:rPr>
          <w:rFonts w:ascii="Times New Roman" w:cs="Times New Roman" w:eastAsia="Times New Roman" w:hAnsi="Times New Roman"/>
          <w:sz w:val="21"/>
          <w:szCs w:val="21"/>
          <w:color w:val="auto"/>
        </w:rPr>
        <w:t>. Borrower will not permit the Consolidated Leverage Ratio as of the last day of any fiscal quarter of the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358" w:right="339" w:bottom="1440" w:gutter="0" w:footer="0" w:header="0"/>
        </w:sectPr>
      </w:pPr>
    </w:p>
    <w:bookmarkStart w:id="216" w:name="page217"/>
    <w:bookmarkEnd w:id="216"/>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exceed 3.50:1.00;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 no more than two (2) occasions </w:t>
      </w:r>
      <w:r>
        <w:rPr>
          <w:rFonts w:ascii="Times New Roman" w:cs="Times New Roman" w:eastAsia="Times New Roman" w:hAnsi="Times New Roman"/>
          <w:sz w:val="21"/>
          <w:szCs w:val="21"/>
          <w:b w:val="1"/>
          <w:bCs w:val="1"/>
          <w:u w:val="single" w:color="auto"/>
          <w:color w:val="0000FF"/>
        </w:rPr>
        <w:t>after the Amendment No. 2 Effective Date</w:t>
      </w:r>
      <w:r>
        <w:rPr>
          <w:rFonts w:ascii="Times New Roman" w:cs="Times New Roman" w:eastAsia="Times New Roman" w:hAnsi="Times New Roman"/>
          <w:sz w:val="21"/>
          <w:szCs w:val="21"/>
          <w:color w:val="auto"/>
        </w:rPr>
        <w:t xml:space="preserve"> during the term of this Agreement, upon the consummation of a Qualified Acquisition, then the ratio set forth above shall be deemed increased to 4.00:1.00 as of the last day of each of the four fiscal quarters ending immediately after the most recent such Qualified Acquisition (including the fiscal quarter in which such Qualified Acquisition was consummated).</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ARTICLE VIII</w:t>
      </w: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u w:val="single" w:color="auto"/>
          <w:color w:val="auto"/>
        </w:rPr>
        <w:t>EVENTS OF DEFAULT AND REMEDIES</w:t>
      </w:r>
    </w:p>
    <w:p>
      <w:pPr>
        <w:spacing w:after="0" w:line="209"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u w:val="single" w:color="auto"/>
          <w:color w:val="auto"/>
        </w:rPr>
        <w:t xml:space="preserve"> Section 8.04</w:t>
      </w:r>
      <w:r>
        <w:rPr>
          <w:rFonts w:ascii="Times New Roman" w:cs="Times New Roman" w:eastAsia="Times New Roman" w:hAnsi="Times New Roman"/>
          <w:sz w:val="21"/>
          <w:szCs w:val="21"/>
          <w:color w:val="auto"/>
        </w:rPr>
        <w:t>, any of the following will constitute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18"/>
        <w:spacing w:after="0" w:line="257" w:lineRule="auto"/>
        <w:tabs>
          <w:tab w:leader="none" w:pos="126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w:t>
      </w:r>
      <w:r>
        <w:rPr>
          <w:rFonts w:ascii="Times New Roman" w:cs="Times New Roman" w:eastAsia="Times New Roman" w:hAnsi="Times New Roman"/>
          <w:sz w:val="21"/>
          <w:szCs w:val="21"/>
          <w:color w:val="auto"/>
        </w:rPr>
        <w:t xml:space="preserve">. The Borrower fails to pay when and as required to be paid herein, and in the currency required hereunder, (i) any amount of principal of any Loan or any L/C Obligation or (ii) within five (5) Business Days after the same becomes due, any interest on any Loan or on any L/C Obligation, any fee due hereunder or any other amount payable hereunder or under any other Loan Document (other than an amount specified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w:t>
      </w:r>
    </w:p>
    <w:p>
      <w:pPr>
        <w:spacing w:after="0" w:line="171" w:lineRule="exact"/>
        <w:rPr>
          <w:rFonts w:ascii="Times New Roman" w:cs="Times New Roman" w:eastAsia="Times New Roman" w:hAnsi="Times New Roman"/>
          <w:sz w:val="21"/>
          <w:szCs w:val="21"/>
          <w:color w:val="auto"/>
        </w:rPr>
      </w:pPr>
    </w:p>
    <w:p>
      <w:pPr>
        <w:ind w:firstLine="718"/>
        <w:spacing w:after="0" w:line="272" w:lineRule="auto"/>
        <w:tabs>
          <w:tab w:leader="none" w:pos="126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Covenants</w:t>
      </w:r>
      <w:r>
        <w:rPr>
          <w:rFonts w:ascii="Times New Roman" w:cs="Times New Roman" w:eastAsia="Times New Roman" w:hAnsi="Times New Roman"/>
          <w:sz w:val="21"/>
          <w:szCs w:val="21"/>
          <w:color w:val="auto"/>
        </w:rPr>
        <w:t xml:space="preserve">. Any Loan Party fails to perform or observe any term, covenant or agreement contained in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6.04(a)</w:t>
      </w:r>
      <w:r>
        <w:rPr>
          <w:rFonts w:ascii="Times New Roman" w:cs="Times New Roman" w:eastAsia="Times New Roman" w:hAnsi="Times New Roman"/>
          <w:sz w:val="21"/>
          <w:szCs w:val="21"/>
          <w:color w:val="auto"/>
        </w:rPr>
        <w:t xml:space="preserve"> (with respect to existence of the Borrower or any other Loan Party), </w:t>
      </w:r>
      <w:r>
        <w:rPr>
          <w:rFonts w:ascii="Times New Roman" w:cs="Times New Roman" w:eastAsia="Times New Roman" w:hAnsi="Times New Roman"/>
          <w:sz w:val="21"/>
          <w:szCs w:val="21"/>
          <w:u w:val="single" w:color="auto"/>
          <w:color w:val="auto"/>
        </w:rPr>
        <w:t>6.06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9.11</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Defaults</w:t>
      </w:r>
      <w:r>
        <w:rPr>
          <w:rFonts w:ascii="Times New Roman" w:cs="Times New Roman" w:eastAsia="Times New Roman" w:hAnsi="Times New Roman"/>
          <w:sz w:val="21"/>
          <w:szCs w:val="21"/>
          <w:color w:val="auto"/>
        </w:rPr>
        <w:t xml:space="preserve">. Any Loan Party fails to perform or observe any other covenant or agreement (not specified in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8.01(b)</w:t>
      </w:r>
      <w:r>
        <w:rPr>
          <w:rFonts w:ascii="Times New Roman" w:cs="Times New Roman" w:eastAsia="Times New Roman" w:hAnsi="Times New Roman"/>
          <w:sz w:val="21"/>
          <w:szCs w:val="21"/>
          <w:color w:val="auto"/>
        </w:rPr>
        <w:t>) contained in any Loan Document on its part to be performed or observed and such failure continues for thirty (30) days after notice thereof from the Administrative Agent (given at the request of any Lender) to the Borrower;</w:t>
      </w:r>
    </w:p>
    <w:p>
      <w:pPr>
        <w:spacing w:after="0" w:line="148"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Any representation and warranty made or deemed made by or on behalf of any Loan Party herein or in any other Loan Document, or any statement made by or on behalf of any Loan Party or any Responsible Officer thereof in any certificate delivered in connection with any Loan Document, is incorrect in any material respect when made or deemed made;</w:t>
      </w:r>
    </w:p>
    <w:p>
      <w:pPr>
        <w:spacing w:after="0" w:line="171" w:lineRule="exact"/>
        <w:rPr>
          <w:rFonts w:ascii="Times New Roman" w:cs="Times New Roman" w:eastAsia="Times New Roman" w:hAnsi="Times New Roman"/>
          <w:sz w:val="21"/>
          <w:szCs w:val="21"/>
          <w:color w:val="auto"/>
        </w:rPr>
      </w:pPr>
    </w:p>
    <w:p>
      <w:pPr>
        <w:jc w:val="both"/>
        <w:ind w:firstLine="718"/>
        <w:spacing w:after="0" w:line="251" w:lineRule="auto"/>
        <w:tabs>
          <w:tab w:leader="none" w:pos="126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Cross-Default</w:t>
      </w:r>
      <w:r>
        <w:rPr>
          <w:rFonts w:ascii="Times New Roman" w:cs="Times New Roman" w:eastAsia="Times New Roman" w:hAnsi="Times New Roman"/>
          <w:sz w:val="21"/>
          <w:szCs w:val="21"/>
          <w:color w:val="auto"/>
        </w:rPr>
        <w:t xml:space="preserve">. (i) The Borrower or any Material Subsidiary fails to make any payment of principal or interest in respect of any Material Indebtedness, when and as the same shall become due and payable (after giving effect to any applicable grace periods), (ii) any event or condition occurs that (A) results in any Material Indebtedness becoming due prior to its scheduled maturity or (B) enables or permits (after giving effect to any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01(e)(ii)</w:t>
      </w:r>
      <w:r>
        <w:rPr>
          <w:rFonts w:ascii="Times New Roman" w:cs="Times New Roman" w:eastAsia="Times New Roman" w:hAnsi="Times New Roman"/>
          <w:sz w:val="21"/>
          <w:szCs w:val="21"/>
          <w:color w:val="auto"/>
        </w:rPr>
        <w:t xml:space="preserve"> shall not apply to (x) secured Indebtedness that becomes due as a result of the voluntary sale or transfer of the property or assets securing such Indebtedness if such secured Indebtedness is paid when due,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367" w:right="339" w:bottom="1440" w:gutter="0" w:footer="0" w:header="0"/>
        </w:sectPr>
      </w:pPr>
    </w:p>
    <w:bookmarkStart w:id="217" w:name="page218"/>
    <w:bookmarkEnd w:id="217"/>
    <w:p>
      <w:pPr>
        <w:jc w:val="both"/>
        <w:spacing w:after="0" w:line="254" w:lineRule="auto"/>
        <w:rPr>
          <w:sz w:val="20"/>
          <w:szCs w:val="20"/>
          <w:color w:val="auto"/>
        </w:rPr>
      </w:pPr>
      <w:r>
        <w:rPr>
          <w:rFonts w:ascii="Times New Roman" w:cs="Times New Roman" w:eastAsia="Times New Roman" w:hAnsi="Times New Roman"/>
          <w:sz w:val="21"/>
          <w:szCs w:val="21"/>
          <w:color w:val="auto"/>
        </w:rPr>
        <w:t>any repayment, satisfaction and discharge or redemption of any Acquisition Indebtedness if the related Acquisition is not consummated or (z) any Indebtedness that becomes due as a result of a voluntary refinancing thereof or (iii) there occurs under any Swap Contract an early termination date resulting from (x) any event of default under such Swap Contract as to which the Borrower or any Material Subsidiary is the defaulting party thereunder or (y) any termination event under such Swap Contract as to which the Borrower or any Material Subsidiary is an affected party thereunder and, in either event, the Swap Termination Value owed by the Borrower or such Material Subsidiary as a result thereof is greater than $75,000,000;</w:t>
      </w:r>
    </w:p>
    <w:p>
      <w:pPr>
        <w:spacing w:after="0" w:line="163" w:lineRule="exact"/>
        <w:rPr>
          <w:sz w:val="20"/>
          <w:szCs w:val="20"/>
          <w:color w:val="auto"/>
        </w:rPr>
      </w:pPr>
    </w:p>
    <w:p>
      <w:pPr>
        <w:jc w:val="both"/>
        <w:ind w:firstLine="718"/>
        <w:spacing w:after="0" w:line="251" w:lineRule="auto"/>
        <w:tabs>
          <w:tab w:leader="none" w:pos="126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Insolvency Proceedings, Etc</w:t>
      </w:r>
      <w:r>
        <w:rPr>
          <w:rFonts w:ascii="Times New Roman" w:cs="Times New Roman" w:eastAsia="Times New Roman" w:hAnsi="Times New Roman"/>
          <w:sz w:val="21"/>
          <w:szCs w:val="21"/>
          <w:color w:val="auto"/>
        </w:rPr>
        <w:t>. The Borrower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examiner or similar officer for it or for all or any material part of its property; any receiver, trustee, custodian, conservator, liquidator, rehabilitator, examiner or similar officer is appointed without the application or consent of the Borrower or any Material Subsidiary and the appointment continues undischarged or unstayed for sixty (60) calendar days; or any proceeding under any Debtor Relief Law relating to the Borrower or any Material Subsidiary or to all or any material part of its property is instituted without the consent of such Person and continues undismissed or unstayed for sixty (60) calendar days, or an order for relief is entered in any such proceeding;</w:t>
      </w:r>
    </w:p>
    <w:p>
      <w:pPr>
        <w:spacing w:after="0" w:line="179"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Pay Debts; Attachment</w:t>
      </w:r>
      <w:r>
        <w:rPr>
          <w:rFonts w:ascii="Times New Roman" w:cs="Times New Roman" w:eastAsia="Times New Roman" w:hAnsi="Times New Roman"/>
          <w:sz w:val="21"/>
          <w:szCs w:val="21"/>
          <w:color w:val="auto"/>
        </w:rPr>
        <w:t>. (i) The Borrower or any Material Subsidiary becomes unable or admits in writing its inability or fails generally to pay its debts as they become due, or (ii) any writ or warrant of attachment or execution or similar process is issued or levied against all or any material part of the property of the Borrower or any Material Subsidiary and is not released, vacated or fully bonded within thirty (30) days after its issue or levy;</w:t>
      </w:r>
    </w:p>
    <w:p>
      <w:pPr>
        <w:spacing w:after="0" w:line="171" w:lineRule="exact"/>
        <w:rPr>
          <w:rFonts w:ascii="Times New Roman" w:cs="Times New Roman" w:eastAsia="Times New Roman" w:hAnsi="Times New Roman"/>
          <w:sz w:val="21"/>
          <w:szCs w:val="21"/>
          <w:color w:val="auto"/>
        </w:rPr>
      </w:pPr>
    </w:p>
    <w:p>
      <w:pPr>
        <w:jc w:val="both"/>
        <w:ind w:firstLine="718"/>
        <w:spacing w:after="0" w:line="255" w:lineRule="auto"/>
        <w:tabs>
          <w:tab w:leader="none" w:pos="126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There is entered against the Borrower or any Material Subsidiary a final judgment or order for the payment of money in an aggregate amount exceeding $75,000,000 (to the extent not covered by independent third-party insurance as to which the insurer does not dispute coverage) and (i) enforcement proceedings are commenced by any creditor upon such judgment or order and (ii) there is a period of thirty (30) consecutive days during which execution shall not have been effectively stayed, vacated or bonded pending appeal or otherwise;</w:t>
      </w:r>
    </w:p>
    <w:p>
      <w:pPr>
        <w:spacing w:after="0" w:line="174" w:lineRule="exact"/>
        <w:rPr>
          <w:rFonts w:ascii="Times New Roman" w:cs="Times New Roman" w:eastAsia="Times New Roman" w:hAnsi="Times New Roman"/>
          <w:sz w:val="21"/>
          <w:szCs w:val="21"/>
          <w:color w:val="auto"/>
        </w:rPr>
      </w:pPr>
    </w:p>
    <w:p>
      <w:pPr>
        <w:ind w:firstLine="718"/>
        <w:spacing w:after="0" w:line="272" w:lineRule="auto"/>
        <w:tabs>
          <w:tab w:leader="none" w:pos="127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An ERISA Event occurs with respect to a Pension Plan or Multiemployer Plan which has resulted or would reasonably be expected to result in a Material Adverse Effect;</w:t>
      </w:r>
    </w:p>
    <w:p>
      <w:pPr>
        <w:spacing w:after="0" w:line="154" w:lineRule="exact"/>
        <w:rPr>
          <w:rFonts w:ascii="Times New Roman" w:cs="Times New Roman" w:eastAsia="Times New Roman" w:hAnsi="Times New Roman"/>
          <w:sz w:val="21"/>
          <w:szCs w:val="21"/>
          <w:color w:val="auto"/>
        </w:rPr>
      </w:pPr>
    </w:p>
    <w:p>
      <w:pPr>
        <w:jc w:val="both"/>
        <w:ind w:firstLine="718"/>
        <w:spacing w:after="0" w:line="257" w:lineRule="auto"/>
        <w:tabs>
          <w:tab w:leader="none" w:pos="127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of Loan Documents</w:t>
      </w:r>
      <w:r>
        <w:rPr>
          <w:rFonts w:ascii="Times New Roman" w:cs="Times New Roman" w:eastAsia="Times New Roman" w:hAnsi="Times New Roman"/>
          <w:sz w:val="21"/>
          <w:szCs w:val="21"/>
          <w:color w:val="auto"/>
        </w:rPr>
        <w:t>. Any material provision of this Agreement, any other Loan Document or any material Guarantee under the Obligations Guarantee shall, for any reason, cease to be in full force and effect, or any Loan Party shall contest in writing the validity or enforceability of this Agreement, any other Loan Document or any such Guarantee, in each case, other than in accordance with the terms hereof and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358" w:right="339" w:bottom="1440" w:gutter="0" w:footer="0" w:header="0"/>
        </w:sectPr>
      </w:pPr>
    </w:p>
    <w:bookmarkStart w:id="218" w:name="page219"/>
    <w:bookmarkEnd w:id="218"/>
    <w:p>
      <w:pPr>
        <w:spacing w:after="0" w:line="285" w:lineRule="auto"/>
        <w:rPr>
          <w:sz w:val="20"/>
          <w:szCs w:val="20"/>
          <w:color w:val="auto"/>
        </w:rPr>
      </w:pPr>
      <w:r>
        <w:rPr>
          <w:rFonts w:ascii="Times New Roman" w:cs="Times New Roman" w:eastAsia="Times New Roman" w:hAnsi="Times New Roman"/>
          <w:sz w:val="21"/>
          <w:szCs w:val="21"/>
          <w:color w:val="auto"/>
        </w:rPr>
        <w:t xml:space="preserve">(including, in the case of a Subsidiary Guarantor, as a result of the release of such Subsidiary Guarantor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10.10</w:t>
      </w:r>
      <w:r>
        <w:rPr>
          <w:rFonts w:ascii="Times New Roman" w:cs="Times New Roman" w:eastAsia="Times New Roman" w:hAnsi="Times New Roman"/>
          <w:sz w:val="21"/>
          <w:szCs w:val="21"/>
          <w:color w:val="auto"/>
        </w:rPr>
        <w:t>); or</w:t>
      </w:r>
    </w:p>
    <w:p>
      <w:pPr>
        <w:spacing w:after="0" w:line="129" w:lineRule="exact"/>
        <w:rPr>
          <w:sz w:val="20"/>
          <w:szCs w:val="20"/>
          <w:color w:val="auto"/>
        </w:rPr>
      </w:pPr>
    </w:p>
    <w:p>
      <w:pPr>
        <w:ind w:left="1260" w:hanging="542"/>
        <w:spacing w:after="0"/>
        <w:tabs>
          <w:tab w:leader="none" w:pos="12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There occurs any Change of Control.</w:t>
      </w:r>
    </w:p>
    <w:p>
      <w:pPr>
        <w:spacing w:after="0" w:line="23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Remedies Upon Event of Default</w:t>
      </w:r>
      <w:r>
        <w:rPr>
          <w:rFonts w:ascii="Times New Roman" w:cs="Times New Roman" w:eastAsia="Times New Roman" w:hAnsi="Times New Roman"/>
          <w:sz w:val="21"/>
          <w:szCs w:val="21"/>
          <w:color w:val="auto"/>
        </w:rPr>
        <w:t>. If any Event of Default occurs and is continuing, the Administrative Agent will at the request of, or may with the consent of, the Required Lenders, take any or all of the following actions from and after the Effective Date:</w:t>
      </w:r>
    </w:p>
    <w:p>
      <w:pPr>
        <w:spacing w:after="0" w:line="153" w:lineRule="exact"/>
        <w:rPr>
          <w:sz w:val="20"/>
          <w:szCs w:val="20"/>
          <w:color w:val="auto"/>
        </w:rPr>
      </w:pPr>
    </w:p>
    <w:p>
      <w:pPr>
        <w:ind w:firstLine="718"/>
        <w:spacing w:after="0" w:line="285" w:lineRule="auto"/>
        <w:tabs>
          <w:tab w:leader="none" w:pos="1265"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Commitments and any obligation of each L/C Issuer to make L/C Credit Extensions to be terminated, whereupon all the Commitments and all such obligations shall immediately terminate;</w:t>
      </w:r>
    </w:p>
    <w:p>
      <w:pPr>
        <w:spacing w:after="0" w:line="141"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74"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5"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the Borrower Cash Collateralize the L/C Obligations (in an amount equal to the then Outstanding Amount thereof), without presentment, demand, protest or other notice of any kind, all of which are hereby expressly waived by the Loan Parties; and</w:t>
      </w:r>
    </w:p>
    <w:p>
      <w:pPr>
        <w:spacing w:after="0" w:line="161"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 on behalf of itself, the Lenders and the L/C Issuers all rights and remedies available to the Administrative Agent, the Lenders and the L/C Issuers under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an actual or deemed entry of an order for relief with respect to the Borrower under Debtor Relief Laws, all Commitments and all the obligations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Lender or any L/C Issuer and without presentment, demand, protest or other notice of any kind, all of which are hereby expressly waived by the Loan Parties.</w:t>
      </w:r>
    </w:p>
    <w:p>
      <w:pPr>
        <w:spacing w:after="0" w:line="17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Application of Funds</w:t>
      </w:r>
      <w:r>
        <w:rPr>
          <w:rFonts w:ascii="Times New Roman" w:cs="Times New Roman" w:eastAsia="Times New Roman" w:hAnsi="Times New Roman"/>
          <w:sz w:val="21"/>
          <w:szCs w:val="21"/>
          <w:color w:val="auto"/>
        </w:rPr>
        <w:t xml:space="preserve">. After the exercise of remedies provided for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any amounts received on account of the Obligations will, subject to </w:t>
      </w:r>
      <w:r>
        <w:rPr>
          <w:rFonts w:ascii="Times New Roman" w:cs="Times New Roman" w:eastAsia="Times New Roman" w:hAnsi="Times New Roman"/>
          <w:sz w:val="21"/>
          <w:szCs w:val="21"/>
          <w:u w:val="single" w:color="auto"/>
          <w:color w:val="auto"/>
        </w:rPr>
        <w:t>Sections 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be applied by the Administrative Agent in the following order:</w:t>
      </w:r>
    </w:p>
    <w:p>
      <w:pPr>
        <w:spacing w:after="0" w:line="169"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to payment of that portion of the Obligations constituting fees, indemnities, expenses and other amounts (including fees, charges and disbursements of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358"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1"/>
          <w:szCs w:val="21"/>
          <w:color w:val="auto"/>
        </w:rPr>
        <w:t xml:space="preserve">Administrative Agent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payable to the Administrative Agent in their capacity as such;</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payment of that portion of the Obligations constituting fees, indemnities and reimbursements payable to the Lenders, the L/C Issuers or the Arrangers (including fees, charges and disbursements of counsel to the Lenders, the L/C Issuers or the Arrangers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ratably among them in proportion to the respective amounts described in this clause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payable to them;</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to payment of that portion of the Obligations constituting accrued and unpaid interest on the Loans, the L/C Borrowings and the other Obligations, ratably among the Lenders and the L/C Issuers in proportion to the respective amounts described in this clause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payable to them;</w:t>
      </w:r>
    </w:p>
    <w:p>
      <w:pPr>
        <w:spacing w:after="0" w:line="175"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held by them;</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to the Administrative Agent for the account of each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21"/>
          <w:szCs w:val="21"/>
          <w:u w:val="single" w:color="auto"/>
          <w:color w:val="auto"/>
        </w:rPr>
        <w:t>Sections 2.04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and</w:t>
      </w:r>
    </w:p>
    <w:p>
      <w:pPr>
        <w:spacing w:after="0" w:line="161"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21"/>
          <w:szCs w:val="21"/>
          <w:u w:val="single" w:color="auto"/>
          <w:color w:val="auto"/>
        </w:rPr>
        <w:t>Last</w:t>
      </w:r>
      <w:r>
        <w:rPr>
          <w:rFonts w:ascii="Times New Roman" w:cs="Times New Roman" w:eastAsia="Times New Roman" w:hAnsi="Times New Roman"/>
          <w:sz w:val="21"/>
          <w:szCs w:val="21"/>
          <w:color w:val="auto"/>
        </w:rPr>
        <w:t>, the balance, if any, after all of the Obligations have been indefeasibly paid in full, to the Borrower or as otherwise required by Law.</w:t>
      </w:r>
    </w:p>
    <w:p>
      <w:pPr>
        <w:spacing w:after="0" w:line="129"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2.04(c)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amounts used to Cash Collateralize the aggregate undrawn amount of Letters of Credit pursuant to clause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above will be applied to satisfy drawings under such Letters of Credit as they occur. If any amount remains on deposit as Cash Collateral after all Letters of Credit have either been fully drawn or expired (other than Letters of Credit as to which other arrangements satisfactory to the applicable L/C Issuer and the Administrative Agent shall have been made), such remaining amount will be applied to the other Obligations, if any, in the order set forth above.</w:t>
      </w:r>
    </w:p>
    <w:p>
      <w:pPr>
        <w:spacing w:after="0" w:line="16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Cleanup Period</w:t>
      </w:r>
      <w:r>
        <w:rPr>
          <w:rFonts w:ascii="Times New Roman" w:cs="Times New Roman" w:eastAsia="Times New Roman" w:hAnsi="Times New Roman"/>
          <w:sz w:val="21"/>
          <w:szCs w:val="21"/>
          <w:color w:val="auto"/>
        </w:rPr>
        <w:t xml:space="preserve">. Notwithstanding anything to the contrary, if on the date of consummation of any Qualified Acquisition a matter or circumstance exists which constitutes a Default, such matter or circumstance will not constitute (other than for purposes of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 Default on the date of consummation of such Qualified Acquisition and during the five-day period following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matter or circumstance does not constitute (i) a Major Default or (ii) a Default incapable of being cured, (b) reasonable steps are being taken by the Borrower and its Subsidiaries to cure such Default and</w:t>
      </w:r>
    </w:p>
    <w:p>
      <w:pPr>
        <w:spacing w:after="0" w:line="3" w:lineRule="exact"/>
        <w:rPr>
          <w:sz w:val="20"/>
          <w:szCs w:val="20"/>
          <w:color w:val="auto"/>
        </w:rPr>
      </w:pPr>
    </w:p>
    <w:p>
      <w:pPr>
        <w:ind w:left="300" w:hanging="294"/>
        <w:spacing w:after="0"/>
        <w:tabs>
          <w:tab w:leader="none" w:pos="30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Default is cured or otherwise ceases to exist within five days after the date of consummation of such Qualified Acquisition.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1" w:lineRule="exact"/>
        <w:rPr>
          <w:rFonts w:ascii="Times New Roman" w:cs="Times New Roman" w:eastAsia="Times New Roman" w:hAnsi="Times New Roman"/>
          <w:sz w:val="21"/>
          <w:szCs w:val="21"/>
          <w:color w:val="auto"/>
        </w:rPr>
      </w:pPr>
    </w:p>
    <w:p>
      <w:pPr>
        <w:ind w:left="5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371" w:right="339" w:bottom="1440" w:gutter="0" w:footer="0" w:header="0"/>
        </w:sectPr>
      </w:pPr>
    </w:p>
    <w:bookmarkStart w:id="220" w:name="page221"/>
    <w:bookmarkEnd w:id="220"/>
    <w:p>
      <w:pPr>
        <w:ind w:left="5200"/>
        <w:spacing w:after="0"/>
        <w:rPr>
          <w:sz w:val="20"/>
          <w:szCs w:val="20"/>
          <w:color w:val="auto"/>
        </w:rPr>
      </w:pPr>
      <w:r>
        <w:rPr>
          <w:rFonts w:ascii="Times New Roman" w:cs="Times New Roman" w:eastAsia="Times New Roman" w:hAnsi="Times New Roman"/>
          <w:sz w:val="21"/>
          <w:szCs w:val="21"/>
          <w:color w:val="auto"/>
        </w:rPr>
        <w:t>ARTICLE IX</w:t>
      </w: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GUARANTEE</w:t>
      </w:r>
    </w:p>
    <w:p>
      <w:pPr>
        <w:spacing w:after="0" w:line="22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Guarantee of Obligations</w:t>
      </w:r>
      <w:r>
        <w:rPr>
          <w:rFonts w:ascii="Times New Roman" w:cs="Times New Roman" w:eastAsia="Times New Roman" w:hAnsi="Times New Roman"/>
          <w:sz w:val="21"/>
          <w:szCs w:val="21"/>
          <w:color w:val="auto"/>
        </w:rPr>
        <w:t xml:space="preserve">. Each of the Guarantors hereby, jointly and severally, absolutely, unconditionally and irrevocably, guarantees, as primary obligor and not merely as surety, to the Administrative Agent, for the benefit of the Guaranteed Parties and their respective successors, indorsees, transferees and assigns, the prompt and complete payment and performance by the Borrower and each other Guarantor, when due (whether at the stated maturity, by acceleration or otherwise) of the Obligations. Each Guarantor shall be liable under its guarantee set forth in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without any limitation as to amount, for all present and future Obligations, including specifically all future increases in the outstanding principal amount of the Loans and other future increases in the Obligations, whether or not any such increase is committed, contemplated or provided for by the Loan Documents on the date hereof. Without limiting the generality of the foregoing, each Guarantor’s liability shall extend to all Obligations (including interest, fees, costs and expenses) that would be owed by any other obligor on the Obligations but for the fact that they are unenforceable or not allowable due to the existence of a proceeding under any Debtor Relief Law involving such other obligor because it is the intention of the Guarantors and the Guaranteed Parties that the Obligations that are guaranteed by the Guarantors pursuant hereto should be determined without regard to any applicable Law or order that may relieve the Borrower or any other Guarantor of any portion of any Obligations.</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Limitation on Obligations Guaranteed</w:t>
      </w:r>
      <w:r>
        <w:rPr>
          <w:rFonts w:ascii="Times New Roman" w:cs="Times New Roman" w:eastAsia="Times New Roman" w:hAnsi="Times New Roman"/>
          <w:sz w:val="21"/>
          <w:szCs w:val="21"/>
          <w:color w:val="auto"/>
        </w:rPr>
        <w:t xml:space="preserve">. (a) Notwithstanding any other provision hereof, the right of recovery against each Guarantor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not exceed $1.00 less than the lowest amount which would render such Guarantor’s obligations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void or voidable under applicable Law, including the Uniform Fraudulent Conveyance Act, the Uniform Fraudulent Transfer Act or any similar foreign, federal or state law to the extent applicable to the Obligations Guarantee set forth herein and the obligations of such Guarantor hereunder. To effectuate the foregoing, the Administrative Agent and the Guarantors hereby irrevocably agree that the obligations of each Guarantor in respect of the Obligations Guarantee set forth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at any time shall be limited to the maximum amount as will result in the obligations of such Guarantor under the Obligations Guarantee not constituting a fraudulent transfer or conveyance after giving full effect to the liability under the Obligations Guarantee set forth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its related contribution rights but before taking into account any liabilities under any other Guarantee by such Guarantor.</w:t>
      </w:r>
    </w:p>
    <w:p>
      <w:pPr>
        <w:spacing w:after="0" w:line="184" w:lineRule="exact"/>
        <w:rPr>
          <w:sz w:val="20"/>
          <w:szCs w:val="20"/>
          <w:color w:val="auto"/>
        </w:rPr>
      </w:pPr>
    </w:p>
    <w:p>
      <w:pPr>
        <w:jc w:val="both"/>
        <w:ind w:firstLine="718"/>
        <w:spacing w:after="0" w:line="261" w:lineRule="auto"/>
        <w:tabs>
          <w:tab w:leader="none" w:pos="126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Guarantor agrees that Obligations may at any time and from time to time be incurred or permitted in an amount exceeding the maximum liability of such Guarantor under </w:t>
      </w:r>
      <w:r>
        <w:rPr>
          <w:rFonts w:ascii="Times New Roman" w:cs="Times New Roman" w:eastAsia="Times New Roman" w:hAnsi="Times New Roman"/>
          <w:sz w:val="21"/>
          <w:szCs w:val="21"/>
          <w:u w:val="single" w:color="auto"/>
          <w:color w:val="auto"/>
        </w:rPr>
        <w:t>Section 9.02(a)</w:t>
      </w:r>
      <w:r>
        <w:rPr>
          <w:rFonts w:ascii="Times New Roman" w:cs="Times New Roman" w:eastAsia="Times New Roman" w:hAnsi="Times New Roman"/>
          <w:sz w:val="21"/>
          <w:szCs w:val="21"/>
          <w:color w:val="auto"/>
        </w:rPr>
        <w:t xml:space="preserve"> without impairing the Obligations Guarantee contained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affecting the rights and remedies of any Guaranteed Party hereunder.</w:t>
      </w:r>
    </w:p>
    <w:p>
      <w:pPr>
        <w:spacing w:after="0" w:line="179"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Nature of Guarantee; Continuing Guarantee; Waivers of Defenses</w:t>
      </w:r>
      <w:r>
        <w:rPr>
          <w:rFonts w:ascii="Times New Roman" w:cs="Times New Roman" w:eastAsia="Times New Roman" w:hAnsi="Times New Roman"/>
          <w:sz w:val="21"/>
          <w:szCs w:val="21"/>
          <w:color w:val="auto"/>
        </w:rPr>
        <w:t>. (a) Each Guarantor understands and agrees that the Obligations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159" w:right="339" w:bottom="1440" w:gutter="0" w:footer="0" w:header="0"/>
        </w:sectPr>
      </w:pPr>
    </w:p>
    <w:bookmarkStart w:id="221" w:name="page222"/>
    <w:bookmarkEnd w:id="22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contained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be construed as a continuing guarantee of payment and performance and not merely of collectability. To the extent permitted by applicable Law, each Guarantor waives diligence, presentment, protest, marshaling, demand for payment, notice of dishonor, notice of default and notice of nonpayment to or upon the Borrower or any of the other Guarantors with respect to the Obligations. Without limiting the generality of the foregoing, this Obligations Guarantee and the obligations of the Guarantors hereunder shall be valid and enforceable and shall not be subject to any reduction, limitation, impairment, set-off, defense, counterclaim, discharge or termination for any reason (other than a Discharge of Obligations).</w:t>
      </w:r>
    </w:p>
    <w:p>
      <w:pPr>
        <w:spacing w:after="0" w:line="172" w:lineRule="exact"/>
        <w:rPr>
          <w:sz w:val="20"/>
          <w:szCs w:val="20"/>
          <w:color w:val="auto"/>
        </w:rPr>
      </w:pPr>
    </w:p>
    <w:p>
      <w:pPr>
        <w:jc w:val="both"/>
        <w:ind w:firstLine="718"/>
        <w:spacing w:after="0" w:line="256" w:lineRule="auto"/>
        <w:tabs>
          <w:tab w:leader="none" w:pos="1264"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Guarantor agrees that the Obligations Guarantee of each Guarantor hereunder is independent of the Obligations Guarantee of each other Guarantor and of any other guarantee of the Obligations and when making any demand hereunder or otherwise pursuing its rights and remedies hereunder against any Guarantor, any Guaranteed Party may, but shall be under no obligation to, make a similar demand on or otherwise pursue such rights and remedies as it may have against the Borrower and any other Guarantor or any other Person or against any other guarantee for the Obligations or any right of offset with respect thereto, and any failure by any Guaranteed Party to make any such demand, to pursue such other rights or remedies or to collect any payments from the Borrower and any other Guarantor or any other Person or to realize upon any such guarantee or to exercise any such right of offset, or any release of the Borrower and any other Guarantor or any other Person or any such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74" w:lineRule="exact"/>
        <w:rPr>
          <w:rFonts w:ascii="Times New Roman" w:cs="Times New Roman" w:eastAsia="Times New Roman" w:hAnsi="Times New Roman"/>
          <w:sz w:val="21"/>
          <w:szCs w:val="21"/>
          <w:color w:val="auto"/>
        </w:rPr>
      </w:pPr>
    </w:p>
    <w:p>
      <w:pPr>
        <w:jc w:val="both"/>
        <w:ind w:firstLine="718"/>
        <w:spacing w:after="0" w:line="262" w:lineRule="auto"/>
        <w:tabs>
          <w:tab w:leader="none" w:pos="126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 made by the Borrower, any of the other Guarantors, any other guarantor or any other Person or received or collected by any Guaranteed Party from the Borrower and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remain liable for the Obligations until the Discharge of the Obligations.</w:t>
      </w:r>
    </w:p>
    <w:p>
      <w:pPr>
        <w:spacing w:after="0" w:line="165" w:lineRule="exact"/>
        <w:rPr>
          <w:rFonts w:ascii="Times New Roman" w:cs="Times New Roman" w:eastAsia="Times New Roman" w:hAnsi="Times New Roman"/>
          <w:sz w:val="21"/>
          <w:szCs w:val="21"/>
          <w:color w:val="auto"/>
        </w:rPr>
      </w:pPr>
    </w:p>
    <w:p>
      <w:pPr>
        <w:jc w:val="both"/>
        <w:ind w:firstLine="718"/>
        <w:spacing w:after="0" w:line="266" w:lineRule="auto"/>
        <w:tabs>
          <w:tab w:leader="none" w:pos="1264"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the foregoing, each Guarantor agrees that its obligations under and in respect of the Obligations Guarantee contained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61" w:lineRule="exact"/>
        <w:rPr>
          <w:rFonts w:ascii="Times New Roman" w:cs="Times New Roman" w:eastAsia="Times New Roman" w:hAnsi="Times New Roman"/>
          <w:sz w:val="21"/>
          <w:szCs w:val="21"/>
          <w:color w:val="auto"/>
        </w:rPr>
      </w:pPr>
    </w:p>
    <w:p>
      <w:pPr>
        <w:ind w:left="640" w:firstLine="638"/>
        <w:spacing w:after="0" w:line="285" w:lineRule="auto"/>
        <w:tabs>
          <w:tab w:leader="none" w:pos="1900"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this Agreement or any other Loan Document, any of the Obligations or any guarantee or right of offset with respect thereto at any time or from time to time held by any Guaranteed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371" w:right="339" w:bottom="1440" w:gutter="0" w:footer="0" w:header="0"/>
        </w:sectPr>
      </w:pPr>
    </w:p>
    <w:bookmarkStart w:id="222" w:name="page223"/>
    <w:bookmarkEnd w:id="222"/>
    <w:p>
      <w:pPr>
        <w:ind w:left="640" w:firstLine="638"/>
        <w:spacing w:after="0" w:line="285" w:lineRule="auto"/>
        <w:tabs>
          <w:tab w:leader="none" w:pos="190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renewal, extension or acceleration of, or any increase in the amount of, the Obligations, or any amendment, supplement, modification or waiver of, or any consent to departure from, the Loan Documents;</w:t>
      </w:r>
    </w:p>
    <w:p>
      <w:pPr>
        <w:spacing w:after="0" w:line="141" w:lineRule="exact"/>
        <w:rPr>
          <w:rFonts w:ascii="Times New Roman" w:cs="Times New Roman" w:eastAsia="Times New Roman" w:hAnsi="Times New Roman"/>
          <w:sz w:val="21"/>
          <w:szCs w:val="21"/>
          <w:color w:val="auto"/>
        </w:rPr>
      </w:pPr>
    </w:p>
    <w:p>
      <w:pPr>
        <w:jc w:val="both"/>
        <w:ind w:left="640" w:firstLine="638"/>
        <w:spacing w:after="0" w:line="262" w:lineRule="auto"/>
        <w:tabs>
          <w:tab w:leader="none" w:pos="1912"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Documents, at law, in equity or otherwise) with respect to the Obligations or any agreement relating thereto, or with respect to any other guaranty of or security for the payment of the Obligations;</w:t>
      </w:r>
    </w:p>
    <w:p>
      <w:pPr>
        <w:spacing w:after="0" w:line="165" w:lineRule="exact"/>
        <w:rPr>
          <w:rFonts w:ascii="Times New Roman" w:cs="Times New Roman" w:eastAsia="Times New Roman" w:hAnsi="Times New Roman"/>
          <w:sz w:val="21"/>
          <w:szCs w:val="21"/>
          <w:color w:val="auto"/>
        </w:rPr>
      </w:pPr>
    </w:p>
    <w:p>
      <w:pPr>
        <w:ind w:left="640" w:firstLine="638"/>
        <w:spacing w:after="0" w:line="298" w:lineRule="auto"/>
        <w:tabs>
          <w:tab w:leader="none" w:pos="190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reorganization or termination of the corporate structure or existence of any Loan Party or any Subsidiary of any Loan Party and any corresponding restructuring of the Obligations;</w:t>
      </w:r>
    </w:p>
    <w:p>
      <w:pPr>
        <w:spacing w:after="0" w:line="129"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compromise, release, or discharge of, or acceptance or refusal of any offer of payment or performance with respect to, or any substitutions for, the Obligations or any subordination of the Obligations to any other obligations;</w:t>
      </w:r>
    </w:p>
    <w:p>
      <w:pPr>
        <w:spacing w:after="0" w:line="161"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Law of any jurisdiction or any other event affecting any term of an Obligation; and</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circumstance whatsoever which may or might in any manner or to any extent vary the risk of any Guarantor as an obligor in respect of the Obligations or which constitutes, or might be construed to constitute, an equitable or legal discharge of any Guarantor for the Obligations, or of such Guarantor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718"/>
        <w:spacing w:after="0" w:line="266" w:lineRule="auto"/>
        <w:tabs>
          <w:tab w:leader="none" w:pos="1265"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Guaranteed Party, including, without limitation, failure of consideration, breach of warranty, statute of frauds and statute of limitations.</w:t>
      </w:r>
    </w:p>
    <w:p>
      <w:pPr>
        <w:spacing w:after="0" w:line="162"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Rights of Reimbursement, Contribution and Subrogation</w:t>
      </w:r>
      <w:r>
        <w:rPr>
          <w:rFonts w:ascii="Times New Roman" w:cs="Times New Roman" w:eastAsia="Times New Roman" w:hAnsi="Times New Roman"/>
          <w:sz w:val="21"/>
          <w:szCs w:val="21"/>
          <w:color w:val="auto"/>
        </w:rPr>
        <w:t>. In case any payment is made on account of the Obligations by any Guarantor or is received or collected on account of the Obligations from any Guarantor:</w:t>
      </w:r>
    </w:p>
    <w:p>
      <w:pPr>
        <w:spacing w:after="0" w:line="142" w:lineRule="exact"/>
        <w:rPr>
          <w:sz w:val="20"/>
          <w:szCs w:val="20"/>
          <w:color w:val="auto"/>
        </w:rPr>
      </w:pPr>
    </w:p>
    <w:p>
      <w:pPr>
        <w:jc w:val="both"/>
        <w:ind w:firstLine="718"/>
        <w:spacing w:after="0" w:line="262" w:lineRule="auto"/>
        <w:tabs>
          <w:tab w:leader="none" w:pos="126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payment is made by a Guarantor in respect of the Obligations of another Guarantor, such Guarantor shall be entitled, subject to and upon (but not before) a Discharge of the Obligations (and each Guarantor hereby waives its right to exercise such rights until a Discharge of the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371" w:right="339" w:bottom="1440" w:gutter="0" w:footer="0" w:header="0"/>
        </w:sectPr>
      </w:pPr>
    </w:p>
    <w:bookmarkStart w:id="223" w:name="page224"/>
    <w:bookmarkEnd w:id="223"/>
    <w:p>
      <w:pPr>
        <w:jc w:val="both"/>
        <w:spacing w:after="0" w:line="262" w:lineRule="auto"/>
        <w:rPr>
          <w:sz w:val="20"/>
          <w:szCs w:val="20"/>
          <w:color w:val="auto"/>
        </w:rPr>
      </w:pPr>
      <w:r>
        <w:rPr>
          <w:rFonts w:ascii="Times New Roman" w:cs="Times New Roman" w:eastAsia="Times New Roman" w:hAnsi="Times New Roman"/>
          <w:sz w:val="21"/>
          <w:szCs w:val="21"/>
          <w:color w:val="auto"/>
        </w:rPr>
        <w:t>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w:t>
      </w:r>
    </w:p>
    <w:p>
      <w:pPr>
        <w:spacing w:after="0" w:line="166" w:lineRule="exact"/>
        <w:rPr>
          <w:sz w:val="20"/>
          <w:szCs w:val="20"/>
          <w:color w:val="auto"/>
        </w:rPr>
      </w:pPr>
    </w:p>
    <w:p>
      <w:pPr>
        <w:jc w:val="both"/>
        <w:ind w:firstLine="718"/>
        <w:spacing w:after="0" w:line="255" w:lineRule="auto"/>
        <w:tabs>
          <w:tab w:leader="none" w:pos="126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and whenever any right of reimbursement or contribution becomes enforceable by any Guarantor against the Borrower or other Guarantor whether under </w:t>
      </w:r>
      <w:r>
        <w:rPr>
          <w:rFonts w:ascii="Times New Roman" w:cs="Times New Roman" w:eastAsia="Times New Roman" w:hAnsi="Times New Roman"/>
          <w:sz w:val="21"/>
          <w:szCs w:val="21"/>
          <w:u w:val="single" w:color="auto"/>
          <w:color w:val="auto"/>
        </w:rPr>
        <w:t>Section 9.04(a)</w:t>
      </w:r>
      <w:r>
        <w:rPr>
          <w:rFonts w:ascii="Times New Roman" w:cs="Times New Roman" w:eastAsia="Times New Roman" w:hAnsi="Times New Roman"/>
          <w:sz w:val="21"/>
          <w:szCs w:val="21"/>
          <w:color w:val="auto"/>
        </w:rPr>
        <w:t xml:space="preserve"> or otherwise, such Guarantor shall be entitled, subject to and upon (but not before) a Discharge of the Obligations (and each Guarantor hereby waives its right to subrogation until a Discharge of the Obligations), to be subrogated (equally and ratably with all other Guarantors entitled to reimbursement or contribution from any other Guarantor as set forth in this Section 9.04). Any right of subrogation of any Guarantor shall be enforceable solely after a Discharge of the Obligations and solely against the Borrower or the other Guarantors, and not against the Guaranteed Parties, and neither the Administrative Agent nor any other Guaranteed Party shall have any duty whatsoever to warrant, ensure or protect any such right of subrogation or to obtain, perfect, maintain, hold, enforce or retain any collateral securing or purporting to secure any of the Obligations for any purpose related to any such right of subrogation. Without limiting any other rights of contribution or subrogation then available to a Guarantor under applicable law, if subrogation is demanded by any Guarantor, then, after Discharge of the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Obligations that may then exist that was not previously released or disposed of or acquired by the Administrative Agent.</w:t>
      </w:r>
    </w:p>
    <w:p>
      <w:pPr>
        <w:spacing w:after="0" w:line="179" w:lineRule="exact"/>
        <w:rPr>
          <w:rFonts w:ascii="Times New Roman" w:cs="Times New Roman" w:eastAsia="Times New Roman" w:hAnsi="Times New Roman"/>
          <w:sz w:val="21"/>
          <w:szCs w:val="21"/>
          <w:color w:val="auto"/>
        </w:rPr>
      </w:pPr>
    </w:p>
    <w:p>
      <w:pPr>
        <w:jc w:val="both"/>
        <w:ind w:firstLine="718"/>
        <w:spacing w:after="0" w:line="258" w:lineRule="auto"/>
        <w:tabs>
          <w:tab w:leader="none" w:pos="126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Guarantors under this Obligations Guarantee and the other Loan Documents, including their liability for the Obligations and the enforceability of the security interests granted thereby, are not contingent upon the validity, legality, enforceability, collectability or sufficiency of any right of reimbursement, contribution or subrogation arising under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or otherwise. The invalidity, insufficiency, unenforceability or uncollectability of any such right shall not in any respect diminish, affect or impair any such obligation or any other claim, interest, right or remedy at any time held by any Guaranteed Party against any Guarantor. The Guaranteed Parties make no representations or warranties in respect of any such right and shall have no duty to assure, protect, enforce or ensure any such right or otherwise relating to any such right.</w:t>
      </w:r>
    </w:p>
    <w:p>
      <w:pPr>
        <w:spacing w:after="0" w:line="17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Each Guarantor hereby guarantees that payments hereunder will be paid to the Administrative Agent, for the account of the applicable Guaranteed Parties to which such payment is owed, to such account as may be specified by the Administrative Agent, in US Dollars and in Same Day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371" w:right="339" w:bottom="1440" w:gutter="0" w:footer="0" w:header="0"/>
        </w:sectPr>
      </w:pPr>
    </w:p>
    <w:bookmarkStart w:id="224" w:name="page225"/>
    <w:bookmarkEnd w:id="224"/>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u w:val="single" w:color="auto"/>
          <w:color w:val="auto"/>
        </w:rPr>
        <w:t>Subordination of Other Obligations</w:t>
      </w:r>
      <w:r>
        <w:rPr>
          <w:rFonts w:ascii="Times New Roman" w:cs="Times New Roman" w:eastAsia="Times New Roman" w:hAnsi="Times New Roman"/>
          <w:sz w:val="21"/>
          <w:szCs w:val="21"/>
          <w:color w:val="auto"/>
        </w:rPr>
        <w:t>. If the Administrative Agent so requests while an Event of Default is then continuing, then the payment of all obligations and Indebtedness of the Borrower or any other Guarantor owing to such Guarantor, whether now existing or hereafter arising, including but not limited to any such obligation to such Guarantor as subrogee of the Guaranteed Parties or resulting from such Guarantor’s performance under this Obligations Guarantee, shall be subrogated to the indefeasible payment in full in cash of all Obligations. If the Administrative Agent so requests, any such obligation or Indebtedness of the Borrower or any other Guarantor to such Guarantor shall be enforced and performance received by such Guarantor as trustee for the Guaranteed Parties and the proceeds thereof shall be paid over to the Administrative Agent on account of the Obligations, but without reducing or affecting in any manner the liability of such Guarantor under this Obligations Guarantee.</w:t>
      </w:r>
    </w:p>
    <w:p>
      <w:pPr>
        <w:spacing w:after="0" w:line="200" w:lineRule="exact"/>
        <w:rPr>
          <w:sz w:val="20"/>
          <w:szCs w:val="20"/>
          <w:color w:val="auto"/>
        </w:rPr>
      </w:pPr>
    </w:p>
    <w:p>
      <w:pPr>
        <w:spacing w:after="0" w:line="228"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Financial Condition of the Borrower and other Guarantors</w:t>
      </w:r>
      <w:r>
        <w:rPr>
          <w:rFonts w:ascii="Times New Roman" w:cs="Times New Roman" w:eastAsia="Times New Roman" w:hAnsi="Times New Roman"/>
          <w:sz w:val="21"/>
          <w:szCs w:val="21"/>
          <w:color w:val="auto"/>
        </w:rPr>
        <w:t>. Any extension of credit may be made to the Borrower or continued from time to time, without notice to or authorization from any Guarantor regardless of the financial or other condition of the Borrower or any other Guarantor at the time of any such grant or continuation. No Guaranteed Party shall have any obligation to disclose or discuss with any Guarantor its assessment, or any Guarantor’s assessment, of the financial condition of the Borrower or any other Guarantor. Each Guarantor has adequate means to obtain information from the Borrower and each other Guarantor on a continuing basis concerning the financial condition of the Borrower and each other Guarantor and its ability to perform its obligations under the Loan Documents, and each Guarantor assumes the responsibility for being and keeping informed of the financial condition of the Borrower and each other Loan Party and each other Guarantor and of all circumstances bearing upon the risk of nonpayment of the Obligations. Each Guarantor hereby waives and relinquishes any duty on the part of any Guaranteed Party to disclose any matter, fact or thing relating to the business, operations or condition of the Borrower or any other Guarantor now known or hereafter known by any Guaranteed Party.</w:t>
      </w:r>
    </w:p>
    <w:p>
      <w:pPr>
        <w:spacing w:after="0" w:line="17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Bankruptcy, Etc</w:t>
      </w:r>
      <w:r>
        <w:rPr>
          <w:rFonts w:ascii="Times New Roman" w:cs="Times New Roman" w:eastAsia="Times New Roman" w:hAnsi="Times New Roman"/>
          <w:sz w:val="21"/>
          <w:szCs w:val="21"/>
          <w:color w:val="auto"/>
        </w:rPr>
        <w:t>. Until a Discharge of the Obligations, no Guarantor shall, without the prior written consent of the Administrative Agent, commence or join with any other Person in commencing any proceeding under any Debtor Relief Law against the Borrower or any other Guarantor. The obligations of the Guarantors hereunder shall not be reduced, limited, impaired, discharged, deferred, suspended or terminated by any case or proceeding under any Debtor Relief Law, voluntary or involuntary, involving the Borrower or any other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Obligations accruing or arising after the date on which such case or proceeding is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159" w:right="339" w:bottom="1440" w:gutter="0" w:footer="0" w:header="0"/>
        </w:sectPr>
      </w:pPr>
    </w:p>
    <w:bookmarkStart w:id="225" w:name="page226"/>
    <w:bookmarkEnd w:id="225"/>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9.09. </w:t>
      </w:r>
      <w:r>
        <w:rPr>
          <w:rFonts w:ascii="Times New Roman" w:cs="Times New Roman" w:eastAsia="Times New Roman" w:hAnsi="Times New Roman"/>
          <w:sz w:val="21"/>
          <w:szCs w:val="21"/>
          <w:u w:val="single" w:color="auto"/>
          <w:color w:val="auto"/>
        </w:rPr>
        <w:t>Duration of Guarantee</w:t>
      </w:r>
      <w:r>
        <w:rPr>
          <w:rFonts w:ascii="Times New Roman" w:cs="Times New Roman" w:eastAsia="Times New Roman" w:hAnsi="Times New Roman"/>
          <w:sz w:val="21"/>
          <w:szCs w:val="21"/>
          <w:color w:val="auto"/>
        </w:rPr>
        <w:t xml:space="preserve">. The Obligations Guarantee contained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remain in full force and effect until the Discharge of the Obligations.</w:t>
      </w:r>
    </w:p>
    <w:p>
      <w:pPr>
        <w:spacing w:after="0" w:line="12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Reinstatement</w:t>
      </w:r>
      <w:r>
        <w:rPr>
          <w:rFonts w:ascii="Times New Roman" w:cs="Times New Roman" w:eastAsia="Times New Roman" w:hAnsi="Times New Roman"/>
          <w:sz w:val="21"/>
          <w:szCs w:val="21"/>
          <w:color w:val="auto"/>
        </w:rPr>
        <w:t>. If at any time payment of any of the Obligations or any portion thereof is rescinded, disgorged or must otherwise be restored or returned by any Guaranteed Party upon the insolvency, bankruptcy, dissolution, liquidation, examinership or reorganization of the Borrower or any Guarantor, or upon or as a result of the appointment of a receiver, intervenor or conservator of, or trustee or similar officer for, the Borrower or any other Guarantor or any substantial part of its property, or otherwise, or if any Guaranteed Party repays, restores, or returns, in whole or in part, any payment or property previously paid or transferred to the Guaranteed Party in full or partial satisfaction of any Obligation, because the payment or transfer or the incurrence of the obligation is so satisfied, is declared to be void, voidable, or otherwise recoverable under any state or federal law (collectively, a “</w:t>
      </w:r>
      <w:r>
        <w:rPr>
          <w:rFonts w:ascii="Times New Roman" w:cs="Times New Roman" w:eastAsia="Times New Roman" w:hAnsi="Times New Roman"/>
          <w:sz w:val="21"/>
          <w:szCs w:val="21"/>
          <w:u w:val="single" w:color="auto"/>
          <w:color w:val="auto"/>
        </w:rPr>
        <w:t>Voidable Transfer</w:t>
      </w:r>
      <w:r>
        <w:rPr>
          <w:rFonts w:ascii="Times New Roman" w:cs="Times New Roman" w:eastAsia="Times New Roman" w:hAnsi="Times New Roman"/>
          <w:sz w:val="21"/>
          <w:szCs w:val="21"/>
          <w:color w:val="auto"/>
        </w:rPr>
        <w:t xml:space="preserve">”), or because such Guaranteed Party elects to do so on the reasonable advice of its counsel in connection with an assertion that the payment, transfer, or incurrence is a Voidable Transfer, then, as to any such Voidable Transfer, and, subject to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as to all reasonable costs, expenses and attorney’s fees of the Guaranteed Party related thereto, the liability of each Guarantor hereunder will automatically and immediately be revived, reinstated, and restored and will exist as though the Voidable Transfer had never been made.</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u w:val="single" w:color="auto"/>
          <w:color w:val="auto"/>
        </w:rPr>
        <w:t>Additional Guarantors</w:t>
      </w:r>
      <w:r>
        <w:rPr>
          <w:rFonts w:ascii="Times New Roman" w:cs="Times New Roman" w:eastAsia="Times New Roman" w:hAnsi="Times New Roman"/>
          <w:sz w:val="21"/>
          <w:szCs w:val="21"/>
          <w:color w:val="auto"/>
        </w:rPr>
        <w:t xml:space="preserve">. (i) As promptly as possible but in any event within forty-five (45) days (or such later date as may be agreed upon by the Administrative Agent) after any Person becomes a Material Subsidiary, (ii) as promptly as possible but in any event within forty-five (45) days (or such later date as may be agreed upon by the Administrative Agent) after the end of the calendar quarter during which any Subsidiary so qualifies as a Material Subsidiary pursuant to the definition of “Material Subsidiary” or (iii) at the time that Borrower either elects to cause any of its Subsidiaries to become a Guarantor or is required to cause any of its Subsidiaries to become a Guarantor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Borrower shall deliver or shall cause the applicable Subsidiary to deliver, as the case may be, to the Administrative Agent (a) a duly executed Guarantor Counterpart pursuant to which Borrower or such Subsidiary, as the case may be, agrees to be bound by the terms and provisions of the Obligations Guarantee and such Guarantor Counterpart and (b) the documents and opinions of the types referred to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4.01(d)</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X</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Administrative Agent</w:t>
      </w:r>
    </w:p>
    <w:p>
      <w:pPr>
        <w:spacing w:after="0" w:line="1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 (a) Each Lender and each L/C Issuer hereby irrevocably appoints the entity named as Administrative Agent in the heading of this Agreement and its successors and assigns to serve as the administrative agent under the Loan Documents and each Lender and each L/C Issuer authorizes the Administrative Agent to take such actions as agent on its behalf and to exercise such powers under this Agreement and the other Loan Documents as are delegated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146" w:right="339" w:bottom="1440" w:gutter="0" w:footer="0" w:header="0"/>
        </w:sectPr>
      </w:pPr>
    </w:p>
    <w:bookmarkStart w:id="226" w:name="page227"/>
    <w:bookmarkEnd w:id="226"/>
    <w:p>
      <w:pPr>
        <w:jc w:val="both"/>
        <w:spacing w:after="0" w:line="253" w:lineRule="auto"/>
        <w:rPr>
          <w:sz w:val="20"/>
          <w:szCs w:val="20"/>
          <w:color w:val="auto"/>
        </w:rPr>
      </w:pPr>
      <w:r>
        <w:rPr>
          <w:rFonts w:ascii="Times New Roman" w:cs="Times New Roman" w:eastAsia="Times New Roman" w:hAnsi="Times New Roman"/>
          <w:sz w:val="21"/>
          <w:szCs w:val="21"/>
          <w:color w:val="auto"/>
        </w:rPr>
        <w:t>Administrative Agent under such agreements and to exercise such powers as are reasonably incidental thereto. Without limiting the foregoing, each Lender and each L/C Issuer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74" w:lineRule="exact"/>
        <w:rPr>
          <w:sz w:val="20"/>
          <w:szCs w:val="20"/>
          <w:color w:val="auto"/>
        </w:rPr>
      </w:pPr>
    </w:p>
    <w:p>
      <w:pPr>
        <w:jc w:val="both"/>
        <w:ind w:firstLine="718"/>
        <w:spacing w:after="0" w:line="243" w:lineRule="auto"/>
        <w:tabs>
          <w:tab w:leader="none" w:pos="1264"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jc w:val="both"/>
        <w:ind w:firstLine="718"/>
        <w:spacing w:after="0" w:line="253" w:lineRule="auto"/>
        <w:tabs>
          <w:tab w:leader="none" w:pos="126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performing its functions and duties hereunder and under the other Loan Documents, the Administrative Agent is acting solely on behalf of the Lenders and the L/C Issuers (except in limited circumstances expressly provided for herein relating to the maintenance of the Register), and its duties are entirely mechanical and administrative in nature. </w:t>
      </w:r>
      <w:r>
        <w:rPr>
          <w:rFonts w:ascii="Times New Roman" w:cs="Times New Roman" w:eastAsia="Times New Roman" w:hAnsi="Times New Roman"/>
          <w:sz w:val="21"/>
          <w:szCs w:val="21"/>
          <w:b w:val="1"/>
          <w:bCs w:val="1"/>
          <w:u w:val="single" w:color="auto"/>
          <w:color w:val="0000FF"/>
        </w:rPr>
        <w:t>The motivations of the</w:t>
      </w:r>
    </w:p>
    <w:p>
      <w:pPr>
        <w:spacing w:after="0" w:line="2" w:lineRule="exact"/>
        <w:rPr>
          <w:rFonts w:ascii="Times New Roman" w:cs="Times New Roman" w:eastAsia="Times New Roman" w:hAnsi="Times New Roman"/>
          <w:sz w:val="21"/>
          <w:szCs w:val="21"/>
          <w:color w:val="auto"/>
        </w:rPr>
      </w:pPr>
    </w:p>
    <w:p>
      <w:pPr>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0000FF"/>
        </w:rPr>
        <w:t xml:space="preserve">Administrative Agent are commercial in nature and not to invest in the general performance or operations of the Borrower. </w:t>
      </w:r>
      <w:r>
        <w:rPr>
          <w:rFonts w:ascii="Times New Roman" w:cs="Times New Roman" w:eastAsia="Times New Roman" w:hAnsi="Times New Roman"/>
          <w:sz w:val="21"/>
          <w:szCs w:val="21"/>
          <w:color w:val="000000"/>
        </w:rPr>
        <w:t>Without limiting the generality of the foregoing:</w:t>
      </w:r>
    </w:p>
    <w:p>
      <w:pPr>
        <w:spacing w:after="0" w:line="165" w:lineRule="exact"/>
        <w:rPr>
          <w:rFonts w:ascii="Times New Roman" w:cs="Times New Roman" w:eastAsia="Times New Roman" w:hAnsi="Times New Roman"/>
          <w:sz w:val="21"/>
          <w:szCs w:val="21"/>
          <w:color w:val="auto"/>
        </w:rPr>
      </w:pPr>
    </w:p>
    <w:p>
      <w:pPr>
        <w:ind w:left="640" w:right="20" w:firstLine="638"/>
        <w:spacing w:after="0" w:line="285" w:lineRule="auto"/>
        <w:tabs>
          <w:tab w:leader="none" w:pos="1900"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does not assume and shall not be deemed to have assumed any obligation or duty or any other relationship as the agent, fiduciary or trustee of or for any Lender or L/C Issuer other than as expressly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358" w:right="339" w:bottom="1440" w:gutter="0" w:footer="0" w:header="0"/>
        </w:sectPr>
      </w:pPr>
    </w:p>
    <w:bookmarkStart w:id="227" w:name="page228"/>
    <w:bookmarkEnd w:id="227"/>
    <w:p>
      <w:pPr>
        <w:jc w:val="both"/>
        <w:ind w:left="640"/>
        <w:spacing w:after="0" w:line="247" w:lineRule="auto"/>
        <w:rPr>
          <w:sz w:val="20"/>
          <w:szCs w:val="20"/>
          <w:color w:val="auto"/>
        </w:rPr>
      </w:pPr>
      <w:r>
        <w:rPr>
          <w:rFonts w:ascii="Times New Roman" w:cs="Times New Roman" w:eastAsia="Times New Roman" w:hAnsi="Times New Roman"/>
          <w:sz w:val="21"/>
          <w:szCs w:val="21"/>
          <w:color w:val="auto"/>
        </w:rPr>
        <w:t>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82" w:lineRule="exact"/>
        <w:rPr>
          <w:sz w:val="20"/>
          <w:szCs w:val="20"/>
          <w:color w:val="auto"/>
        </w:rPr>
      </w:pPr>
    </w:p>
    <w:p>
      <w:pPr>
        <w:ind w:left="640" w:firstLine="638"/>
        <w:spacing w:after="0" w:line="272" w:lineRule="auto"/>
        <w:tabs>
          <w:tab w:leader="none" w:pos="1906" w:val="left"/>
        </w:tabs>
        <w:numPr>
          <w:ilvl w:val="2"/>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or any Loan Document shall require the Administrative Agent to account to any Lender for any sum or the profit element of any sum received by the Administrative Agent for its own account;</w:t>
      </w:r>
    </w:p>
    <w:p>
      <w:pPr>
        <w:spacing w:after="0" w:line="154"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4"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7" w:lineRule="exact"/>
        <w:rPr>
          <w:rFonts w:ascii="Times New Roman" w:cs="Times New Roman" w:eastAsia="Times New Roman" w:hAnsi="Times New Roman"/>
          <w:sz w:val="21"/>
          <w:szCs w:val="21"/>
          <w:color w:val="auto"/>
        </w:rPr>
      </w:pPr>
    </w:p>
    <w:p>
      <w:pPr>
        <w:jc w:val="both"/>
        <w:ind w:firstLine="718"/>
        <w:spacing w:after="0" w:line="254" w:lineRule="auto"/>
        <w:tabs>
          <w:tab w:leader="none" w:pos="1265"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any Co-Syndication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4" w:lineRule="exact"/>
        <w:rPr>
          <w:rFonts w:ascii="Times New Roman" w:cs="Times New Roman" w:eastAsia="Times New Roman" w:hAnsi="Times New Roman"/>
          <w:sz w:val="21"/>
          <w:szCs w:val="21"/>
          <w:color w:val="auto"/>
        </w:rPr>
      </w:pPr>
    </w:p>
    <w:p>
      <w:pPr>
        <w:jc w:val="both"/>
        <w:ind w:firstLine="642"/>
        <w:spacing w:after="0" w:line="249" w:lineRule="auto"/>
        <w:tabs>
          <w:tab w:leader="none" w:pos="1272"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178" w:lineRule="exact"/>
        <w:rPr>
          <w:rFonts w:ascii="Times New Roman" w:cs="Times New Roman" w:eastAsia="Times New Roman" w:hAnsi="Times New Roman"/>
          <w:sz w:val="21"/>
          <w:szCs w:val="21"/>
          <w:color w:val="auto"/>
        </w:rPr>
      </w:pPr>
    </w:p>
    <w:p>
      <w:pPr>
        <w:jc w:val="both"/>
        <w:ind w:left="640" w:firstLine="638"/>
        <w:spacing w:after="0" w:line="253" w:lineRule="auto"/>
        <w:tabs>
          <w:tab w:leader="none" w:pos="1900"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L/C Issuers and the Administrative Agent (including any claim under Sections 2.08, 2.09, 3.01, 3.04 or 11.04)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358" w:right="339" w:bottom="1440" w:gutter="0" w:footer="0" w:header="0"/>
        </w:sectPr>
      </w:pPr>
    </w:p>
    <w:bookmarkStart w:id="228" w:name="page229"/>
    <w:bookmarkEnd w:id="228"/>
    <w:p>
      <w:pPr>
        <w:ind w:left="640" w:firstLine="638"/>
        <w:spacing w:after="0" w:line="272" w:lineRule="auto"/>
        <w:tabs>
          <w:tab w:leader="none" w:pos="190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 same;</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and any custodian, receiver, assignee, trustee, liquidator, sequestrator or other similar official in any such proceeding is hereby authorized by each Lender, each L/C Issuer to make such payments to the Administrative Agent and, in the event that the Administrative Agent shall consent to the making of such payments directly to the Lenders or the L/C Issuers, to pay to the Administrative Agent any amount due to it, in its capacity as the Administrative Agent, under the Loan Documents (including under Section 11.04).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72" w:lineRule="exact"/>
        <w:rPr>
          <w:sz w:val="20"/>
          <w:szCs w:val="20"/>
          <w:color w:val="auto"/>
        </w:rPr>
      </w:pPr>
    </w:p>
    <w:p>
      <w:pPr>
        <w:jc w:val="both"/>
        <w:ind w:firstLine="718"/>
        <w:spacing w:after="0" w:line="249" w:lineRule="auto"/>
        <w:tabs>
          <w:tab w:leader="none" w:pos="1264"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Article are solely for the benefit of the Administrative Agent, the Lenders and the L/C Issuers,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party that is a holder of Obligations, whether or not a party hereto, will be deemed to have agreed to the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10.02.</w:t>
      </w:r>
      <w:r>
        <w:rPr>
          <w:sz w:val="20"/>
          <w:szCs w:val="20"/>
          <w:color w:val="auto"/>
        </w:rPr>
        <w:tab/>
      </w:r>
      <w:r>
        <w:rPr>
          <w:rFonts w:ascii="Times New Roman" w:cs="Times New Roman" w:eastAsia="Times New Roman" w:hAnsi="Times New Roman"/>
          <w:sz w:val="21"/>
          <w:szCs w:val="21"/>
          <w:color w:val="auto"/>
        </w:rPr>
        <w:t>Administrative Agent’s Reliance, Limitation of Liability, Etc.</w:t>
      </w:r>
    </w:p>
    <w:p>
      <w:pPr>
        <w:spacing w:after="0" w:line="222" w:lineRule="exact"/>
        <w:rPr>
          <w:sz w:val="20"/>
          <w:szCs w:val="20"/>
          <w:color w:val="auto"/>
        </w:rPr>
      </w:pPr>
    </w:p>
    <w:p>
      <w:pPr>
        <w:jc w:val="both"/>
        <w:ind w:firstLine="642"/>
        <w:spacing w:after="0" w:line="250" w:lineRule="auto"/>
        <w:tabs>
          <w:tab w:leader="none" w:pos="1269"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ectPr>
          <w:pgSz w:w="11900" w:h="16838" w:orient="portrait"/>
          <w:cols w:equalWidth="0" w:num="1">
            <w:col w:w="11240"/>
          </w:cols>
          <w:pgMar w:left="320" w:top="1358" w:right="339" w:bottom="1440" w:gutter="0" w:footer="0" w:header="0"/>
        </w:sectPr>
      </w:pPr>
    </w:p>
    <w:bookmarkStart w:id="229" w:name="page230"/>
    <w:bookmarkEnd w:id="229"/>
    <w:p>
      <w:pPr>
        <w:jc w:val="both"/>
        <w:ind w:firstLine="718"/>
        <w:spacing w:after="0" w:line="244" w:lineRule="auto"/>
        <w:tabs>
          <w:tab w:leader="none" w:pos="1264"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be deemed not to have knowledge of any (i) notice of any of the events or circumstances set forth or described in Section 6.02(c)unless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L/C Issuer.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or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the Administrative Agent (i) may treat the payee of any promissory note as its holder until such promissory note has been assigned in accordance with Section 11.06, (ii) may rely on the Register to the extent set forth in Section 11.06(d),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(vi)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1"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 (a) The Borrower agrees that the Administrative Agent may, but shall not be obligated to, make any Communications available to the Lenders and the L/C Issuers by posting the Communications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ectPr>
          <w:pgSz w:w="11900" w:h="16838" w:orient="portrait"/>
          <w:cols w:equalWidth="0" w:num="1">
            <w:col w:w="11240"/>
          </w:cols>
          <w:pgMar w:left="320" w:top="1358" w:right="339" w:bottom="1440" w:gutter="0" w:footer="0" w:header="0"/>
        </w:sectPr>
      </w:pPr>
    </w:p>
    <w:bookmarkStart w:id="230" w:name="page231"/>
    <w:bookmarkEnd w:id="230"/>
    <w:p>
      <w:pPr>
        <w:spacing w:after="0" w:line="285" w:lineRule="auto"/>
        <w:rPr>
          <w:sz w:val="20"/>
          <w:szCs w:val="20"/>
          <w:color w:val="auto"/>
        </w:rPr>
      </w:pPr>
      <w:r>
        <w:rPr>
          <w:rFonts w:ascii="Times New Roman" w:cs="Times New Roman" w:eastAsia="Times New Roman" w:hAnsi="Times New Roman"/>
          <w:sz w:val="21"/>
          <w:szCs w:val="21"/>
          <w:color w:val="auto"/>
        </w:rPr>
        <w:t>IntraLinks™, DebtDomain, SyndTrak, ClearPar or any other electronic platform chosen by the Administrative Agent to be its electronic transmission system (the “</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jc w:val="both"/>
        <w:ind w:firstLine="718"/>
        <w:spacing w:after="0" w:line="248" w:lineRule="auto"/>
        <w:tabs>
          <w:tab w:leader="none" w:pos="126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L/C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L/C Issuers and the Borrower hereby approves distribution of the Communications through the Approved Electronic Platform and understands and assumes the risks of such distribution.</w:t>
      </w:r>
    </w:p>
    <w:p>
      <w:pPr>
        <w:spacing w:after="0" w:line="178" w:lineRule="exact"/>
        <w:rPr>
          <w:rFonts w:ascii="Times New Roman" w:cs="Times New Roman" w:eastAsia="Times New Roman" w:hAnsi="Times New Roman"/>
          <w:sz w:val="21"/>
          <w:szCs w:val="21"/>
          <w:color w:val="auto"/>
        </w:rPr>
      </w:pPr>
    </w:p>
    <w:p>
      <w:pPr>
        <w:jc w:val="both"/>
        <w:ind w:firstLine="718"/>
        <w:spacing w:after="0" w:line="247" w:lineRule="auto"/>
        <w:tabs>
          <w:tab w:leader="none" w:pos="1265"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OF THEIR RESPECTIVE RELATED PARTIES (COLLECTIVELY, “</w:t>
      </w:r>
      <w:r>
        <w:rPr>
          <w:rFonts w:ascii="Times New Roman" w:cs="Times New Roman" w:eastAsia="Times New Roman" w:hAnsi="Times New Roman"/>
          <w:sz w:val="21"/>
          <w:szCs w:val="21"/>
          <w:u w:val="single" w:color="auto"/>
          <w:color w:val="auto"/>
        </w:rPr>
        <w:t>APPLICABLE PARTIES</w:t>
      </w:r>
      <w:r>
        <w:rPr>
          <w:rFonts w:ascii="Times New Roman" w:cs="Times New Roman" w:eastAsia="Times New Roman" w:hAnsi="Times New Roman"/>
          <w:sz w:val="21"/>
          <w:szCs w:val="21"/>
          <w:color w:val="auto"/>
        </w:rPr>
        <w:t>”)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67"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 notify the Administrative Agent in writing (which could be in the form of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ectPr>
          <w:pgSz w:w="11900" w:h="16838" w:orient="portrait"/>
          <w:cols w:equalWidth="0" w:num="1">
            <w:col w:w="11240"/>
          </w:cols>
          <w:pgMar w:left="320" w:top="1358" w:right="339" w:bottom="1440" w:gutter="0" w:footer="0" w:header="0"/>
        </w:sectPr>
      </w:pPr>
    </w:p>
    <w:bookmarkStart w:id="231" w:name="page232"/>
    <w:bookmarkEnd w:id="231"/>
    <w:p>
      <w:pPr>
        <w:spacing w:after="0" w:line="285" w:lineRule="auto"/>
        <w:rPr>
          <w:sz w:val="20"/>
          <w:szCs w:val="20"/>
          <w:color w:val="auto"/>
        </w:rPr>
      </w:pPr>
      <w:r>
        <w:rPr>
          <w:rFonts w:ascii="Times New Roman" w:cs="Times New Roman" w:eastAsia="Times New Roman" w:hAnsi="Times New Roman"/>
          <w:sz w:val="21"/>
          <w:szCs w:val="21"/>
          <w:color w:val="auto"/>
        </w:rPr>
        <w:t>communication) from time to time of such Lender’s or L/C Issuer’s (as applicable) email address to which the foregoing notice may be sent by electronic transmission and (ii) that the foregoing notice may be sent to such email address.</w:t>
      </w:r>
    </w:p>
    <w:p>
      <w:pPr>
        <w:spacing w:after="0" w:line="129" w:lineRule="exact"/>
        <w:rPr>
          <w:sz w:val="20"/>
          <w:szCs w:val="20"/>
          <w:color w:val="auto"/>
        </w:rPr>
      </w:pPr>
    </w:p>
    <w:p>
      <w:pPr>
        <w:jc w:val="both"/>
        <w:ind w:firstLine="718"/>
        <w:spacing w:after="0" w:line="261" w:lineRule="auto"/>
        <w:tabs>
          <w:tab w:leader="none" w:pos="1265"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each of the L/C Issuers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66" w:lineRule="exact"/>
        <w:rPr>
          <w:rFonts w:ascii="Times New Roman" w:cs="Times New Roman" w:eastAsia="Times New Roman" w:hAnsi="Times New Roman"/>
          <w:sz w:val="21"/>
          <w:szCs w:val="21"/>
          <w:color w:val="auto"/>
        </w:rPr>
      </w:pPr>
    </w:p>
    <w:p>
      <w:pPr>
        <w:ind w:firstLine="718"/>
        <w:spacing w:after="0" w:line="272" w:lineRule="auto"/>
        <w:tabs>
          <w:tab w:leader="none" w:pos="1268"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Administrative Agent, any Lender or any L/C Issuer to give any notice or other communication pursuant to any Loan Document in any other manner specified in such Loan Document.</w:t>
      </w:r>
    </w:p>
    <w:p>
      <w:pPr>
        <w:spacing w:after="0" w:line="15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The Administrative Agent Individually</w:t>
      </w:r>
      <w:r>
        <w:rPr>
          <w:rFonts w:ascii="Times New Roman" w:cs="Times New Roman" w:eastAsia="Times New Roman" w:hAnsi="Times New Roman"/>
          <w:sz w:val="21"/>
          <w:szCs w:val="21"/>
          <w:color w:val="auto"/>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L/C Issuer, as the case may be. The terms “L/C Issuers”, “Lenders”, “Required Lenders” and any similar terms shall, unless the context clearly otherwise indicates, include the Administrative Agent in its individual capacity as a Lender, L/C Issuer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L/C Issuers.</w:t>
      </w:r>
    </w:p>
    <w:p>
      <w:pPr>
        <w:spacing w:after="0" w:line="179"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 (a) The Administrative Agent may resign at any time by giving 30 days’ prior written notice thereof to the Lenders, the L/C Issuers and the Borrower, whether or not a successor Administrative Agent has been appointed. Upon receipt of any such notice of resignation, the Required Lenders will have the right, in consultation with the Borrower, to appoint a successor, which will be a bank with an office in the United States or an Affiliate of any such bank.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L/C Issuers, appoint a successor Administrative Agent, meeting the qualifications set forth above.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ectPr>
          <w:pgSz w:w="11900" w:h="16838" w:orient="portrait"/>
          <w:cols w:equalWidth="0" w:num="1">
            <w:col w:w="11240"/>
          </w:cols>
          <w:pgMar w:left="320" w:top="1358" w:right="339" w:bottom="1440" w:gutter="0" w:footer="0" w:header="0"/>
        </w:sectPr>
      </w:pPr>
    </w:p>
    <w:bookmarkStart w:id="232" w:name="page233"/>
    <w:bookmarkEnd w:id="232"/>
    <w:p>
      <w:pPr>
        <w:jc w:val="both"/>
        <w:spacing w:after="0" w:line="261" w:lineRule="auto"/>
        <w:rPr>
          <w:sz w:val="20"/>
          <w:szCs w:val="20"/>
          <w:color w:val="auto"/>
        </w:rPr>
      </w:pPr>
      <w:r>
        <w:rPr>
          <w:rFonts w:ascii="Times New Roman" w:cs="Times New Roman" w:eastAsia="Times New Roman" w:hAnsi="Times New Roman"/>
          <w:sz w:val="21"/>
          <w:szCs w:val="21"/>
          <w:color w:val="auto"/>
        </w:rPr>
        <w:t>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3" w:lineRule="exact"/>
        <w:rPr>
          <w:sz w:val="20"/>
          <w:szCs w:val="20"/>
          <w:color w:val="auto"/>
        </w:rPr>
      </w:pPr>
    </w:p>
    <w:p>
      <w:pPr>
        <w:jc w:val="both"/>
        <w:ind w:firstLine="718"/>
        <w:spacing w:after="0" w:line="249" w:lineRule="auto"/>
        <w:tabs>
          <w:tab w:leader="none" w:pos="1264"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L/C Issuers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all payments required to be made hereunder or under any other Loan Document to the Administrative Agent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account of any Person other than the Administrative Agent shall be made directly to such Person and (B) all notices and other communications required or contemplated to be given or made to the Administrative Agent shall directly be given or made to each Lender and each L/C Issuer. Following the effectiveness of the Administrative Agent’s resignation from its capacity as such, the provisions of this Article and Section 11.04,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6"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21"/>
          <w:szCs w:val="21"/>
          <w:color w:val="auto"/>
        </w:rPr>
        <w:t xml:space="preserve">Any resignation by JPMCB as Administrative Agent pursuant to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will also constitute its resignation as L/C Issuer. Upon the acceptance of a successor’s appointment as Administrative Agent hereunder, (a) such successor will succeed to and become vested with all of the rights, powers, privileges and duties of the retiring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successor agrees to act in such capacity), (b) the retiring L/C Issuer will be discharged from all of their respective duties and obligations hereunder or under the other Loan Documents, and (c) the successor L/C Issuer will issue letters of credit in substitution for the Letters of Credit, if any, issued by the retiring L/C Issuer that are outstanding at the time of such succession or make other arrangements reasonably satisfactory to the retiring L/C Issuer to effectively assume the obligations of the retiring L/C Issuer with respect to such Letters of Credit.</w:t>
      </w:r>
    </w:p>
    <w:p>
      <w:pPr>
        <w:spacing w:after="0" w:line="179"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Acknowledgements of Lenders and L/C Issuers</w:t>
      </w:r>
      <w:r>
        <w:rPr>
          <w:rFonts w:ascii="Times New Roman" w:cs="Times New Roman" w:eastAsia="Times New Roman" w:hAnsi="Times New Roman"/>
          <w:sz w:val="21"/>
          <w:szCs w:val="21"/>
          <w:color w:val="auto"/>
        </w:rPr>
        <w:t xml:space="preserve">. (a) Each Lender and each L/C Issuer represents and warrants that (i) the Loan Documents set forth the terms of a commercial lending facility, (ii) </w:t>
      </w:r>
      <w:r>
        <w:rPr>
          <w:rFonts w:ascii="Times New Roman" w:cs="Times New Roman" w:eastAsia="Times New Roman" w:hAnsi="Times New Roman"/>
          <w:sz w:val="21"/>
          <w:szCs w:val="21"/>
          <w:b w:val="1"/>
          <w:bCs w:val="1"/>
          <w:u w:val="single" w:color="auto"/>
          <w:color w:val="0000FF"/>
        </w:rPr>
        <w:t>in participating as a Lender,</w:t>
      </w:r>
      <w:r>
        <w:rPr>
          <w:rFonts w:ascii="Times New Roman" w:cs="Times New Roman" w:eastAsia="Times New Roman" w:hAnsi="Times New Roman"/>
          <w:sz w:val="21"/>
          <w:szCs w:val="21"/>
          <w:color w:val="auto"/>
        </w:rPr>
        <w:t xml:space="preserve"> it is engaged in making, acquiring or holding commercial loans and in providing other facilities set forth herein as may be applicable to such Lender or L/C Issuer, in each case in the ordinary course of business, and not for the purpose of </w:t>
      </w:r>
      <w:r>
        <w:rPr>
          <w:rFonts w:ascii="Times New Roman" w:cs="Times New Roman" w:eastAsia="Times New Roman" w:hAnsi="Times New Roman"/>
          <w:sz w:val="21"/>
          <w:szCs w:val="21"/>
          <w:b w:val="1"/>
          <w:bCs w:val="1"/>
          <w:u w:val="single" w:color="auto"/>
          <w:color w:val="0000FF"/>
        </w:rPr>
        <w:t>investing in the 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performance or operations of the Borrower, or for the purpose 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purchasing, acquiring or holding any other type of financial</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instrument </w:t>
      </w:r>
      <w:r>
        <w:rPr>
          <w:rFonts w:ascii="Times New Roman" w:cs="Times New Roman" w:eastAsia="Times New Roman" w:hAnsi="Times New Roman"/>
          <w:sz w:val="21"/>
          <w:szCs w:val="21"/>
          <w:b w:val="1"/>
          <w:bCs w:val="1"/>
          <w:u w:val="single" w:color="auto"/>
          <w:color w:val="0000FF"/>
        </w:rPr>
        <w:t>such as a security</w:t>
      </w:r>
      <w:r>
        <w:rPr>
          <w:rFonts w:ascii="Times New Roman" w:cs="Times New Roman" w:eastAsia="Times New Roman" w:hAnsi="Times New Roman"/>
          <w:sz w:val="21"/>
          <w:szCs w:val="21"/>
          <w:color w:val="000000"/>
        </w:rPr>
        <w:t xml:space="preserve"> (and each Lender and each L/C Issuer agrees not to assert a claim in contravention of the foregoing</w:t>
      </w:r>
      <w:r>
        <w:rPr>
          <w:rFonts w:ascii="Times New Roman" w:cs="Times New Roman" w:eastAsia="Times New Roman" w:hAnsi="Times New Roman"/>
          <w:sz w:val="21"/>
          <w:szCs w:val="21"/>
          <w:b w:val="1"/>
          <w:bCs w:val="1"/>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ectPr>
          <w:pgSz w:w="11900" w:h="16838" w:orient="portrait"/>
          <w:cols w:equalWidth="0" w:num="1">
            <w:col w:w="11240"/>
          </w:cols>
          <w:pgMar w:left="320" w:top="1358" w:right="339" w:bottom="1440" w:gutter="0" w:footer="0" w:header="0"/>
        </w:sectPr>
      </w:pPr>
    </w:p>
    <w:bookmarkStart w:id="233" w:name="page234"/>
    <w:bookmarkEnd w:id="233"/>
    <w:p>
      <w:pPr>
        <w:jc w:val="both"/>
        <w:spacing w:after="0" w:line="250" w:lineRule="auto"/>
        <w:rPr>
          <w:sz w:val="20"/>
          <w:szCs w:val="20"/>
          <w:color w:val="auto"/>
        </w:rPr>
      </w:pPr>
      <w:r>
        <w:rPr>
          <w:rFonts w:ascii="Times New Roman" w:cs="Times New Roman" w:eastAsia="Times New Roman" w:hAnsi="Times New Roman"/>
          <w:sz w:val="21"/>
          <w:szCs w:val="21"/>
          <w:b w:val="1"/>
          <w:bCs w:val="1"/>
          <w:u w:val="single" w:color="auto"/>
          <w:color w:val="0000FF"/>
        </w:rPr>
        <w:t>such as a claim under the federal or state securities laws</w:t>
      </w:r>
      <w:r>
        <w:rPr>
          <w:rFonts w:ascii="Times New Roman" w:cs="Times New Roman" w:eastAsia="Times New Roman" w:hAnsi="Times New Roman"/>
          <w:sz w:val="21"/>
          <w:szCs w:val="21"/>
          <w:color w:val="000000"/>
        </w:rPr>
        <w:t>), (iii) it has, independently and without reliance upon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Administrative Agent, any Arranger, any Co-Syndication Agent or any other Lender or L/C Issuer,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L/C Issuer also acknowledges that it will, independently and without reliance upon the Administrative Agent, any Arranger, any Co-Syndication Agent or any other Lender or L/C Issuer,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6" w:lineRule="exact"/>
        <w:rPr>
          <w:sz w:val="20"/>
          <w:szCs w:val="20"/>
          <w:color w:val="auto"/>
        </w:rPr>
      </w:pPr>
    </w:p>
    <w:p>
      <w:pPr>
        <w:jc w:val="both"/>
        <w:ind w:firstLine="718"/>
        <w:spacing w:after="0" w:line="261" w:lineRule="auto"/>
        <w:tabs>
          <w:tab w:leader="none" w:pos="1264"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(c)</w:t>
      </w:r>
    </w:p>
    <w:p>
      <w:pPr>
        <w:spacing w:after="0" w:line="222" w:lineRule="exact"/>
        <w:rPr>
          <w:sz w:val="20"/>
          <w:szCs w:val="20"/>
          <w:color w:val="auto"/>
        </w:rPr>
      </w:pPr>
    </w:p>
    <w:p>
      <w:pPr>
        <w:jc w:val="both"/>
        <w:ind w:left="640" w:firstLine="638"/>
        <w:spacing w:after="0" w:line="248" w:lineRule="auto"/>
        <w:tabs>
          <w:tab w:leader="none" w:pos="190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were erroneously transmitted to such Lender (whether or not known to such Lender), and demands the return of such Payment (or a portion thereof), such Lender shall promptly, but in no event later than one Business Day thereafter </w:t>
      </w:r>
      <w:r>
        <w:rPr>
          <w:rFonts w:ascii="Times New Roman" w:cs="Times New Roman" w:eastAsia="Times New Roman" w:hAnsi="Times New Roman"/>
          <w:sz w:val="21"/>
          <w:szCs w:val="21"/>
          <w:b w:val="1"/>
          <w:bCs w:val="1"/>
          <w:color w:val="0000FF"/>
        </w:rPr>
        <w:t>(or such later date as the Administrative Agent, may, in its sole discretion, specify in writing)</w:t>
      </w:r>
      <w:r>
        <w:rPr>
          <w:rFonts w:ascii="Times New Roman" w:cs="Times New Roman" w:eastAsia="Times New Roman" w:hAnsi="Times New Roman"/>
          <w:sz w:val="21"/>
          <w:szCs w:val="21"/>
          <w:color w:val="auto"/>
        </w:rPr>
        <w:t xml:space="preserve">, return to the Administrative Agent the amount of any such Payment (or portion thereof) as to which such a demand was made in same day funds, together with interest thereon </w:t>
      </w:r>
      <w:r>
        <w:rPr>
          <w:rFonts w:ascii="Times New Roman" w:cs="Times New Roman" w:eastAsia="Times New Roman" w:hAnsi="Times New Roman"/>
          <w:sz w:val="21"/>
          <w:szCs w:val="21"/>
          <w:b w:val="1"/>
          <w:bCs w:val="1"/>
          <w:u w:val="single" w:color="auto"/>
          <w:color w:val="0000FF"/>
        </w:rPr>
        <w:t>(except to the extent waived in writing by the 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Agent)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 respect of each day from and including the date such Payment (or portion thereof) was received by such Lender to</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the date such amount is repaid to the Administrative Agent at the greater of the NYFRB Rate and a rate determined by the Administrative Agent in accordance with banking industry rules on interbank compensation from time to time in effect, and</w:t>
      </w:r>
    </w:p>
    <w:p>
      <w:pPr>
        <w:spacing w:after="0" w:line="8" w:lineRule="exact"/>
        <w:rPr>
          <w:rFonts w:ascii="Times New Roman" w:cs="Times New Roman" w:eastAsia="Times New Roman" w:hAnsi="Times New Roman"/>
          <w:sz w:val="21"/>
          <w:szCs w:val="21"/>
          <w:color w:val="auto"/>
        </w:rPr>
      </w:pPr>
    </w:p>
    <w:p>
      <w:pPr>
        <w:ind w:left="940" w:hanging="298"/>
        <w:spacing w:after="0"/>
        <w:tabs>
          <w:tab w:leader="none" w:pos="9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-966470</wp:posOffset>
            </wp:positionV>
            <wp:extent cx="54082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08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ectPr>
          <w:pgSz w:w="11900" w:h="16838" w:orient="portrait"/>
          <w:cols w:equalWidth="0" w:num="1">
            <w:col w:w="11240"/>
          </w:cols>
          <w:pgMar w:left="320" w:top="1354" w:right="339" w:bottom="1440" w:gutter="0" w:footer="0" w:header="0"/>
        </w:sectPr>
      </w:pPr>
    </w:p>
    <w:bookmarkStart w:id="234" w:name="page235"/>
    <w:bookmarkEnd w:id="234"/>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21"/>
          <w:szCs w:val="21"/>
          <w:u w:val="single" w:color="auto"/>
          <w:color w:val="auto"/>
        </w:rPr>
        <w:t>Section 10.06(c)</w:t>
      </w:r>
      <w:r>
        <w:rPr>
          <w:rFonts w:ascii="Times New Roman" w:cs="Times New Roman" w:eastAsia="Times New Roman" w:hAnsi="Times New Roman"/>
          <w:sz w:val="21"/>
          <w:szCs w:val="21"/>
          <w:color w:val="auto"/>
        </w:rPr>
        <w:t xml:space="preserve"> shall be conclusive, absent manifest error.</w:t>
      </w:r>
    </w:p>
    <w:p>
      <w:pPr>
        <w:spacing w:after="0" w:line="175" w:lineRule="exact"/>
        <w:rPr>
          <w:sz w:val="20"/>
          <w:szCs w:val="20"/>
          <w:color w:val="auto"/>
        </w:rPr>
      </w:pPr>
    </w:p>
    <w:p>
      <w:pPr>
        <w:jc w:val="both"/>
        <w:ind w:firstLine="638"/>
        <w:spacing w:after="0" w:line="248" w:lineRule="auto"/>
        <w:tabs>
          <w:tab w:leader="none" w:pos="126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w:t>
      </w:r>
      <w:r>
        <w:rPr>
          <w:rFonts w:ascii="Times New Roman" w:cs="Times New Roman" w:eastAsia="Times New Roman" w:hAnsi="Times New Roman"/>
          <w:sz w:val="21"/>
          <w:szCs w:val="21"/>
          <w:b w:val="1"/>
          <w:bCs w:val="1"/>
          <w:u w:val="single" w:color="auto"/>
          <w:color w:val="0000FF"/>
        </w:rPr>
        <w:t>(or such later date as the Administrative Agent, may, in its sole discretion, specify in writing)</w:t>
      </w:r>
      <w:r>
        <w:rPr>
          <w:rFonts w:ascii="Times New Roman" w:cs="Times New Roman" w:eastAsia="Times New Roman" w:hAnsi="Times New Roman"/>
          <w:sz w:val="21"/>
          <w:szCs w:val="21"/>
          <w:color w:val="000000"/>
        </w:rPr>
        <w:t>, return to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Administrative Agent the amount of any such Payment (or portion thereof) as to which such a demand was made in same day funds, together with interest thereon </w:t>
      </w:r>
      <w:r>
        <w:rPr>
          <w:rFonts w:ascii="Times New Roman" w:cs="Times New Roman" w:eastAsia="Times New Roman" w:hAnsi="Times New Roman"/>
          <w:sz w:val="21"/>
          <w:szCs w:val="21"/>
          <w:b w:val="1"/>
          <w:bCs w:val="1"/>
          <w:u w:val="single" w:color="auto"/>
          <w:color w:val="0000FF"/>
        </w:rPr>
        <w:t>(except to the extent waived in writing by the Administrative Agent)</w:t>
      </w:r>
      <w:r>
        <w:rPr>
          <w:rFonts w:ascii="Times New Roman" w:cs="Times New Roman" w:eastAsia="Times New Roman" w:hAnsi="Times New Roman"/>
          <w:sz w:val="21"/>
          <w:szCs w:val="21"/>
          <w:color w:val="000000"/>
        </w:rPr>
        <w:t xml:space="preserve">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7" w:lineRule="exact"/>
        <w:rPr>
          <w:rFonts w:ascii="Times New Roman" w:cs="Times New Roman" w:eastAsia="Times New Roman" w:hAnsi="Times New Roman"/>
          <w:sz w:val="21"/>
          <w:szCs w:val="21"/>
          <w:color w:val="auto"/>
        </w:rPr>
      </w:pPr>
    </w:p>
    <w:p>
      <w:pPr>
        <w:jc w:val="both"/>
        <w:ind w:firstLine="638"/>
        <w:spacing w:after="0" w:line="251" w:lineRule="auto"/>
        <w:tabs>
          <w:tab w:leader="none" w:pos="127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to the extent such erroneous Payment is, and solely with respect to the amount of such erroneous Payment that is, comprised of funds received by the Administrative Agent from the Borrower or any other Loan Party for the purpose of satisfying an Obligation.</w:t>
      </w:r>
    </w:p>
    <w:p>
      <w:pPr>
        <w:spacing w:after="0" w:line="179" w:lineRule="exact"/>
        <w:rPr>
          <w:rFonts w:ascii="Times New Roman" w:cs="Times New Roman" w:eastAsia="Times New Roman" w:hAnsi="Times New Roman"/>
          <w:sz w:val="21"/>
          <w:szCs w:val="21"/>
          <w:color w:val="auto"/>
        </w:rPr>
      </w:pPr>
    </w:p>
    <w:p>
      <w:pPr>
        <w:jc w:val="both"/>
        <w:ind w:firstLine="638"/>
        <w:spacing w:after="0" w:line="261" w:lineRule="auto"/>
        <w:tabs>
          <w:tab w:leader="none" w:pos="12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10.06(c)</w:t>
      </w:r>
      <w:r>
        <w:rPr>
          <w:rFonts w:ascii="Times New Roman" w:cs="Times New Roman" w:eastAsia="Times New Roman" w:hAnsi="Times New Roman"/>
          <w:sz w:val="21"/>
          <w:szCs w:val="21"/>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128</w:t>
      </w:r>
    </w:p>
    <w:p>
      <w:pPr>
        <w:sectPr>
          <w:pgSz w:w="11900" w:h="16838" w:orient="portrait"/>
          <w:cols w:equalWidth="0" w:num="1">
            <w:col w:w="10600"/>
          </w:cols>
          <w:pgMar w:left="960" w:top="1358" w:right="339" w:bottom="1440" w:gutter="0" w:footer="0" w:header="0"/>
        </w:sectPr>
      </w:pPr>
    </w:p>
    <w:bookmarkStart w:id="235" w:name="page236"/>
    <w:bookmarkEnd w:id="235"/>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23" w:lineRule="exact"/>
        <w:rPr>
          <w:sz w:val="20"/>
          <w:szCs w:val="20"/>
          <w:color w:val="auto"/>
        </w:rPr>
      </w:pPr>
    </w:p>
    <w:p>
      <w:pPr>
        <w:ind w:left="640" w:firstLine="638"/>
        <w:spacing w:after="0" w:line="285" w:lineRule="auto"/>
        <w:tabs>
          <w:tab w:leader="none" w:pos="190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the Plan Asset Regulations) of one or more Benefit Plans in connection with the Loans, the Letters of Credit or the Commitments,</w:t>
      </w:r>
    </w:p>
    <w:p>
      <w:pPr>
        <w:spacing w:after="0" w:line="88" w:lineRule="exact"/>
        <w:rPr>
          <w:rFonts w:ascii="Times New Roman" w:cs="Times New Roman" w:eastAsia="Times New Roman" w:hAnsi="Times New Roman"/>
          <w:sz w:val="21"/>
          <w:szCs w:val="21"/>
          <w:color w:val="auto"/>
        </w:rPr>
      </w:pPr>
    </w:p>
    <w:p>
      <w:pPr>
        <w:jc w:val="both"/>
        <w:ind w:left="640" w:firstLine="638"/>
        <w:spacing w:after="0" w:line="249" w:lineRule="auto"/>
        <w:tabs>
          <w:tab w:leader="none" w:pos="190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7" w:lineRule="exact"/>
        <w:rPr>
          <w:rFonts w:ascii="Times New Roman" w:cs="Times New Roman" w:eastAsia="Times New Roman" w:hAnsi="Times New Roman"/>
          <w:sz w:val="21"/>
          <w:szCs w:val="21"/>
          <w:color w:val="auto"/>
        </w:rPr>
      </w:pPr>
    </w:p>
    <w:p>
      <w:pPr>
        <w:jc w:val="both"/>
        <w:ind w:left="640" w:firstLine="638"/>
        <w:spacing w:after="0" w:line="253" w:lineRule="auto"/>
        <w:tabs>
          <w:tab w:leader="none" w:pos="1912"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w:t>
      </w:r>
    </w:p>
    <w:p>
      <w:pPr>
        <w:spacing w:after="0" w:line="2" w:lineRule="exact"/>
        <w:rPr>
          <w:sz w:val="20"/>
          <w:szCs w:val="20"/>
          <w:color w:val="auto"/>
        </w:rPr>
      </w:pPr>
    </w:p>
    <w:p>
      <w:pPr>
        <w:ind w:left="640"/>
        <w:spacing w:after="0" w:line="237" w:lineRule="auto"/>
        <w:rPr>
          <w:sz w:val="20"/>
          <w:szCs w:val="20"/>
          <w:color w:val="auto"/>
        </w:rPr>
      </w:pPr>
      <w:r>
        <w:rPr>
          <w:rFonts w:ascii="Times New Roman" w:cs="Times New Roman" w:eastAsia="Times New Roman" w:hAnsi="Times New Roman"/>
          <w:sz w:val="21"/>
          <w:szCs w:val="21"/>
          <w:color w:val="auto"/>
        </w:rPr>
        <w:t>this Agreement, (C) the entrance into, participation in, administration of and performance of the Loans, the Letters of Credit, the Commitments and this Agreement satisfies the requirements of sub-sections (b) through (g) of Part I of PTE 84-14 and</w:t>
      </w:r>
    </w:p>
    <w:p>
      <w:pPr>
        <w:jc w:val="both"/>
        <w:ind w:left="640" w:firstLine="2"/>
        <w:spacing w:after="0" w:line="249" w:lineRule="auto"/>
        <w:tabs>
          <w:tab w:leader="none" w:pos="1017"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8" w:lineRule="exact"/>
        <w:rPr>
          <w:rFonts w:ascii="Times New Roman" w:cs="Times New Roman" w:eastAsia="Times New Roman" w:hAnsi="Times New Roman"/>
          <w:sz w:val="21"/>
          <w:szCs w:val="21"/>
          <w:color w:val="auto"/>
        </w:rPr>
      </w:pPr>
    </w:p>
    <w:p>
      <w:pPr>
        <w:ind w:left="640" w:firstLine="638"/>
        <w:spacing w:after="0" w:line="272" w:lineRule="auto"/>
        <w:tabs>
          <w:tab w:leader="none" w:pos="1900" w:val="left"/>
        </w:tabs>
        <w:numPr>
          <w:ilvl w:val="2"/>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15" w:lineRule="exact"/>
        <w:rPr>
          <w:rFonts w:ascii="Times New Roman" w:cs="Times New Roman" w:eastAsia="Times New Roman" w:hAnsi="Times New Roman"/>
          <w:sz w:val="21"/>
          <w:szCs w:val="21"/>
          <w:color w:val="auto"/>
        </w:rPr>
      </w:pPr>
    </w:p>
    <w:p>
      <w:pPr>
        <w:jc w:val="both"/>
        <w:ind w:firstLine="718"/>
        <w:spacing w:after="0" w:line="245" w:lineRule="auto"/>
        <w:tabs>
          <w:tab w:leader="none" w:pos="1264"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Co-Syndication Agent,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ectPr>
          <w:pgSz w:w="11900" w:h="16838" w:orient="portrait"/>
          <w:cols w:equalWidth="0" w:num="1">
            <w:col w:w="11240"/>
          </w:cols>
          <w:pgMar w:left="320" w:top="1146" w:right="339" w:bottom="1440" w:gutter="0" w:footer="0" w:header="0"/>
        </w:sectPr>
      </w:pPr>
    </w:p>
    <w:bookmarkStart w:id="236" w:name="page237"/>
    <w:bookmarkEnd w:id="236"/>
    <w:p>
      <w:pPr>
        <w:jc w:val="both"/>
        <w:spacing w:after="0" w:line="254" w:lineRule="auto"/>
        <w:rPr>
          <w:sz w:val="20"/>
          <w:szCs w:val="20"/>
          <w:color w:val="auto"/>
        </w:rPr>
      </w:pPr>
      <w:r>
        <w:rPr>
          <w:rFonts w:ascii="Times New Roman" w:cs="Times New Roman" w:eastAsia="Times New Roman" w:hAnsi="Times New Roman"/>
          <w:sz w:val="21"/>
          <w:szCs w:val="21"/>
          <w:color w:val="auto"/>
        </w:rPr>
        <w:t>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34" w:lineRule="exact"/>
        <w:rPr>
          <w:sz w:val="20"/>
          <w:szCs w:val="20"/>
          <w:color w:val="auto"/>
        </w:rPr>
      </w:pPr>
    </w:p>
    <w:p>
      <w:pPr>
        <w:jc w:val="both"/>
        <w:ind w:firstLine="718"/>
        <w:spacing w:after="0" w:line="245" w:lineRule="auto"/>
        <w:tabs>
          <w:tab w:leader="none" w:pos="126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Arranger and Co-Syndication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u w:val="single" w:color="auto"/>
          <w:color w:val="auto"/>
        </w:rPr>
        <w:t>Guarantee Matters</w:t>
      </w:r>
      <w:r>
        <w:rPr>
          <w:rFonts w:ascii="Times New Roman" w:cs="Times New Roman" w:eastAsia="Times New Roman" w:hAnsi="Times New Roman"/>
          <w:sz w:val="21"/>
          <w:szCs w:val="21"/>
          <w:color w:val="auto"/>
        </w:rPr>
        <w:t xml:space="preserve">. (a) The Lenders and the L/C Issuers irrevocably authorize the Administrative Agent to release any Subsidiary Guarantor from its obligations under the Obligations Guarantee if (i) such Subsidiary Guarantor after the Effective Date ceases to be a Material Subsidiary of the Borrower as a result of a transaction permitted hereunder or (ii) such Subsidiary Guarantor was voluntarily designated by the Borrower as a Subsidiary Guarantor pursuant to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and Borrower requests, in writing, that the Administrative Agent release it from the Obligations Guarantee and certifies that (x) no Event of Default would immediately result from such a release and (y) such Subsidiary is not required to be a Subsidiary Guarantor pursuant to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Upon request by the Administrative Agent at any time, the Required Lenders will confirm in writing the Administrative Agent’s authority to release any Subsidiary Guarantor from its obligations under the Obligations Guarantee pursuant to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b w:val="1"/>
          <w:bCs w:val="1"/>
          <w:u w:val="single" w:color="auto"/>
          <w:color w:val="0000FF"/>
        </w:rPr>
        <w:t>SECTION 10.09.</w:t>
      </w:r>
      <w:r>
        <w:rPr>
          <w:sz w:val="20"/>
          <w:szCs w:val="20"/>
          <w:color w:val="auto"/>
        </w:rPr>
        <w:tab/>
      </w:r>
      <w:r>
        <w:rPr>
          <w:rFonts w:ascii="Times New Roman" w:cs="Times New Roman" w:eastAsia="Times New Roman" w:hAnsi="Times New Roman"/>
          <w:sz w:val="21"/>
          <w:szCs w:val="21"/>
          <w:b w:val="1"/>
          <w:bCs w:val="1"/>
          <w:u w:val="single" w:color="auto"/>
          <w:color w:val="0000FF"/>
        </w:rPr>
        <w:t>Borrower Communications.</w:t>
      </w:r>
    </w:p>
    <w:p>
      <w:pPr>
        <w:spacing w:after="0" w:line="209" w:lineRule="exact"/>
        <w:rPr>
          <w:sz w:val="20"/>
          <w:szCs w:val="20"/>
          <w:color w:val="auto"/>
        </w:rPr>
      </w:pPr>
    </w:p>
    <w:p>
      <w:pPr>
        <w:jc w:val="both"/>
        <w:ind w:firstLine="718"/>
        <w:spacing w:after="0" w:line="263" w:lineRule="auto"/>
        <w:tabs>
          <w:tab w:leader="none" w:pos="1264" w:val="left"/>
        </w:tabs>
        <w:numPr>
          <w:ilvl w:val="0"/>
          <w:numId w:val="193"/>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The Administrative Agent, the Lenders and the L/C Issuer agree that the Borrower may, but shall not be obligated to, make any Borrower Communications to the Administrative Agent through an electronic platform chosen by the Administrative Agent to be its electronic transmission system (the “Approved Borrower Portal”).</w:t>
      </w:r>
    </w:p>
    <w:p>
      <w:pPr>
        <w:spacing w:after="0" w:line="146" w:lineRule="exact"/>
        <w:rPr>
          <w:rFonts w:ascii="Times New Roman" w:cs="Times New Roman" w:eastAsia="Times New Roman" w:hAnsi="Times New Roman"/>
          <w:sz w:val="21"/>
          <w:szCs w:val="21"/>
          <w:b w:val="1"/>
          <w:bCs w:val="1"/>
          <w:u w:val="single" w:color="auto"/>
          <w:color w:val="0000FF"/>
        </w:rPr>
      </w:pPr>
    </w:p>
    <w:p>
      <w:pPr>
        <w:jc w:val="both"/>
        <w:ind w:firstLine="718"/>
        <w:spacing w:after="0" w:line="263" w:lineRule="auto"/>
        <w:tabs>
          <w:tab w:leader="none" w:pos="1262" w:val="left"/>
        </w:tabs>
        <w:numPr>
          <w:ilvl w:val="0"/>
          <w:numId w:val="193"/>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ectPr>
          <w:pgSz w:w="11900" w:h="16838" w:orient="portrait"/>
          <w:cols w:equalWidth="0" w:num="1">
            <w:col w:w="11240"/>
          </w:cols>
          <w:pgMar w:left="320" w:top="1358" w:right="339" w:bottom="1440" w:gutter="0" w:footer="0" w:header="0"/>
        </w:sectPr>
      </w:pPr>
    </w:p>
    <w:bookmarkStart w:id="237" w:name="page238"/>
    <w:bookmarkEnd w:id="237"/>
    <w:p>
      <w:pPr>
        <w:jc w:val="both"/>
        <w:spacing w:after="0" w:line="250" w:lineRule="auto"/>
        <w:rPr>
          <w:sz w:val="20"/>
          <w:szCs w:val="20"/>
          <w:color w:val="auto"/>
        </w:rPr>
      </w:pPr>
      <w:r>
        <w:rPr>
          <w:rFonts w:ascii="Times New Roman" w:cs="Times New Roman" w:eastAsia="Times New Roman" w:hAnsi="Times New Roman"/>
          <w:sz w:val="21"/>
          <w:szCs w:val="21"/>
          <w:b w:val="1"/>
          <w:bCs w:val="1"/>
          <w:u w:val="single" w:color="auto"/>
          <w:color w:val="0000FF"/>
        </w:rPr>
        <w:t>of the L/C Issuers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L/C Issuers and the Borrower hereby approves distribution of Borrower Communications through the Approved Borrower Portal and understands and assumes the risks of such distribution.</w:t>
      </w:r>
    </w:p>
    <w:p>
      <w:pPr>
        <w:spacing w:after="0" w:line="160" w:lineRule="exact"/>
        <w:rPr>
          <w:sz w:val="20"/>
          <w:szCs w:val="20"/>
          <w:color w:val="auto"/>
        </w:rPr>
      </w:pPr>
    </w:p>
    <w:p>
      <w:pPr>
        <w:jc w:val="both"/>
        <w:ind w:firstLine="718"/>
        <w:spacing w:after="0" w:line="245" w:lineRule="auto"/>
        <w:tabs>
          <w:tab w:leader="none" w:pos="1265" w:val="left"/>
        </w:tabs>
        <w:numPr>
          <w:ilvl w:val="0"/>
          <w:numId w:val="19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L/C ISSUER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9" w:lineRule="exact"/>
        <w:rPr>
          <w:rFonts w:ascii="Times New Roman" w:cs="Times New Roman" w:eastAsia="Times New Roman" w:hAnsi="Times New Roman"/>
          <w:sz w:val="21"/>
          <w:szCs w:val="21"/>
          <w:b w:val="1"/>
          <w:bCs w:val="1"/>
          <w:u w:val="single" w:color="auto"/>
          <w:color w:val="0000FF"/>
        </w:rPr>
      </w:pPr>
    </w:p>
    <w:p>
      <w:pPr>
        <w:jc w:val="both"/>
        <w:ind w:firstLine="718"/>
        <w:spacing w:after="0" w:line="254" w:lineRule="auto"/>
        <w:tabs>
          <w:tab w:leader="none" w:pos="1262" w:val="left"/>
        </w:tabs>
        <w:numPr>
          <w:ilvl w:val="0"/>
          <w:numId w:val="19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Each of the Lenders, each of the L/C Issuers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56" w:lineRule="exact"/>
        <w:rPr>
          <w:rFonts w:ascii="Times New Roman" w:cs="Times New Roman" w:eastAsia="Times New Roman" w:hAnsi="Times New Roman"/>
          <w:sz w:val="21"/>
          <w:szCs w:val="21"/>
          <w:b w:val="1"/>
          <w:bCs w:val="1"/>
          <w:u w:val="single" w:color="auto"/>
          <w:color w:val="0000FF"/>
        </w:rPr>
      </w:pPr>
    </w:p>
    <w:p>
      <w:pPr>
        <w:ind w:firstLine="718"/>
        <w:spacing w:after="0" w:line="289" w:lineRule="auto"/>
        <w:tabs>
          <w:tab w:leader="none" w:pos="1265" w:val="left"/>
        </w:tabs>
        <w:numPr>
          <w:ilvl w:val="0"/>
          <w:numId w:val="19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Nothing herein shall prejudice the right of the Borrower to give any notice or other communication pursuant to any Loan Document in any other manner specified in such Loan Document.</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ARTICLE XI</w:t>
      </w: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21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11.01.</w:t>
      </w:r>
      <w:r>
        <w:rPr>
          <w:sz w:val="20"/>
          <w:szCs w:val="20"/>
          <w:color w:val="auto"/>
        </w:rPr>
        <w:tab/>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b w:val="1"/>
          <w:bCs w:val="1"/>
          <w:u w:val="single" w:color="auto"/>
          <w:color w:val="0000FF"/>
        </w:rPr>
        <w:t>.</w:t>
      </w:r>
    </w:p>
    <w:p>
      <w:pPr>
        <w:spacing w:after="0" w:line="209" w:lineRule="exact"/>
        <w:rPr>
          <w:sz w:val="20"/>
          <w:szCs w:val="20"/>
          <w:color w:val="auto"/>
        </w:rPr>
      </w:pPr>
    </w:p>
    <w:p>
      <w:pPr>
        <w:ind w:right="20" w:firstLine="718"/>
        <w:spacing w:after="0" w:line="289" w:lineRule="auto"/>
        <w:tabs>
          <w:tab w:leader="none" w:pos="1264" w:val="left"/>
        </w:tabs>
        <w:numPr>
          <w:ilvl w:val="0"/>
          <w:numId w:val="195"/>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 Except</w:t>
      </w:r>
      <w:r>
        <w:rPr>
          <w:rFonts w:ascii="Times New Roman" w:cs="Times New Roman" w:eastAsia="Times New Roman" w:hAnsi="Times New Roman"/>
          <w:sz w:val="21"/>
          <w:szCs w:val="21"/>
          <w:b w:val="1"/>
          <w:bCs w:val="1"/>
          <w:u w:val="single" w:color="auto"/>
          <w:color w:val="0000FF"/>
        </w:rPr>
        <w:t>Subject to Section 11.01(b), and except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as expressly provided in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Sections 2.14</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(with respect to an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Incremental Term Loan Amendment), </w:t>
      </w:r>
      <w:r>
        <w:rPr>
          <w:rFonts w:ascii="Times New Roman" w:cs="Times New Roman" w:eastAsia="Times New Roman" w:hAnsi="Times New Roman"/>
          <w:sz w:val="21"/>
          <w:szCs w:val="21"/>
          <w:u w:val="single" w:color="auto"/>
          <w:color w:val="000000"/>
        </w:rPr>
        <w:t>2.17(b)</w:t>
      </w:r>
      <w:r>
        <w:rPr>
          <w:rFonts w:ascii="Times New Roman" w:cs="Times New Roman" w:eastAsia="Times New Roman" w:hAnsi="Times New Roman"/>
          <w:sz w:val="21"/>
          <w:szCs w:val="21"/>
          <w:color w:val="000000"/>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ectPr>
          <w:pgSz w:w="11900" w:h="16838" w:orient="portrait"/>
          <w:cols w:equalWidth="0" w:num="1">
            <w:col w:w="11240"/>
          </w:cols>
          <w:pgMar w:left="320" w:top="1354" w:right="339" w:bottom="1440" w:gutter="0" w:footer="0" w:header="0"/>
        </w:sectPr>
      </w:pPr>
    </w:p>
    <w:bookmarkStart w:id="238" w:name="page239"/>
    <w:bookmarkEnd w:id="238"/>
    <w:p>
      <w:pPr>
        <w:jc w:val="both"/>
        <w:spacing w:after="0" w:line="253" w:lineRule="auto"/>
        <w:rPr>
          <w:sz w:val="20"/>
          <w:szCs w:val="20"/>
          <w:color w:val="auto"/>
        </w:rPr>
      </w:pPr>
      <w:r>
        <w:rPr>
          <w:rFonts w:ascii="Times New Roman" w:cs="Times New Roman" w:eastAsia="Times New Roman" w:hAnsi="Times New Roman"/>
          <w:sz w:val="21"/>
          <w:szCs w:val="21"/>
          <w:u w:val="single" w:color="auto"/>
          <w:color w:val="auto"/>
        </w:rPr>
        <w:t>2.17(c)</w:t>
      </w:r>
      <w:r>
        <w:rPr>
          <w:rFonts w:ascii="Times New Roman" w:cs="Times New Roman" w:eastAsia="Times New Roman" w:hAnsi="Times New Roman"/>
          <w:sz w:val="21"/>
          <w:szCs w:val="21"/>
          <w:color w:val="auto"/>
        </w:rPr>
        <w:t xml:space="preserve"> and in the definition of “Letter of Credit Commitment”, no amendment or waiver of any provision of this Agreement or any other Loan Document, and no consent to any departure by the Loan Parties therefrom, will be effective unless in writing signed </w:t>
      </w:r>
      <w:r>
        <w:rPr>
          <w:rFonts w:ascii="Times New Roman" w:cs="Times New Roman" w:eastAsia="Times New Roman" w:hAnsi="Times New Roman"/>
          <w:sz w:val="21"/>
          <w:szCs w:val="21"/>
          <w:b w:val="1"/>
          <w:bCs w:val="1"/>
          <w:u w:val="single" w:color="auto"/>
          <w:color w:val="0000FF"/>
        </w:rPr>
        <w:t>(x)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in the case of this Agreement,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by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Borrower and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Required Lenders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and acknowledged by the Administrative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(such acknowledgement not to be unreasonably withheld, conditioned or delayed) or (y) in the case of any other Loan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Document, by the Administrative Agent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and the Borrower (and, if the rights of any other Loan Party shall be affected thereby,</w:t>
      </w:r>
    </w:p>
    <w:p>
      <w:pPr>
        <w:spacing w:after="0" w:line="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such Loan Party), </w:t>
      </w:r>
      <w:r>
        <w:rPr>
          <w:rFonts w:ascii="Times New Roman" w:cs="Times New Roman" w:eastAsia="Times New Roman" w:hAnsi="Times New Roman"/>
          <w:sz w:val="21"/>
          <w:szCs w:val="21"/>
          <w:b w:val="1"/>
          <w:bCs w:val="1"/>
          <w:color w:val="FF0000"/>
          <w:strike w:val="1"/>
        </w:rPr>
        <w:t>and acknowledged by the Administrative Agent (such acknowledgement not to be unreasonably withheld,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conditioned or delayed)</w:t>
      </w:r>
      <w:r>
        <w:rPr>
          <w:rFonts w:ascii="Times New Roman" w:cs="Times New Roman" w:eastAsia="Times New Roman" w:hAnsi="Times New Roman"/>
          <w:sz w:val="21"/>
          <w:szCs w:val="21"/>
          <w:b w:val="1"/>
          <w:bCs w:val="1"/>
          <w:u w:val="single" w:color="auto"/>
          <w:color w:val="0000FF"/>
        </w:rPr>
        <w:t>with the consent of the Required Lenders,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and each such waiver or consent will be effective only in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specific instance and for the specific purpose for which given;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w:t>
      </w:r>
      <w:r>
        <w:rPr>
          <w:rFonts w:ascii="Times New Roman" w:cs="Times New Roman" w:eastAsia="Times New Roman" w:hAnsi="Times New Roman"/>
          <w:sz w:val="21"/>
          <w:szCs w:val="21"/>
          <w:b w:val="1"/>
          <w:bCs w:val="1"/>
          <w:color w:val="FF0000"/>
          <w:strike w:val="1"/>
        </w:rPr>
        <w:t>any provision of this Agreement or any other Loan</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FF0000"/>
          <w:strike w:val="1"/>
        </w:rPr>
        <w:t xml:space="preserve">Document may be amended by an agreement in writing entered into by the Borrower and the Administrative Agent to cure any ambiguity, omission, defect or inconsistency so long as, in each case, (x) such amendment does not adversely affect the rights of any Lender or (y)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w:t>
      </w:r>
      <w:r>
        <w:rPr>
          <w:rFonts w:ascii="Times New Roman" w:cs="Times New Roman" w:eastAsia="Times New Roman" w:hAnsi="Times New Roman"/>
          <w:sz w:val="21"/>
          <w:szCs w:val="21"/>
          <w:b w:val="1"/>
          <w:bCs w:val="1"/>
          <w:u w:val="single" w:color="auto"/>
          <w:color w:val="FF0000"/>
          <w:strike w:val="1"/>
        </w:rPr>
        <w:t>provided further</w:t>
      </w:r>
      <w:r>
        <w:rPr>
          <w:rFonts w:ascii="Times New Roman" w:cs="Times New Roman" w:eastAsia="Times New Roman" w:hAnsi="Times New Roman"/>
          <w:sz w:val="21"/>
          <w:szCs w:val="21"/>
          <w:b w:val="1"/>
          <w:bCs w:val="1"/>
          <w:color w:val="FF0000"/>
          <w:strike w:val="1"/>
        </w:rPr>
        <w:t xml:space="preserve"> that </w:t>
      </w:r>
      <w:r>
        <w:rPr>
          <w:rFonts w:ascii="Times New Roman" w:cs="Times New Roman" w:eastAsia="Times New Roman" w:hAnsi="Times New Roman"/>
          <w:sz w:val="21"/>
          <w:szCs w:val="21"/>
          <w:color w:val="000000"/>
          <w:strike w:val="1"/>
        </w:rPr>
        <w:t>no such amendment, waiver or consent will:</w:t>
      </w:r>
    </w:p>
    <w:p>
      <w:pPr>
        <w:spacing w:after="0" w:line="177" w:lineRule="exact"/>
        <w:rPr>
          <w:sz w:val="20"/>
          <w:szCs w:val="20"/>
          <w:color w:val="auto"/>
        </w:rPr>
      </w:pPr>
    </w:p>
    <w:p>
      <w:pPr>
        <w:ind w:left="640" w:firstLine="638"/>
        <w:spacing w:after="0" w:line="289" w:lineRule="auto"/>
        <w:tabs>
          <w:tab w:leader="none" w:pos="1900" w:val="left"/>
        </w:tabs>
        <w:numPr>
          <w:ilvl w:val="0"/>
          <w:numId w:val="19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(a)</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extend or increase the Commitment of any Lender (or reinstate any Commitment terminated pursuant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8.02</w:t>
      </w:r>
      <w:r>
        <w:rPr>
          <w:rFonts w:ascii="Times New Roman" w:cs="Times New Roman" w:eastAsia="Times New Roman" w:hAnsi="Times New Roman"/>
          <w:sz w:val="21"/>
          <w:szCs w:val="21"/>
          <w:color w:val="000000"/>
        </w:rPr>
        <w:t>) without the written consent of such Lender;</w:t>
      </w:r>
    </w:p>
    <w:p>
      <w:pPr>
        <w:spacing w:after="0" w:line="133" w:lineRule="exact"/>
        <w:rPr>
          <w:rFonts w:ascii="Times New Roman" w:cs="Times New Roman" w:eastAsia="Times New Roman" w:hAnsi="Times New Roman"/>
          <w:sz w:val="21"/>
          <w:szCs w:val="21"/>
          <w:u w:val="single" w:color="auto"/>
          <w:color w:val="0000FF"/>
        </w:rPr>
      </w:pPr>
    </w:p>
    <w:p>
      <w:pPr>
        <w:jc w:val="both"/>
        <w:ind w:left="640" w:firstLine="638"/>
        <w:spacing w:after="0" w:line="258" w:lineRule="auto"/>
        <w:tabs>
          <w:tab w:leader="none" w:pos="1906" w:val="left"/>
        </w:tabs>
        <w:numPr>
          <w:ilvl w:val="0"/>
          <w:numId w:val="19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(b)</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postpone any date fixed by this Agreement or any other Loan Document for any payment of principal,</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interest or fees due to any Lender hereunder or under any other Loan Document without the written consent of such Lender, or postpone any date fixed by this Agreement for any payment of an L/C Borrowing without the written consent of each Lender;</w:t>
      </w:r>
    </w:p>
    <w:p>
      <w:pPr>
        <w:spacing w:after="0" w:line="154" w:lineRule="exact"/>
        <w:rPr>
          <w:rFonts w:ascii="Times New Roman" w:cs="Times New Roman" w:eastAsia="Times New Roman" w:hAnsi="Times New Roman"/>
          <w:sz w:val="21"/>
          <w:szCs w:val="21"/>
          <w:u w:val="single" w:color="auto"/>
          <w:color w:val="0000FF"/>
        </w:rPr>
      </w:pPr>
    </w:p>
    <w:p>
      <w:pPr>
        <w:jc w:val="both"/>
        <w:ind w:left="640" w:firstLine="638"/>
        <w:spacing w:after="0" w:line="255" w:lineRule="auto"/>
        <w:tabs>
          <w:tab w:leader="none" w:pos="1912" w:val="left"/>
        </w:tabs>
        <w:numPr>
          <w:ilvl w:val="0"/>
          <w:numId w:val="19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(c)</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reduce the principal of, or the rate of interest specified herein on, any Loan or L/C Borrowing, or any fees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payable hereunder or under any other Loan Document, without the written consent of each Lender directly affected thereby;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only the consent of the Required Lenders will be necessary to waive any obligation of the Borrower to pay interest at the default rate or change the amount of the default rate specified in </w:t>
      </w:r>
      <w:r>
        <w:rPr>
          <w:rFonts w:ascii="Times New Roman" w:cs="Times New Roman" w:eastAsia="Times New Roman" w:hAnsi="Times New Roman"/>
          <w:sz w:val="21"/>
          <w:szCs w:val="21"/>
          <w:u w:val="single" w:color="auto"/>
          <w:color w:val="000000"/>
        </w:rPr>
        <w:t>Section 2.08(b)</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further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no amendment or modification of the financial covenant in this Agreement (or defined terms used in the financial covenant in this Agreement) shall constitute a reduction in the rate of interest or fees for purposes of this clause (c);</w:t>
      </w:r>
    </w:p>
    <w:p>
      <w:pPr>
        <w:spacing w:after="0" w:line="169" w:lineRule="exact"/>
        <w:rPr>
          <w:rFonts w:ascii="Times New Roman" w:cs="Times New Roman" w:eastAsia="Times New Roman" w:hAnsi="Times New Roman"/>
          <w:sz w:val="21"/>
          <w:szCs w:val="21"/>
          <w:u w:val="single" w:color="auto"/>
          <w:color w:val="0000FF"/>
        </w:rPr>
      </w:pPr>
    </w:p>
    <w:p>
      <w:pPr>
        <w:ind w:left="640" w:firstLine="638"/>
        <w:spacing w:after="0" w:line="276" w:lineRule="auto"/>
        <w:tabs>
          <w:tab w:leader="none" w:pos="1900" w:val="left"/>
        </w:tabs>
        <w:numPr>
          <w:ilvl w:val="0"/>
          <w:numId w:val="19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change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2.06</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8.03</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in a manner that would alter the ratable reduction of Commitments 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pro rata sharing of payments required thereby without the written consent of each Lender directly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ectPr>
          <w:pgSz w:w="11900" w:h="16838" w:orient="portrait"/>
          <w:cols w:equalWidth="0" w:num="1">
            <w:col w:w="11240"/>
          </w:cols>
          <w:pgMar w:left="320" w:top="1358" w:right="339" w:bottom="1440" w:gutter="0" w:footer="0" w:header="0"/>
        </w:sectPr>
      </w:pPr>
    </w:p>
    <w:bookmarkStart w:id="239" w:name="page240"/>
    <w:bookmarkEnd w:id="239"/>
    <w:p>
      <w:pPr>
        <w:ind w:left="1260" w:hanging="622"/>
        <w:spacing w:after="0"/>
        <w:tabs>
          <w:tab w:leader="none" w:pos="1260" w:val="left"/>
        </w:tabs>
        <w:numPr>
          <w:ilvl w:val="1"/>
          <w:numId w:val="19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amend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1.05</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or the definition of “Alternative Currency” without the written consent of each</w:t>
      </w:r>
    </w:p>
    <w:p>
      <w:pPr>
        <w:spacing w:after="0" w:line="38" w:lineRule="exact"/>
        <w:rPr>
          <w:rFonts w:ascii="Times New Roman" w:cs="Times New Roman" w:eastAsia="Times New Roman" w:hAnsi="Times New Roman"/>
          <w:sz w:val="21"/>
          <w:szCs w:val="21"/>
          <w:u w:val="single" w:color="auto"/>
          <w:color w:val="0000FF"/>
        </w:rPr>
      </w:pPr>
    </w:p>
    <w:p>
      <w:pPr>
        <w:spacing w:after="0"/>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color w:val="auto"/>
        </w:rPr>
        <w:t>Lender;</w:t>
      </w:r>
    </w:p>
    <w:p>
      <w:pPr>
        <w:spacing w:after="0" w:line="181" w:lineRule="exact"/>
        <w:rPr>
          <w:rFonts w:ascii="Times New Roman" w:cs="Times New Roman" w:eastAsia="Times New Roman" w:hAnsi="Times New Roman"/>
          <w:sz w:val="21"/>
          <w:szCs w:val="21"/>
          <w:u w:val="single" w:color="auto"/>
          <w:color w:val="0000FF"/>
        </w:rPr>
      </w:pPr>
    </w:p>
    <w:p>
      <w:pPr>
        <w:jc w:val="both"/>
        <w:ind w:firstLine="638"/>
        <w:spacing w:after="0" w:line="263" w:lineRule="auto"/>
        <w:tabs>
          <w:tab w:leader="none" w:pos="1260" w:val="left"/>
        </w:tabs>
        <w:numPr>
          <w:ilvl w:val="1"/>
          <w:numId w:val="19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(f)</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release Borrower (if it shall have become a Guarantor) or any of the other Subsidiary Guarantors from the</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Obligations Guarantee in </w:t>
      </w:r>
      <w:r>
        <w:rPr>
          <w:rFonts w:ascii="Times New Roman" w:cs="Times New Roman" w:eastAsia="Times New Roman" w:hAnsi="Times New Roman"/>
          <w:sz w:val="21"/>
          <w:szCs w:val="21"/>
          <w:u w:val="single" w:color="auto"/>
          <w:color w:val="000000"/>
        </w:rPr>
        <w:t>Section 9.01</w:t>
      </w:r>
      <w:r>
        <w:rPr>
          <w:rFonts w:ascii="Times New Roman" w:cs="Times New Roman" w:eastAsia="Times New Roman" w:hAnsi="Times New Roman"/>
          <w:sz w:val="21"/>
          <w:szCs w:val="21"/>
          <w:color w:val="000000"/>
        </w:rPr>
        <w:t xml:space="preserve"> (including, in each case, by limiting liability in respect thereof (other than as required by applicable Law)) without the written consent of each Lender, except, in the case of any Subsidiary Guarantor, as permitted pursuant to </w:t>
      </w:r>
      <w:r>
        <w:rPr>
          <w:rFonts w:ascii="Times New Roman" w:cs="Times New Roman" w:eastAsia="Times New Roman" w:hAnsi="Times New Roman"/>
          <w:sz w:val="21"/>
          <w:szCs w:val="21"/>
          <w:u w:val="single" w:color="auto"/>
          <w:color w:val="000000"/>
        </w:rPr>
        <w:t>Section 10.10</w:t>
      </w:r>
      <w:r>
        <w:rPr>
          <w:rFonts w:ascii="Times New Roman" w:cs="Times New Roman" w:eastAsia="Times New Roman" w:hAnsi="Times New Roman"/>
          <w:sz w:val="21"/>
          <w:szCs w:val="21"/>
          <w:color w:val="000000"/>
        </w:rPr>
        <w:t xml:space="preserve"> (in which case such release may be made by the Administrative Agent acting alone); or</w:t>
      </w:r>
    </w:p>
    <w:p>
      <w:pPr>
        <w:spacing w:after="0" w:line="147" w:lineRule="exact"/>
        <w:rPr>
          <w:rFonts w:ascii="Times New Roman" w:cs="Times New Roman" w:eastAsia="Times New Roman" w:hAnsi="Times New Roman"/>
          <w:sz w:val="21"/>
          <w:szCs w:val="21"/>
          <w:u w:val="single" w:color="auto"/>
          <w:color w:val="0000FF"/>
        </w:rPr>
      </w:pPr>
    </w:p>
    <w:p>
      <w:pPr>
        <w:jc w:val="both"/>
        <w:ind w:firstLine="638"/>
        <w:spacing w:after="0" w:line="250" w:lineRule="auto"/>
        <w:tabs>
          <w:tab w:leader="none" w:pos="1266" w:val="left"/>
        </w:tabs>
        <w:numPr>
          <w:ilvl w:val="1"/>
          <w:numId w:val="19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change any provision of this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u w:val="single" w:color="auto"/>
          <w:color w:val="000000"/>
        </w:rPr>
        <w:t>Section 11.01</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or the percentage set forth in the definition of “Required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Lenders” or any other provision hereof specifying the number or percentage of Lenders required to amend, waive or otherwise modify any rights hereunder or make any determination or grant any consent hereunder without the written consent of each Lender (it being understood that, solely with the consent of the parties prescribed by </w:t>
      </w:r>
      <w:r>
        <w:rPr>
          <w:rFonts w:ascii="Times New Roman" w:cs="Times New Roman" w:eastAsia="Times New Roman" w:hAnsi="Times New Roman"/>
          <w:sz w:val="21"/>
          <w:szCs w:val="21"/>
          <w:u w:val="single" w:color="auto"/>
          <w:color w:val="000000"/>
        </w:rPr>
        <w:t>Section 2.14</w:t>
      </w:r>
      <w:r>
        <w:rPr>
          <w:rFonts w:ascii="Times New Roman" w:cs="Times New Roman" w:eastAsia="Times New Roman" w:hAnsi="Times New Roman"/>
          <w:sz w:val="21"/>
          <w:szCs w:val="21"/>
          <w:color w:val="000000"/>
        </w:rPr>
        <w:t xml:space="preserve"> to be parties to an Incremental Term Loan Amendment, Incremental Term Loans may be included in the determination of Required Lenders on substantially the same basis as the Commitments and the Loans are included on the Effective Date);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xml:space="preserve"> that (i) no amendment, waiver or consent will, unless in writing and signed by such L/C Issuer in addition to the Lenders required above, affect the rights or duties of any L/C Issuer under this Agreement or any Issuer Document relating to any Letter of Credit issued or to be issued by it and (ii) no amendment, waiver or consent will, unless in writing and signed by the Administrative Agent in addition to the Lenders required above, affect the rights or duties of the Administrative Agent under this Agreement or any other Loan Document. </w:t>
      </w:r>
      <w:r>
        <w:rPr>
          <w:rFonts w:ascii="Times New Roman" w:cs="Times New Roman" w:eastAsia="Times New Roman" w:hAnsi="Times New Roman"/>
          <w:sz w:val="21"/>
          <w:szCs w:val="21"/>
          <w:b w:val="1"/>
          <w:bCs w:val="1"/>
          <w:color w:val="FF0000"/>
          <w:strike w:val="1"/>
        </w:rPr>
        <w:t>Notwithstanding anything to the contrary</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color w:val="FF0000"/>
          <w:strike w:val="1"/>
        </w:rPr>
        <w:t>herein,</w:t>
      </w:r>
    </w:p>
    <w:p>
      <w:pPr>
        <w:spacing w:after="0" w:line="200" w:lineRule="exact"/>
        <w:rPr>
          <w:rFonts w:ascii="Times New Roman" w:cs="Times New Roman" w:eastAsia="Times New Roman" w:hAnsi="Times New Roman"/>
          <w:sz w:val="21"/>
          <w:szCs w:val="21"/>
          <w:u w:val="single" w:color="auto"/>
          <w:color w:val="0000FF"/>
        </w:rPr>
      </w:pPr>
    </w:p>
    <w:p>
      <w:pPr>
        <w:spacing w:after="0" w:line="226" w:lineRule="exact"/>
        <w:rPr>
          <w:rFonts w:ascii="Times New Roman" w:cs="Times New Roman" w:eastAsia="Times New Roman" w:hAnsi="Times New Roman"/>
          <w:sz w:val="21"/>
          <w:szCs w:val="21"/>
          <w:u w:val="single" w:color="auto"/>
          <w:color w:val="0000FF"/>
        </w:rPr>
      </w:pPr>
    </w:p>
    <w:p>
      <w:pPr>
        <w:ind w:left="620" w:hanging="542"/>
        <w:spacing w:after="0"/>
        <w:tabs>
          <w:tab w:leader="none" w:pos="620" w:val="left"/>
        </w:tabs>
        <w:numPr>
          <w:ilvl w:val="0"/>
          <w:numId w:val="198"/>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Notwithstanding anything in this Section 11.01, this Agreement, or any other Loan Document to the contrary:</w:t>
      </w:r>
    </w:p>
    <w:p>
      <w:pPr>
        <w:spacing w:after="0" w:line="222" w:lineRule="exact"/>
        <w:rPr>
          <w:rFonts w:ascii="Times New Roman" w:cs="Times New Roman" w:eastAsia="Times New Roman" w:hAnsi="Times New Roman"/>
          <w:sz w:val="21"/>
          <w:szCs w:val="21"/>
          <w:b w:val="1"/>
          <w:bCs w:val="1"/>
          <w:u w:val="single" w:color="auto"/>
          <w:color w:val="0000FF"/>
        </w:rPr>
      </w:pPr>
    </w:p>
    <w:p>
      <w:pPr>
        <w:jc w:val="both"/>
        <w:ind w:firstLine="638"/>
        <w:spacing w:after="0" w:line="250" w:lineRule="auto"/>
        <w:tabs>
          <w:tab w:leader="none" w:pos="132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rPr>
        <w:t xml:space="preserve">(A) </w:t>
      </w:r>
      <w:r>
        <w:rPr>
          <w:rFonts w:ascii="Times New Roman" w:cs="Times New Roman" w:eastAsia="Times New Roman" w:hAnsi="Times New Roman"/>
          <w:sz w:val="21"/>
          <w:szCs w:val="21"/>
          <w:color w:val="000000"/>
        </w:rPr>
        <w:t>no Defaulting Lender shall have any right to approve or disapprove any amendment, waiver or consent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 xml:space="preserve">hereunder (and any amendment, waiver or consent which by its terms requires the consent of all Lenders or each affected Lender may be effected with the consent of the applicable Lenders other than Defaulting Lenders), except that (x) any amendment, waiver or consent referred to in </w:t>
      </w:r>
      <w:r>
        <w:rPr>
          <w:rFonts w:ascii="Times New Roman" w:cs="Times New Roman" w:eastAsia="Times New Roman" w:hAnsi="Times New Roman"/>
          <w:sz w:val="21"/>
          <w:szCs w:val="21"/>
          <w:b w:val="1"/>
          <w:bCs w:val="1"/>
          <w:color w:val="FF0000"/>
          <w:strike w:val="1"/>
        </w:rPr>
        <w:t>clause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clauses (i)</w:t>
      </w:r>
      <w:r>
        <w:rPr>
          <w:rFonts w:ascii="Times New Roman" w:cs="Times New Roman" w:eastAsia="Times New Roman" w:hAnsi="Times New Roman"/>
          <w:sz w:val="21"/>
          <w:szCs w:val="21"/>
          <w:color w:val="000000"/>
        </w:rPr>
        <w:t xml:space="preserve">(a), </w:t>
      </w:r>
      <w:r>
        <w:rPr>
          <w:rFonts w:ascii="Times New Roman" w:cs="Times New Roman" w:eastAsia="Times New Roman" w:hAnsi="Times New Roman"/>
          <w:sz w:val="21"/>
          <w:szCs w:val="21"/>
          <w:b w:val="1"/>
          <w:bCs w:val="1"/>
          <w:u w:val="single" w:color="auto"/>
          <w:color w:val="0000FF"/>
        </w:rPr>
        <w:t>(i)</w:t>
      </w:r>
      <w:r>
        <w:rPr>
          <w:rFonts w:ascii="Times New Roman" w:cs="Times New Roman" w:eastAsia="Times New Roman" w:hAnsi="Times New Roman"/>
          <w:sz w:val="21"/>
          <w:szCs w:val="21"/>
          <w:color w:val="000000"/>
        </w:rPr>
        <w:t>(b) or (</w:t>
      </w:r>
      <w:r>
        <w:rPr>
          <w:rFonts w:ascii="Times New Roman" w:cs="Times New Roman" w:eastAsia="Times New Roman" w:hAnsi="Times New Roman"/>
          <w:sz w:val="21"/>
          <w:szCs w:val="21"/>
          <w:b w:val="1"/>
          <w:bCs w:val="1"/>
          <w:u w:val="single" w:color="auto"/>
          <w:color w:val="0000FF"/>
        </w:rPr>
        <w:t>i)(</w:t>
      </w:r>
      <w:r>
        <w:rPr>
          <w:rFonts w:ascii="Times New Roman" w:cs="Times New Roman" w:eastAsia="Times New Roman" w:hAnsi="Times New Roman"/>
          <w:sz w:val="21"/>
          <w:szCs w:val="21"/>
          <w:color w:val="000000"/>
        </w:rPr>
        <w:t xml:space="preserve">c) above shall require the consent of such Defaulting Lender in the event such Defaulting Lender shall be directly affected thereby and (y) any amendment, waiver or consent requiring the consent of all Lenders or each affected Lender that by its terms affects any Defaulting Lender more adversely than other affected Lenders shall require the consent of such Defaulting Lender </w:t>
      </w:r>
      <w:r>
        <w:rPr>
          <w:rFonts w:ascii="Times New Roman" w:cs="Times New Roman" w:eastAsia="Times New Roman" w:hAnsi="Times New Roman"/>
          <w:sz w:val="21"/>
          <w:szCs w:val="21"/>
          <w:b w:val="1"/>
          <w:bCs w:val="1"/>
          <w:color w:val="FF0000"/>
        </w:rPr>
        <w:t>and (B) any provision of this</w:t>
      </w:r>
    </w:p>
    <w:p>
      <w:pPr>
        <w:spacing w:after="0" w:line="2"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FF0000"/>
          <w:strike w:val="1"/>
        </w:rPr>
        <w:t>Agreement or any other Loan Document may be amended by an agreement in writing entered into by the Borrower, the Administrative Agent (and, if their rights or duties are affected thereby, each L/C Issuer) and the Lenders that will remain parties hereto after giving effect to such amendment if (x) by the terms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-1501140</wp:posOffset>
            </wp:positionV>
            <wp:extent cx="262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2255" cy="8255"/>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-558800</wp:posOffset>
            </wp:positionV>
            <wp:extent cx="17500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133</w:t>
      </w:r>
    </w:p>
    <w:p>
      <w:pPr>
        <w:sectPr>
          <w:pgSz w:w="11900" w:h="16838" w:orient="portrait"/>
          <w:cols w:equalWidth="0" w:num="1">
            <w:col w:w="10600"/>
          </w:cols>
          <w:pgMar w:left="960" w:top="1354" w:right="339" w:bottom="1440" w:gutter="0" w:footer="0" w:header="0"/>
        </w:sectPr>
      </w:pPr>
    </w:p>
    <w:bookmarkStart w:id="240" w:name="page241"/>
    <w:bookmarkEnd w:id="240"/>
    <w:p>
      <w:pPr>
        <w:jc w:val="both"/>
        <w:spacing w:after="0" w:line="251" w:lineRule="auto"/>
        <w:rPr>
          <w:sz w:val="20"/>
          <w:szCs w:val="20"/>
          <w:color w:val="auto"/>
        </w:rPr>
      </w:pPr>
      <w:r>
        <w:rPr>
          <w:rFonts w:ascii="Times New Roman" w:cs="Times New Roman" w:eastAsia="Times New Roman" w:hAnsi="Times New Roman"/>
          <w:sz w:val="21"/>
          <w:szCs w:val="21"/>
          <w:b w:val="1"/>
          <w:bCs w:val="1"/>
          <w:color w:val="FF0000"/>
          <w:strike w:val="1"/>
        </w:rPr>
        <w:t xml:space="preserve">agreement the Commitment of each Lender not consenting to the amendment provided for therein shall terminate upon the effectiveness of such amendment, (y) at the time such amendment becomes effective, each Lender not consenting thereto receives payment in full of the principal of and interest accrued on each Loan made by it and all other amounts owing to it or accrued for its account under this Agreement and (z) after giving effect to such amendment and all contemporaneous repayments of Loans and reductions of Commitments, the Total Outstandings shall not exceed the Aggregate Commitments. The Administrative Agent may, but shall have no obligation to, with the written concurrence of any Lender, execute amendments, waivers or consents on behalf of such Lender. Any amendment, waiver or consent effected in accordance with this </w:t>
      </w:r>
      <w:r>
        <w:rPr>
          <w:rFonts w:ascii="Times New Roman" w:cs="Times New Roman" w:eastAsia="Times New Roman" w:hAnsi="Times New Roman"/>
          <w:sz w:val="21"/>
          <w:szCs w:val="21"/>
          <w:b w:val="1"/>
          <w:bCs w:val="1"/>
          <w:u w:val="single" w:color="auto"/>
          <w:color w:val="FF0000"/>
          <w:strike w:val="1"/>
        </w:rPr>
        <w:t>Section 11.01</w:t>
      </w:r>
      <w:r>
        <w:rPr>
          <w:rFonts w:ascii="Times New Roman" w:cs="Times New Roman" w:eastAsia="Times New Roman" w:hAnsi="Times New Roman"/>
          <w:sz w:val="21"/>
          <w:szCs w:val="21"/>
          <w:b w:val="1"/>
          <w:bCs w:val="1"/>
          <w:color w:val="FF0000"/>
          <w:strike w:val="1"/>
        </w:rPr>
        <w:t xml:space="preserve"> shall be binding upon each Person that is at the time thereof a Lender and each Person that subsequently becomes a Lender.</w:t>
      </w:r>
      <w:r>
        <w:rPr>
          <w:rFonts w:ascii="Times New Roman" w:cs="Times New Roman" w:eastAsia="Times New Roman" w:hAnsi="Times New Roman"/>
          <w:sz w:val="21"/>
          <w:szCs w:val="21"/>
          <w:b w:val="1"/>
          <w:bCs w:val="1"/>
          <w:u w:val="single" w:color="auto"/>
          <w:color w:val="0000FF"/>
          <w:strike w:val="1"/>
        </w:rPr>
        <w:t>;</w:t>
      </w:r>
    </w:p>
    <w:p>
      <w:pPr>
        <w:spacing w:after="0" w:line="165" w:lineRule="exact"/>
        <w:rPr>
          <w:sz w:val="20"/>
          <w:szCs w:val="20"/>
          <w:color w:val="auto"/>
        </w:rPr>
      </w:pPr>
    </w:p>
    <w:p>
      <w:pPr>
        <w:jc w:val="both"/>
        <w:ind w:firstLine="638"/>
        <w:spacing w:after="0" w:line="254" w:lineRule="auto"/>
        <w:tabs>
          <w:tab w:leader="none" w:pos="1266" w:val="left"/>
        </w:tabs>
        <w:numPr>
          <w:ilvl w:val="0"/>
          <w:numId w:val="19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(h) Notwithstanding the foregoing,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this Agreement and any other Loan Document may be amended (or</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Loans, Incremental Term Loans and the accrued interest and fees in respect thereof and (y) to include appropriately the Lenders holding such credit facilities in any determination of the Required Lenders and Lenders</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0000FF"/>
        </w:rPr>
        <w:t>;</w:t>
      </w:r>
    </w:p>
    <w:p>
      <w:pPr>
        <w:spacing w:after="0" w:line="172" w:lineRule="exact"/>
        <w:rPr>
          <w:rFonts w:ascii="Times New Roman" w:cs="Times New Roman" w:eastAsia="Times New Roman" w:hAnsi="Times New Roman"/>
          <w:sz w:val="21"/>
          <w:szCs w:val="21"/>
          <w:u w:val="single" w:color="auto"/>
          <w:color w:val="0000FF"/>
        </w:rPr>
      </w:pPr>
    </w:p>
    <w:p>
      <w:pPr>
        <w:jc w:val="both"/>
        <w:ind w:firstLine="638"/>
        <w:spacing w:after="0" w:line="253" w:lineRule="auto"/>
        <w:tabs>
          <w:tab w:leader="none" w:pos="1272" w:val="left"/>
        </w:tabs>
        <w:numPr>
          <w:ilvl w:val="0"/>
          <w:numId w:val="19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(i) Notwithstanding anything to the contrary herein,</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if the Administrative Agent and the Borrower acting</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together identify any ambiguity, omission, mistake, typographical error</w:t>
      </w:r>
      <w:r>
        <w:rPr>
          <w:rFonts w:ascii="Times New Roman" w:cs="Times New Roman" w:eastAsia="Times New Roman" w:hAnsi="Times New Roman"/>
          <w:sz w:val="21"/>
          <w:szCs w:val="21"/>
          <w:b w:val="1"/>
          <w:bCs w:val="1"/>
          <w:u w:val="single" w:color="auto"/>
          <w:color w:val="0000FF"/>
        </w:rPr>
        <w:t>, inconsistency,</w:t>
      </w:r>
      <w:r>
        <w:rPr>
          <w:rFonts w:ascii="Times New Roman" w:cs="Times New Roman" w:eastAsia="Times New Roman" w:hAnsi="Times New Roman"/>
          <w:sz w:val="21"/>
          <w:szCs w:val="21"/>
          <w:color w:val="000000"/>
        </w:rPr>
        <w:t xml:space="preserve">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0000FF"/>
        </w:rPr>
        <w:t>; and</w:t>
      </w:r>
    </w:p>
    <w:p>
      <w:pPr>
        <w:spacing w:after="0" w:line="171" w:lineRule="exact"/>
        <w:rPr>
          <w:rFonts w:ascii="Times New Roman" w:cs="Times New Roman" w:eastAsia="Times New Roman" w:hAnsi="Times New Roman"/>
          <w:sz w:val="21"/>
          <w:szCs w:val="21"/>
          <w:u w:val="single" w:color="auto"/>
          <w:color w:val="0000FF"/>
        </w:rPr>
      </w:pPr>
    </w:p>
    <w:p>
      <w:pPr>
        <w:jc w:val="both"/>
        <w:ind w:firstLine="638"/>
        <w:spacing w:after="0" w:line="255" w:lineRule="auto"/>
        <w:tabs>
          <w:tab w:leader="none" w:pos="1260" w:val="left"/>
        </w:tabs>
        <w:numPr>
          <w:ilvl w:val="0"/>
          <w:numId w:val="19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u w:val="single" w:color="auto"/>
          <w:color w:val="0000FF"/>
        </w:rPr>
        <w:t>as to any amendment or amendment and restatement otherwise approved in accordance with this Section 11.01,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134</w:t>
      </w:r>
    </w:p>
    <w:p>
      <w:pPr>
        <w:sectPr>
          <w:pgSz w:w="11900" w:h="16838" w:orient="portrait"/>
          <w:cols w:equalWidth="0" w:num="1">
            <w:col w:w="10600"/>
          </w:cols>
          <w:pgMar w:left="960" w:top="1354" w:right="339" w:bottom="1440" w:gutter="0" w:footer="0" w:header="0"/>
        </w:sectPr>
      </w:pPr>
    </w:p>
    <w:bookmarkStart w:id="241" w:name="page242"/>
    <w:bookmarkEnd w:id="241"/>
    <w:p>
      <w:pPr>
        <w:jc w:val="both"/>
        <w:ind w:firstLine="636"/>
        <w:spacing w:after="0" w:line="252"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Notices; Effectiveness; Electronic Communication</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all notices and other communications provided for herein will be in writing and will be delivered by hand or overnight courier service, mailed by certified or registered mail or sent by fax or e-mail as follows, and all notices and other communications expressly permitted hereunder to be given by telephone will be made to the applicable telephone number, as follows:</w:t>
      </w:r>
    </w:p>
    <w:p>
      <w:pPr>
        <w:spacing w:after="0" w:line="159" w:lineRule="exact"/>
        <w:rPr>
          <w:sz w:val="20"/>
          <w:szCs w:val="20"/>
          <w:color w:val="auto"/>
        </w:rPr>
      </w:pPr>
    </w:p>
    <w:p>
      <w:pPr>
        <w:ind w:left="640" w:firstLine="638"/>
        <w:spacing w:after="0" w:line="276" w:lineRule="auto"/>
        <w:tabs>
          <w:tab w:leader="none" w:pos="19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any Loan Party </w:t>
      </w:r>
      <w:r>
        <w:rPr>
          <w:rFonts w:ascii="Times New Roman" w:cs="Times New Roman" w:eastAsia="Times New Roman" w:hAnsi="Times New Roman"/>
          <w:sz w:val="21"/>
          <w:szCs w:val="21"/>
          <w:b w:val="1"/>
          <w:bCs w:val="1"/>
          <w:color w:val="FF0000"/>
        </w:rPr>
        <w:t>or the Administrative Agent</w:t>
      </w:r>
      <w:r>
        <w:rPr>
          <w:rFonts w:ascii="Times New Roman" w:cs="Times New Roman" w:eastAsia="Times New Roman" w:hAnsi="Times New Roman"/>
          <w:sz w:val="21"/>
          <w:szCs w:val="21"/>
          <w:color w:val="auto"/>
        </w:rPr>
        <w:t xml:space="preserve">, to the address, fax number, e-mail address or telephone number specified for such Person on </w:t>
      </w:r>
      <w:r>
        <w:rPr>
          <w:rFonts w:ascii="Times New Roman" w:cs="Times New Roman" w:eastAsia="Times New Roman" w:hAnsi="Times New Roman"/>
          <w:sz w:val="21"/>
          <w:szCs w:val="21"/>
          <w:u w:val="single" w:color="auto"/>
          <w:color w:val="auto"/>
        </w:rPr>
        <w:t>Schedule 11.02</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640" w:firstLine="638"/>
        <w:spacing w:after="0" w:line="276" w:lineRule="auto"/>
        <w:tabs>
          <w:tab w:leader="none" w:pos="1906" w:val="left"/>
        </w:tabs>
        <w:numPr>
          <w:ilvl w:val="0"/>
          <w:numId w:val="20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u w:val="single" w:color="auto"/>
          <w:color w:val="0000FF"/>
        </w:rPr>
        <w:t>if to the Administrative Agent from the Borrower, to JPMorgan Chase Bank, N.A. to the address, fax number, e-mail address or telephone number separately provided to the Borrower;</w:t>
      </w:r>
    </w:p>
    <w:p>
      <w:pPr>
        <w:spacing w:after="0" w:line="146" w:lineRule="exact"/>
        <w:rPr>
          <w:rFonts w:ascii="Times New Roman" w:cs="Times New Roman" w:eastAsia="Times New Roman" w:hAnsi="Times New Roman"/>
          <w:sz w:val="21"/>
          <w:szCs w:val="21"/>
          <w:u w:val="single" w:color="auto"/>
          <w:color w:val="0000FF"/>
        </w:rPr>
      </w:pPr>
    </w:p>
    <w:p>
      <w:pPr>
        <w:ind w:left="640" w:right="20" w:firstLine="638"/>
        <w:spacing w:after="0" w:line="276" w:lineRule="auto"/>
        <w:tabs>
          <w:tab w:leader="none" w:pos="1912" w:val="left"/>
        </w:tabs>
        <w:numPr>
          <w:ilvl w:val="0"/>
          <w:numId w:val="20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u w:val="single" w:color="auto"/>
          <w:color w:val="0000FF"/>
        </w:rPr>
        <w:t>if to the Administrative Agent from the Lenders, to the address, fax number, e-mail address or telephone number specified for the Administrative Agent on Schedule 11.02;</w:t>
      </w:r>
    </w:p>
    <w:p>
      <w:pPr>
        <w:spacing w:after="0" w:line="133" w:lineRule="exact"/>
        <w:rPr>
          <w:rFonts w:ascii="Times New Roman" w:cs="Times New Roman" w:eastAsia="Times New Roman" w:hAnsi="Times New Roman"/>
          <w:sz w:val="21"/>
          <w:szCs w:val="21"/>
          <w:u w:val="single" w:color="auto"/>
          <w:color w:val="0000FF"/>
        </w:rPr>
      </w:pPr>
    </w:p>
    <w:p>
      <w:pPr>
        <w:ind w:left="640" w:firstLine="638"/>
        <w:spacing w:after="0" w:line="289" w:lineRule="auto"/>
        <w:tabs>
          <w:tab w:leader="none" w:pos="1900" w:val="left"/>
        </w:tabs>
        <w:numPr>
          <w:ilvl w:val="0"/>
          <w:numId w:val="20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(ii)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if to any other Lender, to the address, fax number, e-mail address or telephone number specified in its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Administrative Questionnaire; and</w:t>
      </w:r>
    </w:p>
    <w:p>
      <w:pPr>
        <w:spacing w:after="0" w:line="120" w:lineRule="exact"/>
        <w:rPr>
          <w:rFonts w:ascii="Times New Roman" w:cs="Times New Roman" w:eastAsia="Times New Roman" w:hAnsi="Times New Roman"/>
          <w:sz w:val="21"/>
          <w:szCs w:val="21"/>
          <w:u w:val="single" w:color="auto"/>
          <w:color w:val="0000FF"/>
        </w:rPr>
      </w:pPr>
    </w:p>
    <w:p>
      <w:pPr>
        <w:jc w:val="both"/>
        <w:ind w:left="640" w:firstLine="638"/>
        <w:spacing w:after="0" w:line="254" w:lineRule="auto"/>
        <w:tabs>
          <w:tab w:leader="none" w:pos="1907" w:val="left"/>
        </w:tabs>
        <w:numPr>
          <w:ilvl w:val="0"/>
          <w:numId w:val="20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color w:val="FF0000"/>
          <w:strike w:val="1"/>
        </w:rPr>
        <w:t>(iii)</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if to any L/C Issuer, to it at its address, fax number, e-mail address or telephone number most recently</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specified by it in a notice delivered to the Administrative Agent and the Borrower (or, in the absence of any such notice, to the address, fax number, e-mail address or telephone number set forth in the Administrative Questionnaire of the Lender that is serving as such L/C Issuer or is an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-2327910</wp:posOffset>
            </wp:positionV>
            <wp:extent cx="1685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154" w:lineRule="exact"/>
        <w:rPr>
          <w:sz w:val="20"/>
          <w:szCs w:val="20"/>
          <w:color w:val="auto"/>
        </w:rPr>
      </w:pPr>
    </w:p>
    <w:p>
      <w:pPr>
        <w:jc w:val="both"/>
        <w:ind w:hanging="11"/>
        <w:spacing w:after="0" w:line="249"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will be deemed to have been given when received; notices and other communications sent by fax will be deemed to have been given when sent (except that, if not given during normal business hours for the recipient, will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will be effective as provided in such Section.</w:t>
      </w:r>
    </w:p>
    <w:p>
      <w:pPr>
        <w:spacing w:after="0" w:line="178" w:lineRule="exact"/>
        <w:rPr>
          <w:sz w:val="20"/>
          <w:szCs w:val="20"/>
          <w:color w:val="auto"/>
        </w:rPr>
      </w:pPr>
    </w:p>
    <w:p>
      <w:pPr>
        <w:ind w:left="1260" w:hanging="542"/>
        <w:spacing w:after="0"/>
        <w:tabs>
          <w:tab w:leader="none" w:pos="126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562"/>
        <w:spacing w:after="0"/>
        <w:tabs>
          <w:tab w:leader="none" w:pos="128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jc w:val="both"/>
        <w:ind w:firstLine="718"/>
        <w:spacing w:after="0" w:line="252" w:lineRule="auto"/>
        <w:tabs>
          <w:tab w:leader="none" w:pos="126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Address, Etc</w:t>
      </w:r>
      <w:r>
        <w:rPr>
          <w:rFonts w:ascii="Times New Roman" w:cs="Times New Roman" w:eastAsia="Times New Roman" w:hAnsi="Times New Roman"/>
          <w:sz w:val="21"/>
          <w:szCs w:val="21"/>
          <w:color w:val="auto"/>
        </w:rPr>
        <w:t>. Each of the Loan Parties and the Administrative Agent and any L/C Issuer may change its address, fax number, telephone number or e-mail address for notices and other communications hereunder by notice to the other parties hereto. Each other Lender may change its address, fax number, telephone number or e-mail address for notices and other communications hereunder by notice to the Loan Parties, the Administrative Agent and each L/C Issuer. In addition, each Lender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ectPr>
          <w:pgSz w:w="11900" w:h="16838" w:orient="portrait"/>
          <w:cols w:equalWidth="0" w:num="1">
            <w:col w:w="11240"/>
          </w:cols>
          <w:pgMar w:left="320" w:top="1146" w:right="339" w:bottom="1440" w:gutter="0" w:footer="0" w:header="0"/>
        </w:sectPr>
      </w:pPr>
    </w:p>
    <w:bookmarkStart w:id="242" w:name="page243"/>
    <w:bookmarkEnd w:id="242"/>
    <w:p>
      <w:pPr>
        <w:jc w:val="both"/>
        <w:spacing w:after="0" w:line="261" w:lineRule="auto"/>
        <w:rPr>
          <w:sz w:val="20"/>
          <w:szCs w:val="20"/>
          <w:color w:val="auto"/>
        </w:rPr>
      </w:pPr>
      <w:r>
        <w:rPr>
          <w:rFonts w:ascii="Times New Roman" w:cs="Times New Roman" w:eastAsia="Times New Roman" w:hAnsi="Times New Roman"/>
          <w:sz w:val="21"/>
          <w:szCs w:val="21"/>
          <w:color w:val="auto"/>
        </w:rPr>
        <w:t>L/C Issuer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or such L/C Issuer.</w:t>
      </w:r>
    </w:p>
    <w:p>
      <w:pPr>
        <w:spacing w:after="0" w:line="153" w:lineRule="exact"/>
        <w:rPr>
          <w:sz w:val="20"/>
          <w:szCs w:val="20"/>
          <w:color w:val="auto"/>
        </w:rPr>
      </w:pPr>
    </w:p>
    <w:p>
      <w:pPr>
        <w:jc w:val="both"/>
        <w:ind w:firstLine="718"/>
        <w:spacing w:after="0" w:line="246" w:lineRule="auto"/>
        <w:tabs>
          <w:tab w:leader="none" w:pos="1265"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by Agent, L/C Issuers and Lenders</w:t>
      </w:r>
      <w:r>
        <w:rPr>
          <w:rFonts w:ascii="Times New Roman" w:cs="Times New Roman" w:eastAsia="Times New Roman" w:hAnsi="Times New Roman"/>
          <w:sz w:val="21"/>
          <w:szCs w:val="21"/>
          <w:color w:val="auto"/>
        </w:rPr>
        <w:t>. The Administrative Agent, the L/C Issuers and the Lenders will be entitled to rely and act upon any notices (including telephonic Committed Loan Notices and Bid Requests) purportedly given by or on behalf of the Borrower or any other Loan Party even if (i) such notices were not made in a manner specified herein, were incomplete or were not preceded or followed by any other form of notice specified herein or (ii) the terms thereof, as understood by the recipient, varied from any confirmation thereof. The Borrower will indemnify the Administrative Agent, each L/C Issuer, each Lender and their respective Related Parties from all losses, costs, expenses and liabilities resulting from the reliance by such Person on any notice purportedly given by or on behalf of the Borrower or any other Loan Party. All telephonic notices to and other telephonic communications with the Administrative Agent may be recorded by the Administrative Agent, and each of the parties hereto hereby consents to such recording.</w:t>
      </w:r>
    </w:p>
    <w:p>
      <w:pPr>
        <w:spacing w:after="0" w:line="18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11.03. </w:t>
      </w:r>
      <w:r>
        <w:rPr>
          <w:rFonts w:ascii="Times New Roman" w:cs="Times New Roman" w:eastAsia="Times New Roman" w:hAnsi="Times New Roman"/>
          <w:sz w:val="21"/>
          <w:szCs w:val="21"/>
          <w:u w:val="single" w:color="auto"/>
          <w:color w:val="auto"/>
        </w:rPr>
        <w:t>No Waiver; Cumulative Remedies; Enforcement</w:t>
      </w:r>
      <w:r>
        <w:rPr>
          <w:rFonts w:ascii="Times New Roman" w:cs="Times New Roman" w:eastAsia="Times New Roman" w:hAnsi="Times New Roman"/>
          <w:sz w:val="21"/>
          <w:szCs w:val="21"/>
          <w:color w:val="auto"/>
        </w:rPr>
        <w:t xml:space="preserve">. No failure by any Lender, any L/C Issuer or the Administrative Agent to exercise, and no delay by any such Person in exercising, any right, remedy, power or privilege hereunder or under any other Loan Document will operate as a waiver thereof; nor will any single or partial exercise of any right, remedy, power or privilege hereunder or under any other Loan Document preclude any other or further exercise thereof or the exercise of any other right, remedy, power or privilege. The rights, remedies, powers and privileges of the Administrative Agent, the L/C Issuers and the Lenders provided hereunder or under the other Loan Documents are cumulative and not exclusive of any rights, remedies, powers and privileges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and then such waiver or consent shall be effective only in the specific instance and for the specific purpose for which given. Without limiting the generality of the foregoing, the execution and delivery of this Agreement or the making of a Credit Extension shall not be construed as a waiver of any Default, regardless of whether the Administrative Agent, any L/C Issuer, any Lender or any Related Party of any of the foregoing may have had notice or knowledge of such Default at the time.</w:t>
      </w:r>
    </w:p>
    <w:p>
      <w:pPr>
        <w:spacing w:after="0" w:line="18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11.04. </w:t>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The Borrower and each other Loan Party will pay (i) all reasonable and documented out of pocket expenses incurred by the Administrative Agent, the Arrangers and their respective Affiliates (including the reasonable and documented fees, charges and disbursements of counsel for the Administrative Agent and the Arrangers, which shall be limited to Latham &amp; Watkins LLP and, if deemed reasonably necessary by the Administrative Agent or the Arrangers, each jurisdiction of organization of any other Loan Party), in connection with the structuring, arrangement, syndication, preparation, negotiation, execution, delivery and administration of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ectPr>
          <w:pgSz w:w="11900" w:h="16838" w:orient="portrait"/>
          <w:cols w:equalWidth="0" w:num="1">
            <w:col w:w="11240"/>
          </w:cols>
          <w:pgMar w:left="320" w:top="1358" w:right="339" w:bottom="1440" w:gutter="0" w:footer="0" w:header="0"/>
        </w:sectPr>
      </w:pPr>
    </w:p>
    <w:bookmarkStart w:id="243" w:name="page244"/>
    <w:bookmarkEnd w:id="243"/>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Documents and the credit facility provided for herein and any amendments, modifications or waivers of the provisions hereof or thereof (whether or not the transactions contemplated hereby or thereby shall be consummated), (ii) all reasonable and documented out of pocket expenses incurred by the L/C Issuers in connection with the issuance, amendment, renewal or extension of any Letter of Credit or any demand for payment thereunder and (iii) all reasonable and documented out of pocket expenses incurred by the Administrative Agent, the Arrangers and their respective Affiliates, the L/C Issuers and the Lenders (including the reasonable fees, disbursements and other charges of counsel, which shall be limited to one primary counsel and, if deemed reasonably necessary by the Administrative Agent, the Arrangers, the Lenders or the L/C Issuers, each jurisdiction of organization of any other Loan Party (and, solely in the case of an actual or perceived conflict of interest, one additional counsel (and one additional local counsel in each such jurisdiction) to each group of affected parties that are similarly situated, taken as a whole) in connection with the enforcement or protection of their respective rights in connection with this Agreement and the other Loan Documents and the credit facility provided for herein, including their rights under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718"/>
        <w:spacing w:after="0" w:line="248" w:lineRule="auto"/>
        <w:tabs>
          <w:tab w:leader="none" w:pos="1264"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and the other Loan Parties will indemnify the Administrative Agent (and any sub-agent thereof), each Arranger, each Co-Syndication Agent, each Lender, each L/C Issuer and each Related Party of any of the foregoing Persons and the successors and assigns of each of the foregoing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from and against, and hold each Indemnitee harmless from, any and all losses, claims, damages, liabilities and related expenses (including the reasonable fees, charges and disbursements of counsel, which shall be limited to one primary counsel, and, if deemed necessary by the Indemnitees, one local counsel in each other appropriate jurisdiction and, solely in the case of an actual or perceived conflict of interest, one additional counsel (and one additional local counsel in each such jurisdiction) to each group of affected Indemnitees that are similarly situated, taken as a whole) arising out of, in connection with, or as a result of (i) the preparation,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Commitment,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w:t>
      </w:r>
    </w:p>
    <w:p>
      <w:pPr>
        <w:spacing w:after="0" w:line="2" w:lineRule="exact"/>
        <w:rPr>
          <w:rFonts w:ascii="Times New Roman" w:cs="Times New Roman" w:eastAsia="Times New Roman" w:hAnsi="Times New Roman"/>
          <w:sz w:val="21"/>
          <w:szCs w:val="21"/>
          <w:color w:val="auto"/>
        </w:rPr>
      </w:pPr>
    </w:p>
    <w:p>
      <w:pPr>
        <w:jc w:val="both"/>
        <w:ind w:firstLine="6"/>
        <w:spacing w:after="0" w:line="249" w:lineRule="auto"/>
        <w:tabs>
          <w:tab w:leader="none" w:pos="410"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release of Hazardous Materials on or from any property currently owned or operated by the Borrower or any of its Subsidiaries, or any Environmental Liability arising from any connection with Borrower or any of its Subsidiaries, or (iv) any actual or prospective claim, litigation, investigation or proceeding relating to any of the foregoing, whether based on contract, tort or any other theory, whether brought by a third party or by a Loan Party, or any Affiliate thereof,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will not, as to any Indemnitee, apply to (A) losses, claims, damages, liabilities or related expenses to the extent they (x) are determined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ectPr>
          <w:pgSz w:w="11900" w:h="16838" w:orient="portrait"/>
          <w:cols w:equalWidth="0" w:num="1">
            <w:col w:w="11240"/>
          </w:cols>
          <w:pgMar w:left="320" w:top="1371" w:right="339" w:bottom="1440" w:gutter="0" w:footer="0" w:header="0"/>
        </w:sectPr>
      </w:pPr>
    </w:p>
    <w:bookmarkStart w:id="244" w:name="page245"/>
    <w:bookmarkEnd w:id="244"/>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jurisdiction by final and nonappealable judgment to have resulted from the gross negligence, willful misconduct or bad faith of such Indemnitee or any of its Related Indemnified Parties or (y) result from a claim brought by a Loan Party against such Indemnitee for a material breach in bad faith of such Indemnitee’s obligations hereunder or under any other Loan Document, but only if such Loan Party has obtained a final and nonappealable judgment in its favor on such claim as determined by a court of competent jurisdiction, or (B) a claim of any Indemnitee solely against one or more Indemnitees (other than a dispute involving a claim against the Administrative Agent, any Co-Syndication Agent, any Arranger or any L/C Issuer) not arising out of or in connection with any act or omission of the Borrower or its Subsidiaries or any of their respective Related Parties. Notwithstanding any of the foregoing provisions to the contrary, this </w:t>
      </w:r>
      <w:r>
        <w:rPr>
          <w:rFonts w:ascii="Times New Roman" w:cs="Times New Roman" w:eastAsia="Times New Roman" w:hAnsi="Times New Roman"/>
          <w:sz w:val="21"/>
          <w:szCs w:val="21"/>
          <w:u w:val="single" w:color="auto"/>
          <w:color w:val="auto"/>
        </w:rPr>
        <w:t>Section 11.04(b)</w:t>
      </w:r>
      <w:r>
        <w:rPr>
          <w:rFonts w:ascii="Times New Roman" w:cs="Times New Roman" w:eastAsia="Times New Roman" w:hAnsi="Times New Roman"/>
          <w:sz w:val="21"/>
          <w:szCs w:val="21"/>
          <w:color w:val="auto"/>
        </w:rPr>
        <w:t xml:space="preserve"> shall not apply with respect to Taxes, other than any Taxes that represent losses, claims or damages arising from a non-Tax claim.</w:t>
      </w:r>
    </w:p>
    <w:p>
      <w:pPr>
        <w:spacing w:after="0" w:line="161" w:lineRule="exact"/>
        <w:rPr>
          <w:sz w:val="20"/>
          <w:szCs w:val="20"/>
          <w:color w:val="auto"/>
        </w:rPr>
      </w:pPr>
    </w:p>
    <w:p>
      <w:pPr>
        <w:jc w:val="both"/>
        <w:ind w:firstLine="718"/>
        <w:spacing w:after="0" w:line="248" w:lineRule="auto"/>
        <w:tabs>
          <w:tab w:leader="none" w:pos="126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FF0000"/>
          <w:strike w:val="1"/>
        </w:rPr>
        <w:t>To the extent that the Loan Parties for any reason fail to indefeasibly</w:t>
      </w:r>
      <w:r>
        <w:rPr>
          <w:rFonts w:ascii="Times New Roman" w:cs="Times New Roman" w:eastAsia="Times New Roman" w:hAnsi="Times New Roman"/>
          <w:sz w:val="21"/>
          <w:szCs w:val="21"/>
          <w:b w:val="1"/>
          <w:bCs w:val="1"/>
          <w:u w:val="single" w:color="auto"/>
          <w:color w:val="0000FF"/>
        </w:rPr>
        <w:t>Each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severally agrees to</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pay any amount required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to be paid by the Loan Parties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under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Section 11.04(a)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11.04(b)</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to</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be paid by</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them to</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the Administrative Agent (or any sub-agent thereof), any L/C Issuer or any Related Party of any of the foregoing Persons</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(each, an “</w:t>
      </w:r>
      <w:r>
        <w:rPr>
          <w:rFonts w:ascii="Times New Roman" w:cs="Times New Roman" w:eastAsia="Times New Roman" w:hAnsi="Times New Roman"/>
          <w:sz w:val="21"/>
          <w:szCs w:val="21"/>
          <w:u w:val="single" w:color="auto"/>
          <w:color w:val="000000"/>
        </w:rPr>
        <w:t>Agent-Related Person</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FF0000"/>
          <w:strike w:val="1"/>
        </w:rPr>
        <w:t>, each Lender severally agrees to pay to such Agent-Related Person such Lender’s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(to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extent not reimbursed by the Borrower or any other Loan Party and without limiting the obligation of the Borrower and the Loan Parties to do so), ratably according to their respective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Applicable Percentage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(determined as of the time that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applicable unreimbursed expense or indemnity</w:t>
      </w:r>
      <w:r>
        <w:rPr>
          <w:rFonts w:ascii="Times New Roman" w:cs="Times New Roman" w:eastAsia="Times New Roman" w:hAnsi="Times New Roman"/>
          <w:sz w:val="21"/>
          <w:szCs w:val="21"/>
          <w:b w:val="1"/>
          <w:bCs w:val="1"/>
          <w:u w:val="single" w:color="auto"/>
          <w:color w:val="0000FF"/>
        </w:rPr>
        <w:t>in effect on the date on which such</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payment is sought</w:t>
      </w:r>
      <w:r>
        <w:rPr>
          <w:rFonts w:ascii="Times New Roman" w:cs="Times New Roman" w:eastAsia="Times New Roman" w:hAnsi="Times New Roman"/>
          <w:sz w:val="21"/>
          <w:szCs w:val="21"/>
          <w:b w:val="1"/>
          <w:bCs w:val="1"/>
          <w:color w:val="FF0000"/>
          <w:strike w:val="1"/>
        </w:rPr>
        <w:t>) of such unpaid amount</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u w:val="single" w:color="auto"/>
          <w:color w:val="0000FF"/>
        </w:rPr>
        <w:t>under this Section 11.04(c)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the unreimbursed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expense or </w:t>
      </w:r>
      <w:r>
        <w:rPr>
          <w:rFonts w:ascii="Times New Roman" w:cs="Times New Roman" w:eastAsia="Times New Roman" w:hAnsi="Times New Roman"/>
          <w:sz w:val="21"/>
          <w:szCs w:val="21"/>
          <w:b w:val="1"/>
          <w:bCs w:val="1"/>
          <w:color w:val="FF0000"/>
          <w:strike w:val="1"/>
        </w:rPr>
        <w:t>indemnified loss, claim, damage, liability</w:t>
      </w:r>
      <w:r>
        <w:rPr>
          <w:rFonts w:ascii="Times New Roman" w:cs="Times New Roman" w:eastAsia="Times New Roman" w:hAnsi="Times New Roman"/>
          <w:sz w:val="21"/>
          <w:szCs w:val="21"/>
          <w:b w:val="1"/>
          <w:bCs w:val="1"/>
          <w:u w:val="single" w:color="auto"/>
          <w:color w:val="0000FF"/>
        </w:rPr>
        <w:t>Liability</w:t>
      </w:r>
      <w:r>
        <w:rPr>
          <w:rFonts w:ascii="Times New Roman" w:cs="Times New Roman" w:eastAsia="Times New Roman" w:hAnsi="Times New Roman"/>
          <w:sz w:val="21"/>
          <w:szCs w:val="21"/>
          <w:color w:val="000000"/>
        </w:rPr>
        <w:t xml:space="preserve"> or related expense, as the case may be, was incurred by or asserted against such Agent-Related Person in its capacity as such</w:t>
      </w:r>
      <w:r>
        <w:rPr>
          <w:rFonts w:ascii="Times New Roman" w:cs="Times New Roman" w:eastAsia="Times New Roman" w:hAnsi="Times New Roman"/>
          <w:sz w:val="21"/>
          <w:szCs w:val="21"/>
          <w:b w:val="1"/>
          <w:bCs w:val="1"/>
          <w:color w:val="FF0000"/>
          <w:strike w:val="1"/>
        </w:rPr>
        <w:t>, or against any Related Party of any of the foregoing acting for</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provided further that no Lender shall be liable for the payment of any portion of such Liabilities, costs, expenses or disbursements that are found by a final and nonappealable decision of a court of competent jurisdiction to have resulted primarily from</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such Agent-Related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FF0000"/>
          <w:strike w:val="1"/>
        </w:rPr>
        <w:t>Person in connection with such capacity</w:t>
      </w:r>
      <w:r>
        <w:rPr>
          <w:rFonts w:ascii="Times New Roman" w:cs="Times New Roman" w:eastAsia="Times New Roman" w:hAnsi="Times New Roman"/>
          <w:sz w:val="21"/>
          <w:szCs w:val="21"/>
          <w:b w:val="1"/>
          <w:bCs w:val="1"/>
          <w:u w:val="single" w:color="auto"/>
          <w:color w:val="0000FF"/>
        </w:rPr>
        <w:t>Person’s gross negligence or willful misconduct.</w:t>
      </w:r>
    </w:p>
    <w:p>
      <w:pPr>
        <w:spacing w:after="0" w:line="6"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0000FF"/>
        </w:rPr>
        <w:t>The agreements in this Section shall survive the termination of this Agreement and the payment of the Loans and all other amounts payable hereunder</w:t>
      </w:r>
      <w:r>
        <w:rPr>
          <w:rFonts w:ascii="Times New Roman" w:cs="Times New Roman" w:eastAsia="Times New Roman" w:hAnsi="Times New Roman"/>
          <w:sz w:val="21"/>
          <w:szCs w:val="21"/>
          <w:color w:val="000000"/>
        </w:rPr>
        <w:t>. The obligations of the Lenders under this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Section 11.04(c)</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are subject to the provisions 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Section</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0000"/>
        </w:rPr>
        <w:t>2.12(d)</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ectPr>
          <w:pgSz w:w="11900" w:h="16838" w:orient="portrait"/>
          <w:cols w:equalWidth="0" w:num="1">
            <w:col w:w="11240"/>
          </w:cols>
          <w:pgMar w:left="320" w:top="1358" w:right="339" w:bottom="1440" w:gutter="0" w:footer="0" w:header="0"/>
        </w:sectPr>
      </w:pPr>
    </w:p>
    <w:bookmarkStart w:id="245" w:name="page246"/>
    <w:bookmarkEnd w:id="245"/>
    <w:p>
      <w:pPr>
        <w:jc w:val="both"/>
        <w:ind w:firstLine="718"/>
        <w:spacing w:after="0" w:line="248" w:lineRule="auto"/>
        <w:tabs>
          <w:tab w:leader="none" w:pos="1264"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Consequential Damages, Etc</w:t>
      </w:r>
      <w:r>
        <w:rPr>
          <w:rFonts w:ascii="Times New Roman" w:cs="Times New Roman" w:eastAsia="Times New Roman" w:hAnsi="Times New Roman"/>
          <w:sz w:val="21"/>
          <w:szCs w:val="21"/>
          <w:color w:val="auto"/>
        </w:rPr>
        <w:t>. To the fullest extent permitted by applicable Law, (i) the Borrower and any Loan Party shall not assert, and the Borrower and each Loan Party hereby waives, any claim against the Administrative Agent, any Arranger, any Co-Syndication Agent, any L/C Issuer and any Lender, and any Related Party of any of the foregoing Persons (each such Person being called a “</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w:t>
      </w:r>
      <w:r>
        <w:rPr>
          <w:rFonts w:ascii="Times New Roman" w:cs="Times New Roman" w:eastAsia="Times New Roman" w:hAnsi="Times New Roman"/>
          <w:sz w:val="21"/>
          <w:szCs w:val="21"/>
          <w:b w:val="1"/>
          <w:bCs w:val="1"/>
          <w:u w:val="single" w:color="auto"/>
          <w:color w:val="0000FF"/>
        </w:rPr>
        <w: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Approved Electronic Platform and any Approved Borrower Portal</w:t>
      </w:r>
      <w:r>
        <w:rPr>
          <w:rFonts w:ascii="Times New Roman" w:cs="Times New Roman" w:eastAsia="Times New Roman" w:hAnsi="Times New Roman"/>
          <w:sz w:val="21"/>
          <w:szCs w:val="21"/>
          <w:color w:val="000000"/>
        </w:rPr>
        <w:t>), except to the extent that such damages are determined by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court of competent jurisdiction by a final and nonappealable judgment to have resulted from the gross negligence or willful misconduct of such Lender-Related Person;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in no event will any Lender-Related Person have any liability for indirect, special, incidental, consequential or punitive damages (as opposed to direct or actual damages) and (ii) none of the parties to this Agreement shall assert, and each party hereto hereby any waives, losses, claims (including intraparty claims), demands, damages or liabilities of any kind against any other party hereto, on any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nothing in this </w:t>
      </w:r>
      <w:r>
        <w:rPr>
          <w:rFonts w:ascii="Times New Roman" w:cs="Times New Roman" w:eastAsia="Times New Roman" w:hAnsi="Times New Roman"/>
          <w:sz w:val="21"/>
          <w:szCs w:val="21"/>
          <w:u w:val="single" w:color="auto"/>
          <w:color w:val="000000"/>
        </w:rPr>
        <w:t>Section 11.04(d)</w:t>
      </w:r>
      <w:r>
        <w:rPr>
          <w:rFonts w:ascii="Times New Roman" w:cs="Times New Roman" w:eastAsia="Times New Roman" w:hAnsi="Times New Roman"/>
          <w:sz w:val="21"/>
          <w:szCs w:val="21"/>
          <w:color w:val="000000"/>
        </w:rPr>
        <w:t xml:space="preserve"> relieve the Borrower or any other Loan Party of any obligation it may have to indemnify an Indemnitee, as provided in </w:t>
      </w:r>
      <w:r>
        <w:rPr>
          <w:rFonts w:ascii="Times New Roman" w:cs="Times New Roman" w:eastAsia="Times New Roman" w:hAnsi="Times New Roman"/>
          <w:sz w:val="21"/>
          <w:szCs w:val="21"/>
          <w:u w:val="single" w:color="auto"/>
          <w:color w:val="000000"/>
        </w:rPr>
        <w:t>Section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11.04(b)</w:t>
      </w:r>
      <w:r>
        <w:rPr>
          <w:rFonts w:ascii="Times New Roman" w:cs="Times New Roman" w:eastAsia="Times New Roman" w:hAnsi="Times New Roman"/>
          <w:sz w:val="21"/>
          <w:szCs w:val="21"/>
          <w:color w:val="000000"/>
        </w:rPr>
        <w:t xml:space="preserve">, against any special, indirect, consequential or punitive damages asserted against such Indemnitee by a third party. Nothing in this </w:t>
      </w:r>
      <w:r>
        <w:rPr>
          <w:rFonts w:ascii="Times New Roman" w:cs="Times New Roman" w:eastAsia="Times New Roman" w:hAnsi="Times New Roman"/>
          <w:sz w:val="21"/>
          <w:szCs w:val="21"/>
          <w:u w:val="single" w:color="auto"/>
          <w:color w:val="000000"/>
        </w:rPr>
        <w:t>Section 11.04(d)</w:t>
      </w:r>
      <w:r>
        <w:rPr>
          <w:rFonts w:ascii="Times New Roman" w:cs="Times New Roman" w:eastAsia="Times New Roman" w:hAnsi="Times New Roman"/>
          <w:sz w:val="21"/>
          <w:szCs w:val="21"/>
          <w:color w:val="000000"/>
        </w:rPr>
        <w:t xml:space="preserve"> shall abrogate, modify or diminish the obligations of the Administrative Agent, the Lenders and the L/C Issuers to keep certain information confidential in the manner and to the extent provided in </w:t>
      </w:r>
      <w:r>
        <w:rPr>
          <w:rFonts w:ascii="Times New Roman" w:cs="Times New Roman" w:eastAsia="Times New Roman" w:hAnsi="Times New Roman"/>
          <w:sz w:val="21"/>
          <w:szCs w:val="21"/>
          <w:u w:val="single" w:color="auto"/>
          <w:color w:val="000000"/>
        </w:rPr>
        <w:t>Section 11.07</w:t>
      </w:r>
      <w:r>
        <w:rPr>
          <w:rFonts w:ascii="Times New Roman" w:cs="Times New Roman" w:eastAsia="Times New Roman" w:hAnsi="Times New Roman"/>
          <w:sz w:val="21"/>
          <w:szCs w:val="21"/>
          <w:color w:val="000000"/>
        </w:rPr>
        <w:t>.</w:t>
      </w:r>
    </w:p>
    <w:p>
      <w:pPr>
        <w:spacing w:after="0" w:line="187" w:lineRule="exact"/>
        <w:rPr>
          <w:rFonts w:ascii="Times New Roman" w:cs="Times New Roman" w:eastAsia="Times New Roman" w:hAnsi="Times New Roman"/>
          <w:sz w:val="21"/>
          <w:szCs w:val="21"/>
          <w:color w:val="auto"/>
        </w:rPr>
      </w:pPr>
    </w:p>
    <w:p>
      <w:pPr>
        <w:ind w:firstLine="718"/>
        <w:spacing w:after="0" w:line="272" w:lineRule="auto"/>
        <w:tabs>
          <w:tab w:leader="none" w:pos="126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All amounts due under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will be payable not later than ten (10) Business Days after demand therefor.</w:t>
      </w:r>
    </w:p>
    <w:p>
      <w:pPr>
        <w:spacing w:after="0" w:line="154"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8"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will survive the resignation of the Administrative Agent or any L/C Issuer, the replacement of any Lender, the termination of the Aggregate Commitments and the repayment, satisfaction or discharge of any and all of the Obligations.</w:t>
      </w:r>
    </w:p>
    <w:p>
      <w:pPr>
        <w:spacing w:after="0" w:line="14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Payments Set Aside</w:t>
      </w:r>
      <w:r>
        <w:rPr>
          <w:rFonts w:ascii="Times New Roman" w:cs="Times New Roman" w:eastAsia="Times New Roman" w:hAnsi="Times New Roman"/>
          <w:sz w:val="21"/>
          <w:szCs w:val="21"/>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ectPr>
          <w:pgSz w:w="11900" w:h="16838" w:orient="portrait"/>
          <w:cols w:equalWidth="0" w:num="1">
            <w:col w:w="11240"/>
          </w:cols>
          <w:pgMar w:left="320" w:top="1358" w:right="339" w:bottom="1440" w:gutter="0" w:footer="0" w:header="0"/>
        </w:sectPr>
      </w:pPr>
    </w:p>
    <w:bookmarkStart w:id="246" w:name="page247"/>
    <w:bookmarkEnd w:id="246"/>
    <w:p>
      <w:pPr>
        <w:jc w:val="both"/>
        <w:spacing w:after="0" w:line="254" w:lineRule="auto"/>
        <w:rPr>
          <w:sz w:val="20"/>
          <w:szCs w:val="20"/>
          <w:color w:val="auto"/>
        </w:rPr>
      </w:pPr>
      <w:r>
        <w:rPr>
          <w:rFonts w:ascii="Times New Roman" w:cs="Times New Roman" w:eastAsia="Times New Roman" w:hAnsi="Times New Roman"/>
          <w:sz w:val="21"/>
          <w:szCs w:val="21"/>
          <w:color w:val="auto"/>
        </w:rPr>
        <w:t>will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will survive the payment in full of the Obligations and the termination of this Agreement.</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xml:space="preserve">. The provisions of this Agreement shall be binding upon and inure to the benefit of the parties hereto and their respective successors and assigns permitted hereby (including any Affiliate of any L/C Issuer that issues any Letter of Credit), except that neither the Borrower nor any other Loan Party may assign or otherwise transfer any of its rights or obligations hereunder without the prior written consent of the Administrative Agent and each Lender (except in connection with any merger or consolidation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and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(ii) by way of participation in accordance with the provisions of </w:t>
      </w:r>
      <w:r>
        <w:rPr>
          <w:rFonts w:ascii="Times New Roman" w:cs="Times New Roman" w:eastAsia="Times New Roman" w:hAnsi="Times New Roman"/>
          <w:sz w:val="21"/>
          <w:szCs w:val="21"/>
          <w:u w:val="single" w:color="auto"/>
          <w:color w:val="auto"/>
        </w:rPr>
        <w:t>Section 11.06(e)</w:t>
      </w:r>
      <w:r>
        <w:rPr>
          <w:rFonts w:ascii="Times New Roman" w:cs="Times New Roman" w:eastAsia="Times New Roman" w:hAnsi="Times New Roman"/>
          <w:sz w:val="21"/>
          <w:szCs w:val="21"/>
          <w:color w:val="auto"/>
        </w:rPr>
        <w:t xml:space="preserve"> or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11.06(g)</w:t>
      </w:r>
      <w:r>
        <w:rPr>
          <w:rFonts w:ascii="Times New Roman" w:cs="Times New Roman" w:eastAsia="Times New Roman" w:hAnsi="Times New Roman"/>
          <w:sz w:val="21"/>
          <w:szCs w:val="21"/>
          <w:color w:val="auto"/>
        </w:rPr>
        <w:t xml:space="preserve"> (and any other attempted assignment or transfer by any such party hereto shall be null and void). Nothing in this Agreement, expressed or implied, shall be construed to confer upon any Person (other than the parties hereto, their respective successors and assigns permitted hereby (including any Affiliate of any L/C Issuer that issues any Letter of Credit), Participants to the extent provided in </w:t>
      </w:r>
      <w:r>
        <w:rPr>
          <w:rFonts w:ascii="Times New Roman" w:cs="Times New Roman" w:eastAsia="Times New Roman" w:hAnsi="Times New Roman"/>
          <w:sz w:val="21"/>
          <w:szCs w:val="21"/>
          <w:u w:val="single" w:color="auto"/>
          <w:color w:val="auto"/>
        </w:rPr>
        <w:t>Section 11.06(e)</w:t>
      </w:r>
      <w:r>
        <w:rPr>
          <w:rFonts w:ascii="Times New Roman" w:cs="Times New Roman" w:eastAsia="Times New Roman" w:hAnsi="Times New Roman"/>
          <w:sz w:val="21"/>
          <w:szCs w:val="21"/>
          <w:color w:val="auto"/>
        </w:rPr>
        <w:t>, the Arrangers, the Co-Syndication Agent, the Indemnitees and, to the extent expressly contemplated hereby, the sub-Agent of the Administrative Agent and the Related Parties of any of the Administrative Agent, the Arrangers, any Co-Syndication Agent, the L/C Issuers and the Lenders) any legal or equitable right, remedy or claim under or by reason of this Agreement.</w:t>
      </w:r>
    </w:p>
    <w:p>
      <w:pPr>
        <w:spacing w:after="0" w:line="176" w:lineRule="exact"/>
        <w:rPr>
          <w:sz w:val="20"/>
          <w:szCs w:val="20"/>
          <w:color w:val="auto"/>
        </w:rPr>
      </w:pPr>
    </w:p>
    <w:p>
      <w:pPr>
        <w:jc w:val="both"/>
        <w:ind w:firstLine="718"/>
        <w:spacing w:after="0" w:line="267" w:lineRule="auto"/>
        <w:tabs>
          <w:tab w:leader="none" w:pos="1264"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Lenders</w:t>
      </w:r>
      <w:r>
        <w:rPr>
          <w:rFonts w:ascii="Times New Roman" w:cs="Times New Roman" w:eastAsia="Times New Roman" w:hAnsi="Times New Roman"/>
          <w:sz w:val="21"/>
          <w:szCs w:val="21"/>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61"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Amounts.</w:t>
      </w:r>
    </w:p>
    <w:p>
      <w:pPr>
        <w:spacing w:after="0" w:line="209" w:lineRule="exact"/>
        <w:rPr>
          <w:rFonts w:ascii="Times New Roman" w:cs="Times New Roman" w:eastAsia="Times New Roman" w:hAnsi="Times New Roman"/>
          <w:sz w:val="21"/>
          <w:szCs w:val="21"/>
          <w:color w:val="auto"/>
        </w:rPr>
      </w:pPr>
    </w:p>
    <w:p>
      <w:pPr>
        <w:jc w:val="both"/>
        <w:ind w:left="1280" w:firstLine="634"/>
        <w:spacing w:after="0" w:line="267" w:lineRule="auto"/>
        <w:tabs>
          <w:tab w:leader="none" w:pos="2541" w:val="left"/>
        </w:tabs>
        <w:numPr>
          <w:ilvl w:val="2"/>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the entire remaining amount of the assigning Lender’s Commitment or Loans or in the case of an assignment to a Lender, an Affiliate of a Lender or an Approved Fund, no minimum amount need be assigned; and</w:t>
      </w:r>
    </w:p>
    <w:p>
      <w:pPr>
        <w:spacing w:after="0" w:line="148" w:lineRule="exact"/>
        <w:rPr>
          <w:rFonts w:ascii="Times New Roman" w:cs="Times New Roman" w:eastAsia="Times New Roman" w:hAnsi="Times New Roman"/>
          <w:sz w:val="21"/>
          <w:szCs w:val="21"/>
          <w:color w:val="auto"/>
        </w:rPr>
      </w:pPr>
    </w:p>
    <w:p>
      <w:pPr>
        <w:ind w:left="1280" w:firstLine="643"/>
        <w:spacing w:after="0" w:line="285" w:lineRule="auto"/>
        <w:tabs>
          <w:tab w:leader="none" w:pos="2543" w:val="left"/>
        </w:tabs>
        <w:numPr>
          <w:ilvl w:val="2"/>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any case not described in </w:t>
      </w:r>
      <w:r>
        <w:rPr>
          <w:rFonts w:ascii="Times New Roman" w:cs="Times New Roman" w:eastAsia="Times New Roman" w:hAnsi="Times New Roman"/>
          <w:sz w:val="21"/>
          <w:szCs w:val="21"/>
          <w:u w:val="single" w:color="auto"/>
          <w:color w:val="auto"/>
        </w:rPr>
        <w:t>Section 11.06(b)(i)(A)</w:t>
      </w:r>
      <w:r>
        <w:rPr>
          <w:rFonts w:ascii="Times New Roman" w:cs="Times New Roman" w:eastAsia="Times New Roman" w:hAnsi="Times New Roman"/>
          <w:sz w:val="21"/>
          <w:szCs w:val="21"/>
          <w:color w:val="auto"/>
        </w:rPr>
        <w:t>, the aggregate amount of the Commitment or, if the Commitment is not then in effect, the principal outstanding balance of the Loans of the assigning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ectPr>
          <w:pgSz w:w="11900" w:h="16838" w:orient="portrait"/>
          <w:cols w:equalWidth="0" w:num="1">
            <w:col w:w="11240"/>
          </w:cols>
          <w:pgMar w:left="320" w:top="1358" w:right="339" w:bottom="1440" w:gutter="0" w:footer="0" w:header="0"/>
        </w:sectPr>
      </w:pPr>
    </w:p>
    <w:bookmarkStart w:id="247" w:name="page248"/>
    <w:bookmarkEnd w:id="247"/>
    <w:p>
      <w:pPr>
        <w:jc w:val="both"/>
        <w:ind w:left="640"/>
        <w:spacing w:after="0" w:line="249" w:lineRule="auto"/>
        <w:rPr>
          <w:sz w:val="20"/>
          <w:szCs w:val="20"/>
          <w:color w:val="auto"/>
        </w:rPr>
      </w:pPr>
      <w:r>
        <w:rPr>
          <w:rFonts w:ascii="Times New Roman" w:cs="Times New Roman" w:eastAsia="Times New Roman" w:hAnsi="Times New Roman"/>
          <w:sz w:val="21"/>
          <w:szCs w:val="21"/>
          <w:color w:val="auto"/>
        </w:rPr>
        <w:t xml:space="preserve">Lender subject to each such assignment, determined as of the date the Assignment and Assumption (or an agreement incorporating by reference a form of Assignment and Assumption posted on the Approved Electronic Platform) with respect to such assignment is delivered to the Administrative Agent or, if a “Trade Date” is specified in the Assignment and Assumption (or such an agreement), as of the Trade Date, shall not be less than $5,000,000 (or the US Dollar Equivalent thereof in the case of any Loan denominated in an Alternative Currency or a Discretionary Alternative Currency) unless each of the Administrative Agent and, so long as no Event of Default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has occurred and is continuing, Borrower otherwise consents (each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shall be deemed to have consented thereto unless it shall object thereto by written notice to the Administrative Agent within ten (10) Business Days after having received notice thereof;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5" w:lineRule="exact"/>
        <w:rPr>
          <w:sz w:val="20"/>
          <w:szCs w:val="20"/>
          <w:color w:val="auto"/>
        </w:rPr>
      </w:pPr>
    </w:p>
    <w:p>
      <w:pPr>
        <w:jc w:val="both"/>
        <w:ind w:firstLine="638"/>
        <w:spacing w:after="0" w:line="267" w:lineRule="auto"/>
        <w:tabs>
          <w:tab w:leader="none" w:pos="126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Proportionate Amounts</w:t>
      </w:r>
      <w:r>
        <w:rPr>
          <w:rFonts w:ascii="Times New Roman" w:cs="Times New Roman" w:eastAsia="Times New Roman" w:hAnsi="Times New Roman"/>
          <w:sz w:val="21"/>
          <w:szCs w:val="21"/>
          <w:color w:val="auto"/>
        </w:rPr>
        <w:t>. Each partial assignment shall be made as an assignment of a proportionate part of all the assigning Lender’s rights and obligations under this Agreement with respect to the Loans or the Commitment so assigned, except that this clause (ii) shall not apply to rights and obligations in respect of Bid Loans.</w:t>
      </w:r>
    </w:p>
    <w:p>
      <w:pPr>
        <w:spacing w:after="0" w:line="161" w:lineRule="exact"/>
        <w:rPr>
          <w:rFonts w:ascii="Times New Roman" w:cs="Times New Roman" w:eastAsia="Times New Roman" w:hAnsi="Times New Roman"/>
          <w:sz w:val="21"/>
          <w:szCs w:val="21"/>
          <w:color w:val="auto"/>
        </w:rPr>
      </w:pPr>
    </w:p>
    <w:p>
      <w:pPr>
        <w:ind w:left="1280" w:hanging="642"/>
        <w:spacing w:after="0"/>
        <w:tabs>
          <w:tab w:leader="none" w:pos="128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Consents</w:t>
      </w:r>
      <w:r>
        <w:rPr>
          <w:rFonts w:ascii="Times New Roman" w:cs="Times New Roman" w:eastAsia="Times New Roman" w:hAnsi="Times New Roman"/>
          <w:sz w:val="21"/>
          <w:szCs w:val="21"/>
          <w:color w:val="auto"/>
        </w:rPr>
        <w:t xml:space="preserve">. No consent shall be required for any assignment except to the extent required by </w:t>
      </w:r>
      <w:r>
        <w:rPr>
          <w:rFonts w:ascii="Times New Roman" w:cs="Times New Roman" w:eastAsia="Times New Roman" w:hAnsi="Times New Roman"/>
          <w:sz w:val="21"/>
          <w:szCs w:val="21"/>
          <w:u w:val="single" w:color="auto"/>
          <w:color w:val="auto"/>
        </w:rPr>
        <w:t>Section</w:t>
      </w:r>
    </w:p>
    <w:p>
      <w:pPr>
        <w:spacing w:after="0" w:line="2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11.06(b)(i)(B)</w:t>
      </w:r>
      <w:r>
        <w:rPr>
          <w:rFonts w:ascii="Times New Roman" w:cs="Times New Roman" w:eastAsia="Times New Roman" w:hAnsi="Times New Roman"/>
          <w:sz w:val="21"/>
          <w:szCs w:val="21"/>
          <w:color w:val="auto"/>
        </w:rPr>
        <w:t xml:space="preserve"> and in addition:</w:t>
      </w:r>
    </w:p>
    <w:p>
      <w:pPr>
        <w:spacing w:after="0" w:line="198" w:lineRule="exact"/>
        <w:rPr>
          <w:rFonts w:ascii="Times New Roman" w:cs="Times New Roman" w:eastAsia="Times New Roman" w:hAnsi="Times New Roman"/>
          <w:sz w:val="21"/>
          <w:szCs w:val="21"/>
          <w:color w:val="auto"/>
        </w:rPr>
      </w:pPr>
    </w:p>
    <w:p>
      <w:pPr>
        <w:jc w:val="both"/>
        <w:ind w:left="640" w:firstLine="634"/>
        <w:spacing w:after="0" w:line="254" w:lineRule="auto"/>
        <w:tabs>
          <w:tab w:leader="none" w:pos="1901"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consent of the Borrower (such consent not to be unreasonably withheld, conditioned or delayed) shall be required unless (1) an Event of Default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8.01(f)</w:t>
      </w:r>
      <w:r>
        <w:rPr>
          <w:rFonts w:ascii="Times New Roman" w:cs="Times New Roman" w:eastAsia="Times New Roman" w:hAnsi="Times New Roman"/>
          <w:sz w:val="21"/>
          <w:szCs w:val="21"/>
          <w:color w:val="auto"/>
        </w:rPr>
        <w:t xml:space="preserve"> has occurred and is continuing at the time of such assignment or (2) such assignment is to a Lender, an Affiliate of a Lender or an Approved Fund, in each case that is not a Non-Qualifying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shall be deemed to have consented to any such assignment unless it shall object thereto by written notice to the Administrative Agent within ten (10) Business Days after having received notice thereof;</w:t>
      </w:r>
    </w:p>
    <w:p>
      <w:pPr>
        <w:spacing w:after="0" w:line="162" w:lineRule="exact"/>
        <w:rPr>
          <w:rFonts w:ascii="Times New Roman" w:cs="Times New Roman" w:eastAsia="Times New Roman" w:hAnsi="Times New Roman"/>
          <w:sz w:val="21"/>
          <w:szCs w:val="21"/>
          <w:color w:val="auto"/>
        </w:rPr>
      </w:pPr>
    </w:p>
    <w:p>
      <w:pPr>
        <w:jc w:val="both"/>
        <w:ind w:left="640" w:firstLine="634"/>
        <w:spacing w:after="0" w:line="267" w:lineRule="auto"/>
        <w:tabs>
          <w:tab w:leader="none" w:pos="1903"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Administrative Agent (such consent not to be unreasonably withheld, conditioned or delayed) shall be required if such assignment is to a Person that is not a Lender, an Affiliate of such Lender or an Approved Fund; and</w:t>
      </w:r>
    </w:p>
    <w:p>
      <w:pPr>
        <w:spacing w:after="0" w:line="148" w:lineRule="exact"/>
        <w:rPr>
          <w:rFonts w:ascii="Times New Roman" w:cs="Times New Roman" w:eastAsia="Times New Roman" w:hAnsi="Times New Roman"/>
          <w:sz w:val="21"/>
          <w:szCs w:val="21"/>
          <w:color w:val="auto"/>
        </w:rPr>
      </w:pPr>
    </w:p>
    <w:p>
      <w:pPr>
        <w:ind w:left="640" w:firstLine="634"/>
        <w:spacing w:after="0" w:line="285" w:lineRule="auto"/>
        <w:tabs>
          <w:tab w:leader="none" w:pos="1903"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each L/C Issuer (such consent not to be unreasonably withheld, conditioned or delayed) shall be required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141</w:t>
      </w:r>
    </w:p>
    <w:p>
      <w:pPr>
        <w:sectPr>
          <w:pgSz w:w="11900" w:h="16838" w:orient="portrait"/>
          <w:cols w:equalWidth="0" w:num="1">
            <w:col w:w="10600"/>
          </w:cols>
          <w:pgMar w:left="960" w:top="1358" w:right="339" w:bottom="1440" w:gutter="0" w:footer="0" w:header="0"/>
        </w:sectPr>
      </w:pPr>
    </w:p>
    <w:bookmarkStart w:id="248" w:name="page249"/>
    <w:bookmarkEnd w:id="248"/>
    <w:p>
      <w:pPr>
        <w:ind w:left="640"/>
        <w:spacing w:after="0"/>
        <w:rPr>
          <w:sz w:val="20"/>
          <w:szCs w:val="20"/>
          <w:color w:val="auto"/>
        </w:rPr>
      </w:pPr>
      <w:r>
        <w:rPr>
          <w:rFonts w:ascii="Times New Roman" w:cs="Times New Roman" w:eastAsia="Times New Roman" w:hAnsi="Times New Roman"/>
          <w:sz w:val="21"/>
          <w:szCs w:val="21"/>
          <w:color w:val="auto"/>
        </w:rPr>
        <w:t>assignment of a Commitment or any L/C Obligation or participations therein.</w:t>
      </w:r>
    </w:p>
    <w:p>
      <w:pPr>
        <w:spacing w:after="0" w:line="222" w:lineRule="exact"/>
        <w:rPr>
          <w:sz w:val="20"/>
          <w:szCs w:val="20"/>
          <w:color w:val="auto"/>
        </w:rPr>
      </w:pPr>
    </w:p>
    <w:p>
      <w:pPr>
        <w:jc w:val="both"/>
        <w:ind w:left="640" w:hanging="11"/>
        <w:spacing w:after="0" w:line="251" w:lineRule="auto"/>
        <w:rPr>
          <w:sz w:val="20"/>
          <w:szCs w:val="20"/>
          <w:color w:val="auto"/>
        </w:rPr>
      </w:pPr>
      <w:r>
        <w:rPr>
          <w:rFonts w:ascii="Times New Roman" w:cs="Times New Roman" w:eastAsia="Times New Roman" w:hAnsi="Times New Roman"/>
          <w:sz w:val="21"/>
          <w:szCs w:val="21"/>
          <w:color w:val="auto"/>
        </w:rPr>
        <w:t>The parties hereto acknowledge and agree that (x) the Administrative Agent shall have no duty or obligation to ascertain whether any Lender is a Non-Qualifying Lender or with respect to obtaining (or confirming the receipt) of any written consent of the Borrower to any assignment to a Non-Qualifying Lender, any such duty and obligation being solely with the assigning Lender and the assignee, and (y) the Administrative Agent may rely upon, and shall incur no liability therefor, any determination by the Borrower, any Lender or any prospective Lender as to whether any Person is a Non-Qualifying Lender (and, in connection with any proposed assignment, may require confirmation by the Borrower as to Borrower’s determination whether the proposed assignee is a Non-Qualifying Lender prior to accepting any such assignment for recordation in the Register).</w:t>
      </w:r>
    </w:p>
    <w:p>
      <w:pPr>
        <w:spacing w:after="0" w:line="166" w:lineRule="exact"/>
        <w:rPr>
          <w:sz w:val="20"/>
          <w:szCs w:val="20"/>
          <w:color w:val="auto"/>
        </w:rPr>
      </w:pPr>
    </w:p>
    <w:p>
      <w:pPr>
        <w:jc w:val="both"/>
        <w:ind w:firstLine="638"/>
        <w:spacing w:after="0" w:line="251" w:lineRule="auto"/>
        <w:tabs>
          <w:tab w:leader="none" w:pos="126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in the amount of $3,500;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rFonts w:ascii="Times New Roman" w:cs="Times New Roman" w:eastAsia="Times New Roman" w:hAnsi="Times New Roman"/>
          <w:sz w:val="21"/>
          <w:szCs w:val="21"/>
          <w:color w:val="auto"/>
        </w:rPr>
      </w:pPr>
    </w:p>
    <w:p>
      <w:pPr>
        <w:ind w:left="1260" w:hanging="622"/>
        <w:spacing w:after="0"/>
        <w:tabs>
          <w:tab w:leader="none" w:pos="126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No such assignment shall be made to an Ineligible Institution.</w:t>
      </w:r>
    </w:p>
    <w:p>
      <w:pPr>
        <w:spacing w:after="0" w:line="222" w:lineRule="exact"/>
        <w:rPr>
          <w:sz w:val="20"/>
          <w:szCs w:val="20"/>
          <w:color w:val="auto"/>
        </w:rPr>
      </w:pPr>
    </w:p>
    <w:p>
      <w:pPr>
        <w:jc w:val="both"/>
        <w:ind w:hanging="11"/>
        <w:spacing w:after="0" w:line="249" w:lineRule="auto"/>
        <w:rPr>
          <w:sz w:val="20"/>
          <w:szCs w:val="20"/>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 xml:space="preserve">, from and after the effective date specified in each Assignment and Assumption (or an agreement incorporating by reference a form of Assignment and Assumption posted on the Approved Electronic Platform), the assignee thereunder shall be a party to this Agreement and shall,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11.04</w:t>
      </w:r>
      <w:r>
        <w:rPr>
          <w:rFonts w:ascii="Times New Roman" w:cs="Times New Roman" w:eastAsia="Times New Roman" w:hAnsi="Times New Roman"/>
          <w:sz w:val="21"/>
          <w:szCs w:val="21"/>
          <w:color w:val="auto"/>
        </w:rPr>
        <w:t xml:space="preserve"> with respect to facts and circumstances occurring prior to the effective date of such assignment. If any Assignment and Assumption is executed by any Lender holding any Note, the assigning Lender shall, upon the effectiveness of such Assignment and Assumption or as promptly thereafter as practicable, surrender such Note to the Borrower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0600"/>
          </w:cols>
          <w:pgMar w:left="960" w:top="1358" w:right="339" w:bottom="1440" w:gutter="0" w:footer="0" w:header="0"/>
        </w:sectPr>
      </w:pPr>
    </w:p>
    <w:bookmarkStart w:id="249" w:name="page250"/>
    <w:bookmarkEnd w:id="249"/>
    <w:p>
      <w:pPr>
        <w:jc w:val="both"/>
        <w:ind w:left="660" w:hanging="11"/>
        <w:spacing w:after="0" w:line="257" w:lineRule="auto"/>
        <w:rPr>
          <w:sz w:val="20"/>
          <w:szCs w:val="20"/>
          <w:color w:val="auto"/>
        </w:rPr>
      </w:pPr>
      <w:r>
        <w:rPr>
          <w:rFonts w:ascii="Times New Roman" w:cs="Times New Roman" w:eastAsia="Times New Roman" w:hAnsi="Times New Roman"/>
          <w:sz w:val="21"/>
          <w:szCs w:val="21"/>
          <w:color w:val="auto"/>
        </w:rPr>
        <w:t xml:space="preserve">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Section 11.06(e)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718"/>
        <w:spacing w:after="0" w:line="249" w:lineRule="auto"/>
        <w:tabs>
          <w:tab w:leader="none" w:pos="1265"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Additional Payments</w:t>
      </w:r>
      <w:r>
        <w:rPr>
          <w:rFonts w:ascii="Times New Roman" w:cs="Times New Roman" w:eastAsia="Times New Roman" w:hAnsi="Times New Roman"/>
          <w:sz w:val="21"/>
          <w:szCs w:val="21"/>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1"/>
          <w:szCs w:val="21"/>
          <w:u w:val="single" w:color="auto"/>
          <w:color w:val="auto"/>
        </w:rPr>
        <w:t>Section 11.06(c)</w:t>
      </w:r>
      <w:r>
        <w:rPr>
          <w:rFonts w:ascii="Times New Roman" w:cs="Times New Roman" w:eastAsia="Times New Roman" w:hAnsi="Times New Roman"/>
          <w:sz w:val="21"/>
          <w:szCs w:val="21"/>
          <w:color w:val="auto"/>
        </w:rPr>
        <w:t>, then the assignee of such interest shall be deemed to be a Defaulting Lender for all purposes of this Agreement until such compliance occurs.</w:t>
      </w:r>
    </w:p>
    <w:p>
      <w:pPr>
        <w:spacing w:after="0" w:line="186"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4"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(i) The Administrative Agent, acting solely for this purpose as a non-fiduciary agent of the Loan Parties (and such agency being solely for Tax purposes), shall maintain at one of its offices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Loan Parties, the Administrative Agent, the Lenders and the L/C Issuers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Loan Parties and, solely with respect to the Commitments of, and principal amounts (and stated interest) of the Loans or L/C Obligations owing to, any Lender, such Lender or such L/C Issuer, in each case at any reasonable time and from time to time upon reasonable prior notice.</w:t>
      </w:r>
    </w:p>
    <w:p>
      <w:pPr>
        <w:spacing w:after="0" w:line="172"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6"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by the Administrative Agent of an Assignment and Assumption (or an agreement incorporating by reference a form of Assignment and Assumption posted on an Approved Electronic Platform) executed by an assigning Lender and an assignee, the assignee’s completed Administrative Questionnaire (unless the assignee shall already be a Lender hereunder)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143</w:t>
      </w:r>
    </w:p>
    <w:p>
      <w:pPr>
        <w:sectPr>
          <w:pgSz w:w="11900" w:h="16838" w:orient="portrait"/>
          <w:cols w:equalWidth="0" w:num="1">
            <w:col w:w="11240"/>
          </w:cols>
          <w:pgMar w:left="320" w:top="1358" w:right="339" w:bottom="1440" w:gutter="0" w:footer="0" w:header="0"/>
        </w:sectPr>
      </w:pPr>
    </w:p>
    <w:bookmarkStart w:id="250" w:name="page251"/>
    <w:bookmarkEnd w:id="250"/>
    <w:p>
      <w:pPr>
        <w:jc w:val="both"/>
        <w:ind w:left="640"/>
        <w:spacing w:after="0" w:line="249" w:lineRule="auto"/>
        <w:rPr>
          <w:sz w:val="20"/>
          <w:szCs w:val="20"/>
          <w:color w:val="auto"/>
        </w:rPr>
      </w:pPr>
      <w:r>
        <w:rPr>
          <w:rFonts w:ascii="Times New Roman" w:cs="Times New Roman" w:eastAsia="Times New Roman" w:hAnsi="Times New Roman"/>
          <w:sz w:val="21"/>
          <w:szCs w:val="21"/>
          <w:color w:val="auto"/>
        </w:rPr>
        <w:t xml:space="preserve">processing and recordation fee referred to above, the Administrative Agent shall accept such Assignment and Assumption and record the information contained therein in the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w:t>
      </w:r>
      <w:r>
        <w:rPr>
          <w:rFonts w:ascii="Times New Roman" w:cs="Times New Roman" w:eastAsia="Times New Roman" w:hAnsi="Times New Roman"/>
          <w:sz w:val="21"/>
          <w:szCs w:val="21"/>
          <w:u w:val="single" w:color="auto"/>
          <w:color w:val="auto"/>
        </w:rPr>
        <w:t>Section 11.06(d)(ii)</w:t>
      </w:r>
      <w:r>
        <w:rPr>
          <w:rFonts w:ascii="Times New Roman" w:cs="Times New Roman" w:eastAsia="Times New Roman" w:hAnsi="Times New Roman"/>
          <w:sz w:val="21"/>
          <w:szCs w:val="21"/>
          <w:color w:val="auto"/>
        </w:rPr>
        <w:t xml:space="preserve">. Each assignee, by its execution and delivery of an Assignment and Assumption, shall be deemed to have represented to the assigning Lender and the Administrative Agent that such assignee is not a Person made ineligible under </w:t>
      </w:r>
      <w:r>
        <w:rPr>
          <w:rFonts w:ascii="Times New Roman" w:cs="Times New Roman" w:eastAsia="Times New Roman" w:hAnsi="Times New Roman"/>
          <w:sz w:val="21"/>
          <w:szCs w:val="21"/>
          <w:u w:val="single" w:color="auto"/>
          <w:color w:val="auto"/>
        </w:rPr>
        <w:t>Section 11.06(b)(v)</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718"/>
        <w:spacing w:after="0" w:line="248" w:lineRule="auto"/>
        <w:tabs>
          <w:tab w:leader="none" w:pos="126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the Borrower, the Administrative Agent or any L/C Issuer, sell participations to any Person (other than an Ineligible Institution)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Each Lender that sells a participation shall, acting solely for this purpose as a non-fiduciary agent of the Loan Parties,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or Proposed Section 1.163-5(b) (or, in each case, any amended or successor sections) of the United States Treasury Regulations. For the avoidance of doubt, no Agent (in its capacity as the Administrative Agent) shall have any responsibility for maintaining a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6" w:lineRule="exact"/>
        <w:rPr>
          <w:sz w:val="20"/>
          <w:szCs w:val="20"/>
          <w:color w:val="auto"/>
        </w:rPr>
      </w:pPr>
    </w:p>
    <w:p>
      <w:pPr>
        <w:jc w:val="both"/>
        <w:ind w:firstLine="624"/>
        <w:spacing w:after="0" w:line="277" w:lineRule="auto"/>
        <w:rPr>
          <w:sz w:val="20"/>
          <w:szCs w:val="20"/>
          <w:color w:val="auto"/>
        </w:rPr>
      </w:pPr>
      <w:r>
        <w:rPr>
          <w:rFonts w:ascii="Times New Roman" w:cs="Times New Roman" w:eastAsia="Times New Roman" w:hAnsi="Times New Roman"/>
          <w:sz w:val="21"/>
          <w:szCs w:val="21"/>
          <w:color w:val="auto"/>
        </w:rPr>
        <w:t>Any agreement or instrument pursuant to which a Lender sells such a participation shall provide that such Lender shall retain the sole right to enforce this Agreement and to approve any amendment, modification or waiver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ectPr>
          <w:pgSz w:w="11900" w:h="16838" w:orient="portrait"/>
          <w:cols w:equalWidth="0" w:num="1">
            <w:col w:w="11240"/>
          </w:cols>
          <w:pgMar w:left="320" w:top="1358" w:right="339" w:bottom="1440" w:gutter="0" w:footer="0" w:header="0"/>
        </w:sectPr>
      </w:pPr>
    </w:p>
    <w:bookmarkStart w:id="251" w:name="page252"/>
    <w:bookmarkEnd w:id="251"/>
    <w:p>
      <w:pPr>
        <w:jc w:val="both"/>
        <w:spacing w:after="0" w:line="253"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second proviso to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Section 11.06(f)</w:t>
      </w:r>
      <w:r>
        <w:rPr>
          <w:rFonts w:ascii="Times New Roman" w:cs="Times New Roman" w:eastAsia="Times New Roman" w:hAnsi="Times New Roman"/>
          <w:sz w:val="21"/>
          <w:szCs w:val="21"/>
          <w:color w:val="auto"/>
        </w:rPr>
        <w:t xml:space="preserve">, the Borrower and the other Loan Parties agree that each Participant shall be entitled to the benefits of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(subject to the requirements and limitations therein)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(it being understood that any documentation required under Section 3.01 shall be delivered to the participating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the provisions of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as if it were a Lender.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w:t>
      </w:r>
    </w:p>
    <w:p>
      <w:pPr>
        <w:spacing w:after="0" w:line="176" w:lineRule="exact"/>
        <w:rPr>
          <w:sz w:val="20"/>
          <w:szCs w:val="20"/>
          <w:color w:val="auto"/>
        </w:rPr>
      </w:pPr>
    </w:p>
    <w:p>
      <w:pPr>
        <w:jc w:val="both"/>
        <w:ind w:firstLine="624"/>
        <w:spacing w:after="0" w:line="252" w:lineRule="auto"/>
        <w:rPr>
          <w:sz w:val="20"/>
          <w:szCs w:val="20"/>
          <w:color w:val="auto"/>
        </w:rPr>
      </w:pPr>
      <w:r>
        <w:rPr>
          <w:rFonts w:ascii="Times New Roman" w:cs="Times New Roman" w:eastAsia="Times New Roman" w:hAnsi="Times New Roman"/>
          <w:sz w:val="21"/>
          <w:szCs w:val="21"/>
          <w:color w:val="auto"/>
        </w:rPr>
        <w:t>The Borrower may from time to time request any Lender to disclose whether or not such Lender has sold a participation in all or any portion of such Lender's rights and/or obligations under this Agreement (including all or a portion of its Commitment and/or the Loans owing to it); provided that (i) no Lender shall be required to respond to any such request by the Borrower, (ii) any failure by any Lender to respond to such inquiry, and any inaccuracy in the response by any Lender that elects in its sole discretion to respond to such inquiry, in each case shall not cause such Lender to be in breach, default, violation or other noncompliance of this Agreement, (iii) any Lender that fails to respond to such inquiry, and any Lender that elects in its sole discretion to respond to such inquiry, in each case shall not have any liability of any kind to the Borrower or any other Person as a result of such failure to respond or any inaccuracy in any such response and (iv) any failure by such Lender to respond to such inquiry, and any inaccuracy in any response provided by such Lender in its sole discretion, in each case shall not affect the legality, validity or enforceability of any participation sold by such Lender.</w:t>
      </w:r>
    </w:p>
    <w:p>
      <w:pPr>
        <w:spacing w:after="0" w:line="181" w:lineRule="exact"/>
        <w:rPr>
          <w:sz w:val="20"/>
          <w:szCs w:val="20"/>
          <w:color w:val="auto"/>
        </w:rPr>
      </w:pPr>
    </w:p>
    <w:p>
      <w:pPr>
        <w:jc w:val="both"/>
        <w:ind w:firstLine="718"/>
        <w:spacing w:after="0" w:line="255" w:lineRule="auto"/>
        <w:tabs>
          <w:tab w:leader="none" w:pos="1268"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upon Participant Rights</w:t>
      </w:r>
      <w:r>
        <w:rPr>
          <w:rFonts w:ascii="Times New Roman" w:cs="Times New Roman" w:eastAsia="Times New Roman" w:hAnsi="Times New Roman"/>
          <w:sz w:val="21"/>
          <w:szCs w:val="21"/>
          <w:color w:val="auto"/>
        </w:rPr>
        <w:t xml:space="preserve">. A Participant shall not be entitled to receive any greater payment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the Borrower’s prior written consent. Participant agrees, for the benefit of the Borrower, to comply with </w:t>
      </w:r>
      <w:r>
        <w:rPr>
          <w:rFonts w:ascii="Times New Roman" w:cs="Times New Roman" w:eastAsia="Times New Roman" w:hAnsi="Times New Roman"/>
          <w:sz w:val="21"/>
          <w:szCs w:val="21"/>
          <w:u w:val="single" w:color="auto"/>
          <w:color w:val="auto"/>
        </w:rPr>
        <w:t>Sections 3.01(e)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3.01(g)</w:t>
      </w:r>
      <w:r>
        <w:rPr>
          <w:rFonts w:ascii="Times New Roman" w:cs="Times New Roman" w:eastAsia="Times New Roman" w:hAnsi="Times New Roman"/>
          <w:sz w:val="21"/>
          <w:szCs w:val="21"/>
          <w:color w:val="auto"/>
        </w:rPr>
        <w:t xml:space="preserve"> as though it were a Lender (it being understood that any documentation required under Section 3.01 shall be delivered by the Participant to the participating Lender).</w:t>
      </w:r>
    </w:p>
    <w:p>
      <w:pPr>
        <w:spacing w:after="0" w:line="174" w:lineRule="exact"/>
        <w:rPr>
          <w:rFonts w:ascii="Times New Roman" w:cs="Times New Roman" w:eastAsia="Times New Roman" w:hAnsi="Times New Roman"/>
          <w:sz w:val="21"/>
          <w:szCs w:val="21"/>
          <w:color w:val="auto"/>
        </w:rPr>
      </w:pPr>
    </w:p>
    <w:p>
      <w:pPr>
        <w:jc w:val="both"/>
        <w:ind w:firstLine="718"/>
        <w:spacing w:after="0" w:line="257" w:lineRule="auto"/>
        <w:tabs>
          <w:tab w:leader="none" w:pos="1264"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having jurisdiction over such Lender, and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11.06</w:t>
      </w:r>
      <w:r>
        <w:rPr>
          <w:rFonts w:ascii="Times New Roman" w:cs="Times New Roman" w:eastAsia="Times New Roman" w:hAnsi="Times New Roman"/>
          <w:sz w:val="21"/>
          <w:szCs w:val="21"/>
          <w:color w:val="auto"/>
        </w:rPr>
        <w:t xml:space="preserve"> shall not apply to any such pledge or assignment to secure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ectPr>
          <w:pgSz w:w="11900" w:h="16838" w:orient="portrait"/>
          <w:cols w:equalWidth="0" w:num="1">
            <w:col w:w="11240"/>
          </w:cols>
          <w:pgMar w:left="320" w:top="1358" w:right="339" w:bottom="1440" w:gutter="0" w:footer="0" w:header="0"/>
        </w:sectPr>
      </w:pPr>
    </w:p>
    <w:bookmarkStart w:id="252" w:name="page253"/>
    <w:bookmarkEnd w:id="252"/>
    <w:p>
      <w:pPr>
        <w:ind w:left="542" w:hanging="542"/>
        <w:spacing w:after="0"/>
        <w:tabs>
          <w:tab w:leader="none" w:pos="542"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Disqualified Competitors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78" w:firstLine="638"/>
        <w:spacing w:after="0" w:line="249" w:lineRule="auto"/>
        <w:tabs>
          <w:tab w:leader="none" w:pos="1182"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or participation shall be made to any Person that was a Disqualified Competitor as of the date (the “</w:t>
      </w:r>
      <w:r>
        <w:rPr>
          <w:rFonts w:ascii="Times New Roman" w:cs="Times New Roman" w:eastAsia="Times New Roman" w:hAnsi="Times New Roman"/>
          <w:sz w:val="21"/>
          <w:szCs w:val="21"/>
          <w:u w:val="single" w:color="auto"/>
          <w:color w:val="auto"/>
        </w:rPr>
        <w:t>Trade Date</w:t>
      </w:r>
      <w:r>
        <w:rPr>
          <w:rFonts w:ascii="Times New Roman" w:cs="Times New Roman" w:eastAsia="Times New Roman" w:hAnsi="Times New Roman"/>
          <w:sz w:val="21"/>
          <w:szCs w:val="21"/>
          <w:color w:val="auto"/>
        </w:rPr>
        <w:t>”)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Competitor for the purpose of such assignment or participation). For the avoidance of doubt, with respect to any assignee or Participant that becomes a Disqualified Competitor after the applicable Trade Date (including as a result of the delivery of a written supplement to the list of “Disqualified Competitors” referred to in, the definition of “Disqualified Competitor”),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Competitor. Any assignment or participation in violation of this clause (h)(i) shall not be void, but the other provisions of this clause (h) shall apply.</w:t>
      </w:r>
    </w:p>
    <w:p>
      <w:pPr>
        <w:spacing w:after="0" w:line="185" w:lineRule="exact"/>
        <w:rPr>
          <w:rFonts w:ascii="Times New Roman" w:cs="Times New Roman" w:eastAsia="Times New Roman" w:hAnsi="Times New Roman"/>
          <w:sz w:val="21"/>
          <w:szCs w:val="21"/>
          <w:color w:val="auto"/>
        </w:rPr>
      </w:pPr>
    </w:p>
    <w:p>
      <w:pPr>
        <w:jc w:val="both"/>
        <w:ind w:left="-78" w:firstLine="638"/>
        <w:spacing w:after="0" w:line="251" w:lineRule="auto"/>
        <w:tabs>
          <w:tab w:leader="none" w:pos="1188"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assignment or participation is made to any Disqualified Competitor without the Borrower’s prior written consent in violation of clause (i) above, or if any Person becomes a Disqualified Competitor after the applicable Trade Date, the Borrower may, at its sole expense and effort, upon notice to the applicable Disqualified Competitor and the Administrative Agent, require such Disqualified Competitor to assign, without recourse (in accordance with and subject to the restrictions contained in this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all of its interest, rights and obligations under this Agreement to one or more Persons (other than an Ineligible Institution) at the lesser of (x) the principal amount thereof and (y) the amount that such Disqualified Competitor paid to acquire such interests, rights and obligations in each case plus accrued interest, accrued fees and all other amounts (other than principal amounts) payable to it hereunder.</w:t>
      </w:r>
    </w:p>
    <w:p>
      <w:pPr>
        <w:spacing w:after="0" w:line="165" w:lineRule="exact"/>
        <w:rPr>
          <w:rFonts w:ascii="Times New Roman" w:cs="Times New Roman" w:eastAsia="Times New Roman" w:hAnsi="Times New Roman"/>
          <w:sz w:val="21"/>
          <w:szCs w:val="21"/>
          <w:color w:val="auto"/>
        </w:rPr>
      </w:pPr>
    </w:p>
    <w:p>
      <w:pPr>
        <w:jc w:val="both"/>
        <w:ind w:left="-78" w:firstLine="638"/>
        <w:spacing w:after="0" w:line="251" w:lineRule="auto"/>
        <w:tabs>
          <w:tab w:leader="none" w:pos="1194"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Agreement, Disqualified Competitors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Competitor will be deemed to have consented in the same proportion as the Lenders that are not Disqualified Competitors consented to such matter and (y) for purposes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2"/>
        <w:spacing w:after="0"/>
        <w:rPr>
          <w:sz w:val="20"/>
          <w:szCs w:val="20"/>
          <w:color w:val="auto"/>
        </w:rPr>
      </w:pPr>
      <w:r>
        <w:rPr>
          <w:rFonts w:ascii="Times New Roman" w:cs="Times New Roman" w:eastAsia="Times New Roman" w:hAnsi="Times New Roman"/>
          <w:sz w:val="21"/>
          <w:szCs w:val="21"/>
          <w:color w:val="auto"/>
        </w:rPr>
        <w:t>146</w:t>
      </w:r>
    </w:p>
    <w:p>
      <w:pPr>
        <w:sectPr>
          <w:pgSz w:w="11900" w:h="16838" w:orient="portrait"/>
          <w:cols w:equalWidth="0" w:num="1">
            <w:col w:w="10522"/>
          </w:cols>
          <w:pgMar w:left="1038" w:top="1358" w:right="339" w:bottom="1440" w:gutter="0" w:footer="0" w:header="0"/>
        </w:sectPr>
      </w:pPr>
    </w:p>
    <w:bookmarkStart w:id="253" w:name="page254"/>
    <w:bookmarkEnd w:id="253"/>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on any plan of reorganization, each Disqualified Competitor party hereto hereby agrees (1) not to vote on such plan of reorganization, (2) if such Disqualified Competitor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spacing w:after="0" w:line="179" w:lineRule="exact"/>
        <w:rPr>
          <w:sz w:val="20"/>
          <w:szCs w:val="20"/>
          <w:color w:val="auto"/>
        </w:rPr>
      </w:pPr>
    </w:p>
    <w:p>
      <w:pPr>
        <w:jc w:val="both"/>
        <w:ind w:left="640" w:firstLine="638"/>
        <w:spacing w:after="0" w:line="257" w:lineRule="auto"/>
        <w:tabs>
          <w:tab w:leader="none" w:pos="1900"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the right, and the Borrower hereby expressly authorizes the Administrative Agent, to (A) post the list of Disqualified Competitors provided by the Borrower and any updates thereto from time to time (collectively, the “</w:t>
      </w:r>
      <w:r>
        <w:rPr>
          <w:rFonts w:ascii="Times New Roman" w:cs="Times New Roman" w:eastAsia="Times New Roman" w:hAnsi="Times New Roman"/>
          <w:sz w:val="21"/>
          <w:szCs w:val="21"/>
          <w:u w:val="single" w:color="auto"/>
          <w:color w:val="auto"/>
        </w:rPr>
        <w:t>DQ List</w:t>
      </w:r>
      <w:r>
        <w:rPr>
          <w:rFonts w:ascii="Times New Roman" w:cs="Times New Roman" w:eastAsia="Times New Roman" w:hAnsi="Times New Roman"/>
          <w:sz w:val="21"/>
          <w:szCs w:val="21"/>
          <w:color w:val="auto"/>
        </w:rPr>
        <w:t>”) on a Platform, including that portion of such Platform that is designated for “public side” Lenders and/or (B) provide the DQ List to each Lender or potential Lender requesting the same.</w:t>
      </w:r>
    </w:p>
    <w:p>
      <w:pPr>
        <w:spacing w:after="0" w:line="171" w:lineRule="exact"/>
        <w:rPr>
          <w:rFonts w:ascii="Times New Roman" w:cs="Times New Roman" w:eastAsia="Times New Roman" w:hAnsi="Times New Roman"/>
          <w:sz w:val="21"/>
          <w:szCs w:val="21"/>
          <w:color w:val="auto"/>
        </w:rPr>
      </w:pPr>
    </w:p>
    <w:p>
      <w:pPr>
        <w:jc w:val="both"/>
        <w:ind w:left="640" w:firstLine="638"/>
        <w:spacing w:after="0" w:line="251" w:lineRule="auto"/>
        <w:tabs>
          <w:tab w:leader="none" w:pos="1907"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Lenders shall not be responsible or have any liability for, or have any duty to ascertain, inquire into, monitor or enforce, compliance with the provisions hereof relating to Disqualified Competitors. Without limiting the generality of the foregoing, neither the Administrative Agent nor any Lender shall (x) be obligated to ascertain, monitor or inquire as to whether any other Lender or Participant or prospective Lender or Participant is a Disqualified Competitor or (y) have any liability with respect to or arising out of any assignment or participation of Loans, or disclosure of confidential information, by any other Person to any Disqualified Competitor.</w:t>
      </w:r>
    </w:p>
    <w:p>
      <w:pPr>
        <w:spacing w:after="0" w:line="180" w:lineRule="exact"/>
        <w:rPr>
          <w:rFonts w:ascii="Times New Roman" w:cs="Times New Roman" w:eastAsia="Times New Roman" w:hAnsi="Times New Roman"/>
          <w:sz w:val="21"/>
          <w:szCs w:val="21"/>
          <w:color w:val="auto"/>
        </w:rPr>
      </w:pPr>
    </w:p>
    <w:p>
      <w:pPr>
        <w:jc w:val="both"/>
        <w:ind w:firstLine="718"/>
        <w:spacing w:after="0" w:line="249" w:lineRule="auto"/>
        <w:tabs>
          <w:tab w:leader="none" w:pos="127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Resignation as L/C Issuer after Assignment. Notwithstanding anything to the contrary contained herein, if at any time any Lender that is also an L/C Issuer assigns all of its Commitment and Loans pursuant to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xml:space="preserve">, such Lender may, upon 30 days’ notice to the Borrower and the Lenders, resign as L/C Issuer. In the event of any such resignation as an L/C Issuer, the Borrower shall be entitled to appoint from among the Lenders consenting to act in such capacity a successor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neither failure by the Borrower to appoint any such successor nor such successor’s acceptance of such appointment shall affect the resignation of such Lender as an L/C Issuer. If a Lender resigns as L/C Issuer, it shall retain all the rights, powers, privileges and duties of the L/C Issuer hereunder with respect to all Letters of Credit outstanding as of the effective date of its resignation as an L/C Issuer and all L/C Obligations with respect thereto (including the right to require the Lenders to make Base Rate Committed Loans or fund risk participations in Unreimbursed Amounts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Upon the appointment of a successor L/C Issuer, and such successor’s acceptance of such appointment, such successor shall succeed to and become vested with all of the rights, powers, privileges and duties of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147</w:t>
      </w:r>
    </w:p>
    <w:p>
      <w:pPr>
        <w:sectPr>
          <w:pgSz w:w="11900" w:h="16838" w:orient="portrait"/>
          <w:cols w:equalWidth="0" w:num="1">
            <w:col w:w="11240"/>
          </w:cols>
          <w:pgMar w:left="320" w:top="1358" w:right="339" w:bottom="1440" w:gutter="0" w:footer="0" w:header="0"/>
        </w:sectPr>
      </w:pPr>
    </w:p>
    <w:bookmarkStart w:id="254" w:name="page255"/>
    <w:bookmarkEnd w:id="254"/>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11.07. </w:t>
      </w:r>
      <w:r>
        <w:rPr>
          <w:rFonts w:ascii="Times New Roman" w:cs="Times New Roman" w:eastAsia="Times New Roman" w:hAnsi="Times New Roman"/>
          <w:sz w:val="21"/>
          <w:szCs w:val="21"/>
          <w:u w:val="single" w:color="auto"/>
          <w:color w:val="auto"/>
        </w:rPr>
        <w:t>Treatment of Certain Information; Confidentiality</w:t>
      </w:r>
      <w:r>
        <w:rPr>
          <w:rFonts w:ascii="Times New Roman" w:cs="Times New Roman" w:eastAsia="Times New Roman" w:hAnsi="Times New Roman"/>
          <w:sz w:val="21"/>
          <w:szCs w:val="21"/>
          <w:color w:val="auto"/>
        </w:rPr>
        <w:t>. Each of the Administrative Agent, the Lenders and the L/C Issuers agrees to maintain the confidentiality of the Information (as defined below), except that Information may be disclosed (a) to its Affiliates and to its and its Affiliates’ respective directors, officers, employees, Agent,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w:t>
      </w:r>
    </w:p>
    <w:p>
      <w:pPr>
        <w:spacing w:after="0" w:line="6" w:lineRule="exact"/>
        <w:rPr>
          <w:sz w:val="20"/>
          <w:szCs w:val="20"/>
          <w:color w:val="auto"/>
        </w:rPr>
      </w:pPr>
    </w:p>
    <w:p>
      <w:pPr>
        <w:jc w:val="both"/>
        <w:ind w:firstLine="6"/>
        <w:spacing w:after="0" w:line="247" w:lineRule="auto"/>
        <w:tabs>
          <w:tab w:leader="none" w:pos="31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xml:space="preserve">, to (i) any assignee of or Participant (or its advisors) in, or any prospective assignee of or Participant (or its advisors) in, any of its rights or obligations under this Agreement (it being understood that the DQ List may be disclosed to any assignee or Participant, or prospective assignee or Participant, in reliance on this clause (f)) or any Eligible Assignee invited to be a Lender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2.15(c)</w:t>
      </w:r>
      <w:r>
        <w:rPr>
          <w:rFonts w:ascii="Times New Roman" w:cs="Times New Roman" w:eastAsia="Times New Roman" w:hAnsi="Times New Roman"/>
          <w:sz w:val="21"/>
          <w:szCs w:val="21"/>
          <w:color w:val="auto"/>
        </w:rPr>
        <w:t xml:space="preserve"> or (ii) any actual or prospective counterparty (or its advisors) to any swap or derivative transaction relating to the Borrower or any other Subsidiary and its obligations, (g) with the consent of the Borrower, (h) to the extent such Information (i) becomes publicly available other than as a result of a breach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xml:space="preserve">, (ii) becomes available to the Administrative Agent, any Lender, any L/C Issuer or any of their respective Affiliates on a nonconfidential basis from a third party that is not to the knowledge of the Administrative Agent, any Lender or any L/C Issuer subject to confidentiality obligations to the Borrower with respect to such Information, (i) to market data collectors or similar service providers, including league table providers, to the lending industry, in each case, limited to information regarding the closing, size and type of facilities hereunder and the purpose of and parties to this Agreement or (j) on a confidential basis to any rating agency. It is agreed that, notwithstanding the restrictions of any prior confidentiality agreement with Borrower or any Subsidiary binding on the Administrative Agent, any Arranger or any Co-Syndication Agent, or any of their respective Affiliates, such Persons (and their respective Affiliates) may disclose Information as provided in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Borrower or any Subsidiary relating to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Borrower or any Subsidiary after the Effective Date,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xml:space="preserve"> will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148</w:t>
      </w:r>
    </w:p>
    <w:p>
      <w:pPr>
        <w:sectPr>
          <w:pgSz w:w="11900" w:h="16838" w:orient="portrait"/>
          <w:cols w:equalWidth="0" w:num="1">
            <w:col w:w="11240"/>
          </w:cols>
          <w:pgMar w:left="320" w:top="1146" w:right="339" w:bottom="1440" w:gutter="0" w:footer="0" w:header="0"/>
        </w:sectPr>
      </w:pPr>
    </w:p>
    <w:bookmarkStart w:id="255" w:name="page256"/>
    <w:bookmarkEnd w:id="255"/>
    <w:p>
      <w:pPr>
        <w:jc w:val="both"/>
        <w:ind w:firstLine="624"/>
        <w:spacing w:after="0" w:line="261" w:lineRule="auto"/>
        <w:rPr>
          <w:sz w:val="20"/>
          <w:szCs w:val="20"/>
          <w:color w:val="auto"/>
        </w:rPr>
      </w:pPr>
      <w:r>
        <w:rPr>
          <w:rFonts w:ascii="Times New Roman" w:cs="Times New Roman" w:eastAsia="Times New Roman" w:hAnsi="Times New Roman"/>
          <w:sz w:val="21"/>
          <w:szCs w:val="21"/>
          <w:color w:val="auto"/>
        </w:rPr>
        <w:t>Each of the Administrative Agent, the Lenders and the L/C Issuers acknowledges that (a) the Information may include MNPI, (b) it has developed compliance procedures regarding the use of MNPI and (c) it will handle all MNPI in accordance with applicable Law, including United States federal and state and applicable foreign securities Laws.</w:t>
      </w:r>
    </w:p>
    <w:p>
      <w:pPr>
        <w:spacing w:after="0" w:line="166"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21"/>
          <w:szCs w:val="21"/>
          <w:color w:val="auto"/>
        </w:rPr>
        <w:t>Subject to any applicable requirements of United State federal, state or local or applicable foreign Laws or regulations, including securities Laws or regulations, none of the Administrative Agent, the Lenders or the L/C Issuers will make or cause to be made, whether orally, in writing or otherwise, any public announcement or statement that is intended for the general public and not targeted primarily to reach audiences in the banking industry and the banking industry’s customers with respect to the transactions contemplated by this Agreement, or any of the provisions of this Agreement, without the prior written approval of the Borrower as to the form, content and timing of such announcement or disclosure, which approval may be given or withheld in Borrower’s sole discretion.</w:t>
      </w:r>
    </w:p>
    <w:p>
      <w:pPr>
        <w:spacing w:after="0" w:line="176"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21"/>
          <w:szCs w:val="21"/>
          <w:b w:val="1"/>
          <w:bCs w:val="1"/>
          <w:u w:val="single" w:color="auto"/>
          <w:color w:val="0000FF"/>
        </w:rPr>
        <w:t>For the avoidance of doubt, nothing in this Section 11.07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11.07 shall be prohibited by the laws or regulations applicable to such Regulatory Authority.</w:t>
      </w:r>
    </w:p>
    <w:p>
      <w:pPr>
        <w:spacing w:after="0" w:line="17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If an Event of Default will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Loan Party against any and all of its obligations now or hereafter existing under this Agreement or any other Loan Document to such Lender or such L/C Issuer, irrespective of whether or not such Lender or such L/C Issuer will have made any demand under this Agreement or any other Loan Document and although such obligations of such Loan Party may be contingent or unmatured or are owed to a branch or office of such Lender or such L/C Issuer different from the branch or office holding such deposit or obligated on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 Administrative Agent, the Lenders and the L/C Issuers, and (b) the Defaulting Lender shall provide promptly to the Administrative Agent a statement describing in reasonable detail the Obligations owing to such Defaulting Lender as to which it exercised such right of setoff. The rights of each Lender, each L/C Issuer and its Affiliates under this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are in addition to other rights and remedies (including other rights of setoff) that such Lender, such L/C Issuer or its Affiliates may have. Each Lender and each L/C Issuer agrees to notify the Loan Parties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149</w:t>
      </w:r>
    </w:p>
    <w:p>
      <w:pPr>
        <w:sectPr>
          <w:pgSz w:w="11900" w:h="16838" w:orient="portrait"/>
          <w:cols w:equalWidth="0" w:num="1">
            <w:col w:w="11240"/>
          </w:cols>
          <w:pgMar w:left="320" w:top="1358" w:right="339" w:bottom="1440" w:gutter="0" w:footer="0" w:header="0"/>
        </w:sectPr>
      </w:pPr>
    </w:p>
    <w:bookmarkStart w:id="256" w:name="page257"/>
    <w:bookmarkEnd w:id="256"/>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will not affect the validity of such setoff and application. Notwithstanding the provisions of this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if at any time any Lender, any L/C Issuer or any of their respective Affiliates maintains one or more deposit accounts for the Borrower or any other Loan Party into which Medicare and/or Medicaid receivables are deposited, such Person shall waive the right of setoff set forth herein.</w:t>
      </w:r>
    </w:p>
    <w:p>
      <w:pPr>
        <w:spacing w:after="0" w:line="171"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21"/>
          <w:szCs w:val="21"/>
          <w:color w:val="auto"/>
        </w:rPr>
        <w:t xml:space="preserve">SECTION 11.09. </w:t>
      </w:r>
      <w:r>
        <w:rPr>
          <w:rFonts w:ascii="Times New Roman" w:cs="Times New Roman" w:eastAsia="Times New Roman" w:hAnsi="Times New Roman"/>
          <w:sz w:val="21"/>
          <w:szCs w:val="21"/>
          <w:u w:val="single" w:color="auto"/>
          <w:color w:val="auto"/>
        </w:rPr>
        <w:t>Interest Rate Limitation</w:t>
      </w:r>
      <w:r>
        <w:rPr>
          <w:rFonts w:ascii="Times New Roman" w:cs="Times New Roman" w:eastAsia="Times New Roman" w:hAnsi="Times New Roman"/>
          <w:sz w:val="21"/>
          <w:szCs w:val="21"/>
          <w:color w:val="auto"/>
        </w:rPr>
        <w:t>. Notwithstanding anything to the contrary contained in any Loan Document, the interest paid or agreed to be paid under the Loan Documents will not exceed the maximum rate of non-usurious interest permitted by applicable Law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If the Administrative Agent or any Lender will receive interest in an amount that exceeds the Maximum Rate, the excess interest will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1"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21"/>
          <w:szCs w:val="21"/>
          <w:color w:val="auto"/>
        </w:rPr>
        <w:t xml:space="preserve">SECTION 11.10. </w:t>
      </w:r>
      <w:r>
        <w:rPr>
          <w:rFonts w:ascii="Times New Roman" w:cs="Times New Roman" w:eastAsia="Times New Roman" w:hAnsi="Times New Roman"/>
          <w:sz w:val="21"/>
          <w:szCs w:val="21"/>
          <w:u w:val="single" w:color="auto"/>
          <w:color w:val="auto"/>
        </w:rPr>
        <w:t>Counterparts; Integration; Electronic Execution; Effectiveness</w:t>
      </w:r>
      <w:r>
        <w:rPr>
          <w:rFonts w:ascii="Times New Roman" w:cs="Times New Roman" w:eastAsia="Times New Roman" w:hAnsi="Times New Roman"/>
          <w:sz w:val="21"/>
          <w:szCs w:val="21"/>
          <w:color w:val="auto"/>
        </w:rPr>
        <w:t>. This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150</w:t>
      </w:r>
    </w:p>
    <w:p>
      <w:pPr>
        <w:sectPr>
          <w:pgSz w:w="11900" w:h="16838" w:orient="portrait"/>
          <w:cols w:equalWidth="0" w:num="1">
            <w:col w:w="11240"/>
          </w:cols>
          <w:pgMar w:left="320" w:top="1358" w:right="339" w:bottom="1440" w:gutter="0" w:footer="0" w:header="0"/>
        </w:sectPr>
      </w:pPr>
    </w:p>
    <w:bookmarkStart w:id="257" w:name="page258"/>
    <w:bookmarkEnd w:id="257"/>
    <w:p>
      <w:pPr>
        <w:jc w:val="both"/>
        <w:spacing w:after="0" w:line="243" w:lineRule="auto"/>
        <w:rPr>
          <w:sz w:val="20"/>
          <w:szCs w:val="20"/>
          <w:color w:val="auto"/>
        </w:rPr>
      </w:pPr>
      <w:r>
        <w:rPr>
          <w:rFonts w:ascii="Times New Roman" w:cs="Times New Roman" w:eastAsia="Times New Roman" w:hAnsi="Times New Roman"/>
          <w:sz w:val="21"/>
          <w:szCs w:val="21"/>
          <w:color w:val="auto"/>
        </w:rPr>
        <w:t>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208"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11.11. </w:t>
      </w:r>
      <w:r>
        <w:rPr>
          <w:rFonts w:ascii="Times New Roman" w:cs="Times New Roman" w:eastAsia="Times New Roman" w:hAnsi="Times New Roman"/>
          <w:sz w:val="21"/>
          <w:szCs w:val="21"/>
          <w:u w:val="single" w:color="auto"/>
          <w:color w:val="auto"/>
        </w:rPr>
        <w:t>Survival of Representations and Warranties</w:t>
      </w:r>
      <w:r>
        <w:rPr>
          <w:rFonts w:ascii="Times New Roman" w:cs="Times New Roman" w:eastAsia="Times New Roman" w:hAnsi="Times New Roman"/>
          <w:sz w:val="21"/>
          <w:szCs w:val="21"/>
          <w:color w:val="auto"/>
        </w:rPr>
        <w:t xml:space="preserve">. All representations and warranties made hereunder and in any other Loan Document or other document delivered pursuant hereto or thereto or in connection herewith or therewith will survive the execution and delivery hereof and thereof. Such representations and warranties have been or will be relied upon by the Administrative Agent, each L/C Issuer and each Lender, regardless of any investigation made by or on behalf of the Administrative Agent, any L/C Issuer or any Lender or any of their respective Affiliates and notwithstanding that the Administrative Agent, any L/C Issuer or any Lender or any of their respective Affiliates may have had notice or knowledge of any Default on the </w:t>
      </w:r>
      <w:r>
        <w:rPr>
          <w:rFonts w:ascii="Times New Roman" w:cs="Times New Roman" w:eastAsia="Times New Roman" w:hAnsi="Times New Roman"/>
          <w:sz w:val="21"/>
          <w:szCs w:val="21"/>
          <w:b w:val="1"/>
          <w:bCs w:val="1"/>
          <w:u w:val="single" w:color="auto"/>
          <w:color w:val="0000FF"/>
        </w:rPr>
        <w:t>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No. 2</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Effective Date or at the time of any Credit Extension,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151</w:t>
      </w:r>
    </w:p>
    <w:p>
      <w:pPr>
        <w:sectPr>
          <w:pgSz w:w="11900" w:h="16838" w:orient="portrait"/>
          <w:cols w:equalWidth="0" w:num="1">
            <w:col w:w="11240"/>
          </w:cols>
          <w:pgMar w:left="320" w:top="1358" w:right="339" w:bottom="1440" w:gutter="0" w:footer="0" w:header="0"/>
        </w:sectPr>
      </w:pPr>
    </w:p>
    <w:bookmarkStart w:id="258" w:name="page259"/>
    <w:bookmarkEnd w:id="258"/>
    <w:p>
      <w:pPr>
        <w:jc w:val="both"/>
        <w:spacing w:after="0" w:line="285" w:lineRule="auto"/>
        <w:rPr>
          <w:sz w:val="20"/>
          <w:szCs w:val="20"/>
          <w:color w:val="auto"/>
        </w:rPr>
      </w:pPr>
      <w:r>
        <w:rPr>
          <w:rFonts w:ascii="Times New Roman" w:cs="Times New Roman" w:eastAsia="Times New Roman" w:hAnsi="Times New Roman"/>
          <w:sz w:val="21"/>
          <w:szCs w:val="21"/>
          <w:color w:val="auto"/>
        </w:rPr>
        <w:t>continue in full force and effect as long as any Loan or any other Obligation hereunder will remain unpaid or unsatisfied or any Letter of Credit will remain outstanding.</w:t>
      </w:r>
    </w:p>
    <w:p>
      <w:pPr>
        <w:spacing w:after="0" w:line="14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If any provision of this Agreement or the other Loan Documents is held to be illegal, invalid or unenforceable, (a) the legality, validity and enforceability of the remaining provisions of this Agreement and the other Loan Documents will not be affected or impaired thereby and (b) the parties will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will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11.12</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applicable, then such provisions shall be deemed to be in effect only to the extent not so limited.</w:t>
      </w:r>
    </w:p>
    <w:p>
      <w:pPr>
        <w:spacing w:after="0" w:line="176"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 xml:space="preserve">SECTION 11.13. </w:t>
      </w: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In the event (a)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(b) the Loan Parties are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(c) any Lender becomes a Defaulting Lender or (d) any Lender refuses to consent to any amendment, waiver or other modification of this Agreement or any other Loan Document requested by a Loan Party that requires the consent of all the Lenders (or all the affected Lenders) and such amendment, waiver or other modification is consented to by the Required Lenders,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all of its interests, rights (other than its existing rights to payments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obligations under this Agreement and the other Loan Documents to an assignee that will assume such obligations (which assignee may be another Lender, if a Lender accepts such assignment and delegation);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0" w:lineRule="exact"/>
        <w:rPr>
          <w:sz w:val="20"/>
          <w:szCs w:val="20"/>
          <w:color w:val="auto"/>
        </w:rPr>
      </w:pPr>
    </w:p>
    <w:p>
      <w:pPr>
        <w:ind w:left="1280" w:hanging="562"/>
        <w:spacing w:after="0"/>
        <w:tabs>
          <w:tab w:leader="none" w:pos="128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have paid to the Administrative Agent the assignment fee specified in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718"/>
        <w:spacing w:after="0" w:line="266" w:lineRule="auto"/>
        <w:tabs>
          <w:tab w:leader="none" w:pos="1264"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will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from the assignee (to the extent of such outstanding principal and accrued interest and fees) or the Borrower (in the case of all other amounts);</w:t>
      </w:r>
    </w:p>
    <w:p>
      <w:pPr>
        <w:spacing w:after="0" w:line="161" w:lineRule="exact"/>
        <w:rPr>
          <w:rFonts w:ascii="Times New Roman" w:cs="Times New Roman" w:eastAsia="Times New Roman" w:hAnsi="Times New Roman"/>
          <w:sz w:val="21"/>
          <w:szCs w:val="21"/>
          <w:color w:val="auto"/>
        </w:rPr>
      </w:pPr>
    </w:p>
    <w:p>
      <w:pPr>
        <w:ind w:firstLine="718"/>
        <w:spacing w:after="0" w:line="285" w:lineRule="auto"/>
        <w:tabs>
          <w:tab w:leader="none" w:pos="126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152</w:t>
      </w:r>
    </w:p>
    <w:p>
      <w:pPr>
        <w:sectPr>
          <w:pgSz w:w="11900" w:h="16838" w:orient="portrait"/>
          <w:cols w:equalWidth="0" w:num="1">
            <w:col w:w="11240"/>
          </w:cols>
          <w:pgMar w:left="320" w:top="1371" w:right="339" w:bottom="1440" w:gutter="0" w:footer="0" w:header="0"/>
        </w:sectPr>
      </w:pPr>
    </w:p>
    <w:bookmarkStart w:id="259" w:name="page260"/>
    <w:bookmarkEnd w:id="259"/>
    <w:p>
      <w:pPr>
        <w:ind w:left="1260" w:hanging="542"/>
        <w:spacing w:after="0"/>
        <w:tabs>
          <w:tab w:leader="none" w:pos="126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does not conflict with applicable Laws.</w:t>
      </w:r>
    </w:p>
    <w:p>
      <w:pPr>
        <w:spacing w:after="0" w:line="222"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A Lender will not be required to make any such assignment or delegation if, prior thereto, as a result of a waiver by such Lender or otherwise, the circumstances entitling the applicable Loan Party to require such assignment and delegation cease to apply. Each party hereto agrees that an assignment and delegation required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may be effected pursuant to an Assignment and Assumption executed by the Borrower, the Administrative Agent and the assignee and that the Lender required to make such assignment and delegation need not be a party thereto.</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 xml:space="preserve">SECTION 11.14. </w:t>
      </w:r>
      <w:r>
        <w:rPr>
          <w:rFonts w:ascii="Times New Roman" w:cs="Times New Roman" w:eastAsia="Times New Roman" w:hAnsi="Times New Roman"/>
          <w:sz w:val="21"/>
          <w:szCs w:val="21"/>
          <w:u w:val="single" w:color="auto"/>
          <w:color w:val="auto"/>
        </w:rPr>
        <w:t>Governing Law; Jurisdiction; Etc</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BY, AND CONSTRUED IN ACCORDANCE WITH, THE LAW OF THE STATE OF NEW YORK.</w:t>
      </w:r>
    </w:p>
    <w:p>
      <w:pPr>
        <w:spacing w:after="0" w:line="142" w:lineRule="exact"/>
        <w:rPr>
          <w:sz w:val="20"/>
          <w:szCs w:val="20"/>
          <w:color w:val="auto"/>
        </w:rPr>
      </w:pPr>
    </w:p>
    <w:p>
      <w:pPr>
        <w:jc w:val="both"/>
        <w:ind w:firstLine="718"/>
        <w:spacing w:after="0" w:line="250" w:lineRule="auto"/>
        <w:tabs>
          <w:tab w:leader="none" w:pos="1264"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w:t>
      </w:r>
      <w:r>
        <w:rPr>
          <w:rFonts w:ascii="Times New Roman" w:cs="Times New Roman" w:eastAsia="Times New Roman" w:hAnsi="Times New Roman"/>
          <w:sz w:val="21"/>
          <w:szCs w:val="21"/>
          <w:b w:val="1"/>
          <w:bCs w:val="1"/>
          <w:u w:val="single" w:color="auto"/>
          <w:color w:val="0000FF"/>
        </w:rPr>
        <w:t>(I)</w:t>
      </w:r>
      <w:r>
        <w:rPr>
          <w:rFonts w:ascii="Times New Roman" w:cs="Times New Roman" w:eastAsia="Times New Roman" w:hAnsi="Times New Roman"/>
          <w:sz w:val="21"/>
          <w:szCs w:val="21"/>
          <w:color w:val="auto"/>
        </w:rPr>
        <w:t xml:space="preserve"> AFFECT ANY RIGHT THAT THE ADMINISTRATIVE AGENT, ANY L/C ISSUER OR ANY LENDER MAY OTHERWISE HAVE TO BRING ANY ACTION OR PROCEEDING RELATING TO THIS AGREEMENT OR ANY OTHER LOAN DOCUMENT AGAINST ANY LOAN PARTY OR ITS PROPERTIES IN THE COURTS OF ANY JURISDICTION</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u w:val="single" w:color="auto"/>
          <w:color w:val="0000FF"/>
        </w:rPr>
        <w:t>, (II) WAIVE ANY STATUTORY, REGULATORY,</w:t>
      </w:r>
    </w:p>
    <w:p>
      <w:pPr>
        <w:spacing w:after="0" w:line="1"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0000FF"/>
        </w:rPr>
        <w:t>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153</w:t>
      </w:r>
    </w:p>
    <w:p>
      <w:pPr>
        <w:sectPr>
          <w:pgSz w:w="11900" w:h="16838" w:orient="portrait"/>
          <w:cols w:equalWidth="0" w:num="1">
            <w:col w:w="11240"/>
          </w:cols>
          <w:pgMar w:left="320" w:top="1371" w:right="339" w:bottom="1440" w:gutter="0" w:footer="0" w:header="0"/>
        </w:sectPr>
      </w:pPr>
    </w:p>
    <w:bookmarkStart w:id="260" w:name="page261"/>
    <w:bookmarkEnd w:id="260"/>
    <w:p>
      <w:pPr>
        <w:jc w:val="both"/>
        <w:spacing w:after="0" w:line="255" w:lineRule="auto"/>
        <w:rPr>
          <w:sz w:val="20"/>
          <w:szCs w:val="20"/>
          <w:color w:val="auto"/>
        </w:rPr>
      </w:pPr>
      <w:r>
        <w:rPr>
          <w:rFonts w:ascii="Times New Roman" w:cs="Times New Roman" w:eastAsia="Times New Roman" w:hAnsi="Times New Roman"/>
          <w:sz w:val="21"/>
          <w:szCs w:val="21"/>
          <w:b w:val="1"/>
          <w:bCs w:val="1"/>
          <w:u w:val="single" w:color="auto"/>
          <w:color w:val="0000FF"/>
        </w:rPr>
        <w:t>RULE 2.02, AND URDG 758 ARTICLE 3(a), OR (III) AFFECT WHICH COURTS HAVE OR DO NOT HAVE PERSONAL JURISDICTION OVER ANY L/C ISSUER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74" w:lineRule="exact"/>
        <w:rPr>
          <w:sz w:val="20"/>
          <w:szCs w:val="20"/>
          <w:color w:val="auto"/>
        </w:rPr>
      </w:pPr>
    </w:p>
    <w:p>
      <w:pPr>
        <w:jc w:val="both"/>
        <w:ind w:firstLine="718"/>
        <w:spacing w:after="0" w:line="256" w:lineRule="auto"/>
        <w:tabs>
          <w:tab w:leader="none" w:pos="126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1"/>
          <w:szCs w:val="21"/>
          <w:u w:val="single" w:color="auto"/>
          <w:color w:val="auto"/>
        </w:rPr>
        <w:t>SECTION 11.14(b)</w:t>
      </w:r>
      <w:r>
        <w:rPr>
          <w:rFonts w:ascii="Times New Roman" w:cs="Times New Roman" w:eastAsia="Times New Roman" w:hAnsi="Times New Roman"/>
          <w:sz w:val="21"/>
          <w:szCs w:val="21"/>
          <w:color w:val="auto"/>
        </w:rPr>
        <w:t>. EACH OF THE PARTIES HERETO HEREBY IRREVOCABLY WAIVES, TO THE FULLEST EXTENT PERMITTED BY APPLICABLE LAW, THE DEFENSE OF AN INCONVENIENT FORUM TO THE MAINTENANCE OF SUCH ACTION OR PROCEEDING IN ANY SUCH COURT.</w:t>
      </w:r>
    </w:p>
    <w:p>
      <w:pPr>
        <w:spacing w:after="0" w:line="157" w:lineRule="exact"/>
        <w:rPr>
          <w:rFonts w:ascii="Times New Roman" w:cs="Times New Roman" w:eastAsia="Times New Roman" w:hAnsi="Times New Roman"/>
          <w:sz w:val="21"/>
          <w:szCs w:val="21"/>
          <w:color w:val="auto"/>
        </w:rPr>
      </w:pPr>
    </w:p>
    <w:p>
      <w:pPr>
        <w:jc w:val="both"/>
        <w:ind w:firstLine="718"/>
        <w:spacing w:after="0" w:line="267" w:lineRule="auto"/>
        <w:tabs>
          <w:tab w:leader="none" w:pos="1264"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16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11.15.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1"/>
          <w:szCs w:val="21"/>
          <w:u w:val="single" w:color="auto"/>
          <w:color w:val="auto"/>
        </w:rPr>
        <w:t>SECTION 11.15</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 xml:space="preserve">SECTION 11.16.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Lender that is subject to the Patriot Act and the requirements of the Beneficial Ownership Regulation and the Administrative Agent (for itself and not on behalf of any Lender) hereby notifies the Loan Parties that pursuant to the requirements of the Patriot Act and the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154</w:t>
      </w:r>
    </w:p>
    <w:p>
      <w:pPr>
        <w:sectPr>
          <w:pgSz w:w="11900" w:h="16838" w:orient="portrait"/>
          <w:cols w:equalWidth="0" w:num="1">
            <w:col w:w="11240"/>
          </w:cols>
          <w:pgMar w:left="320" w:top="1354" w:right="339" w:bottom="1440" w:gutter="0" w:footer="0" w:header="0"/>
        </w:sectPr>
      </w:pPr>
    </w:p>
    <w:bookmarkStart w:id="261" w:name="page262"/>
    <w:bookmarkEnd w:id="261"/>
    <w:p>
      <w:pPr>
        <w:jc w:val="both"/>
        <w:spacing w:after="0" w:line="253" w:lineRule="auto"/>
        <w:rPr>
          <w:sz w:val="20"/>
          <w:szCs w:val="20"/>
          <w:color w:val="auto"/>
        </w:rPr>
      </w:pPr>
      <w:r>
        <w:rPr>
          <w:rFonts w:ascii="Times New Roman" w:cs="Times New Roman" w:eastAsia="Times New Roman" w:hAnsi="Times New Roman"/>
          <w:sz w:val="21"/>
          <w:szCs w:val="21"/>
          <w:color w:val="auto"/>
        </w:rPr>
        <w:t>Regulation, it is required to obtain, verify and record information that identifies the Loan Parties, which information includes the name, address and tax identification number of the Loan Parties and other information that will allow such Lender or the Administrative Agent, as applicable, to identify the Loan Parties in accordance with the Patriot Act and the Beneficial Ownership Regulation and other applicable “know your customer” and anti-money laundering rules and regulations.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7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 xml:space="preserve">SECTION 11.17.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If, for the purposes of obtaining judgment in any court, it is necessary to convert a sum due hereunder or any other Loan Document in one currency into another currency, the rate of exchange used will be that at which in accordance with normal banking procedures the Administrative Agent could purchase the first currency with such other currency on the Business Day preceding that on which final judgment is given. The obligation of any Loan Party in respect of any such sum due from it to the Administrative Agent, any L/C Issuer or any Lender hereunder or under the other Loan Documents will, notwithstanding any judgment in a currency (the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other than that in which such sum is denominated in accordance with the applicable provisions of this Agreement (the “</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be discharged only to the extent that on the Business Day following receipt by the Administrative Agent, such L/C Issuer or such Lender, as the case may be, of any sum adjudged to be so due in the Judgment Currency, the Administrative Agent, such L/C Issuer or such Lender, as the case may be, may in accordance with normal banking procedures purchase the Agreement Currency with the Judgment Currency. If the amount of the Agreement Currency so purchased is less than the sum originally due to the Administrative Agent, any L/C Issuer or any Lender from any Loan Party in the Agreement Currency, such Loan Party agrees, as a separate obligation and notwithstanding any such judgment, to indemnify the Administrative Agent, such L/C Issuer or such Lender, as the case may be, against such loss. If the amount of the Agreement Currency so purchased is greater than the sum originally due to the Administrative Agent, any L/C Issuer or any Lender in such currency, the Administrative Agent, such L/C Issuer or such Lender, as the case may be, agrees to return the amount of any excess to such Loan Party (or to any other Person that may be entitled thereto under applicable Law).</w:t>
      </w:r>
    </w:p>
    <w:p>
      <w:pPr>
        <w:spacing w:after="0" w:line="17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11.18.</w:t>
      </w:r>
      <w:r>
        <w:rPr>
          <w:sz w:val="20"/>
          <w:szCs w:val="20"/>
          <w:color w:val="auto"/>
        </w:rPr>
        <w:tab/>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718"/>
        <w:spacing w:after="0" w:line="255" w:lineRule="auto"/>
        <w:tabs>
          <w:tab w:leader="none" w:pos="12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Loan Party with respect to the Loan Documents and the transactions contemplated herein and therein and not as a financial advisor or a fiduciary to, or an agent of, such Loan Party or any other person. Each Loan Party agrees that it will not assert any claim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155</w:t>
      </w:r>
    </w:p>
    <w:p>
      <w:pPr>
        <w:sectPr>
          <w:pgSz w:w="11900" w:h="16838" w:orient="portrait"/>
          <w:cols w:equalWidth="0" w:num="1">
            <w:col w:w="11240"/>
          </w:cols>
          <w:pgMar w:left="320" w:top="1358" w:right="339" w:bottom="1440" w:gutter="0" w:footer="0" w:header="0"/>
        </w:sectPr>
      </w:pPr>
    </w:p>
    <w:bookmarkStart w:id="262" w:name="page263"/>
    <w:bookmarkEnd w:id="262"/>
    <w:p>
      <w:pPr>
        <w:jc w:val="both"/>
        <w:spacing w:after="0" w:line="254" w:lineRule="auto"/>
        <w:rPr>
          <w:sz w:val="20"/>
          <w:szCs w:val="20"/>
          <w:color w:val="auto"/>
        </w:rPr>
      </w:pPr>
      <w:r>
        <w:rPr>
          <w:rFonts w:ascii="Times New Roman" w:cs="Times New Roman" w:eastAsia="Times New Roman" w:hAnsi="Times New Roman"/>
          <w:sz w:val="21"/>
          <w:szCs w:val="21"/>
          <w:color w:val="auto"/>
        </w:rPr>
        <w:t>Credit Party based on an alleged breach of fiduciary duty by such Credit Party in connection with this Agreement and the transactions contemplated hereby. Additionally, each Loan Party acknowledges and agrees that no Credit Party is advising such Loan Party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spacing w:after="0" w:line="163" w:lineRule="exact"/>
        <w:rPr>
          <w:sz w:val="20"/>
          <w:szCs w:val="20"/>
          <w:color w:val="auto"/>
        </w:rPr>
      </w:pPr>
    </w:p>
    <w:p>
      <w:pPr>
        <w:jc w:val="both"/>
        <w:ind w:firstLine="718"/>
        <w:spacing w:after="0" w:line="251" w:lineRule="auto"/>
        <w:tabs>
          <w:tab w:leader="none" w:pos="1264"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Loan Party further acknowledges and agrees, and acknowledges its Subsidiaries’ understanding, that each Credit Party, together with its Affiliates, </w:t>
      </w:r>
      <w:r>
        <w:rPr>
          <w:rFonts w:ascii="Times New Roman" w:cs="Times New Roman" w:eastAsia="Times New Roman" w:hAnsi="Times New Roman"/>
          <w:sz w:val="21"/>
          <w:szCs w:val="21"/>
          <w:b w:val="1"/>
          <w:bCs w:val="1"/>
          <w:u w:val="single" w:color="auto"/>
          <w:color w:val="0000FF"/>
        </w:rPr>
        <w:t>in addition to providing or participating in commercial lending facilities such as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provided hereunder,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is a full service securities or banking firm engaged in securities trading and brokerage activities as well as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7" w:lineRule="exact"/>
        <w:rPr>
          <w:rFonts w:ascii="Times New Roman" w:cs="Times New Roman" w:eastAsia="Times New Roman" w:hAnsi="Times New Roman"/>
          <w:sz w:val="21"/>
          <w:szCs w:val="21"/>
          <w:color w:val="auto"/>
        </w:rPr>
      </w:pPr>
    </w:p>
    <w:p>
      <w:pPr>
        <w:jc w:val="both"/>
        <w:ind w:firstLine="718"/>
        <w:spacing w:after="0" w:line="249" w:lineRule="auto"/>
        <w:tabs>
          <w:tab w:leader="none" w:pos="1265"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or any of its Subsidiaries by virtue of the transactions contemplated by the Loan Documents or its other relationships with the Borrower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9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SECTION 11.19. </w:t>
      </w:r>
      <w:r>
        <w:rPr>
          <w:rFonts w:ascii="Times New Roman" w:cs="Times New Roman" w:eastAsia="Times New Roman" w:hAnsi="Times New Roman"/>
          <w:sz w:val="21"/>
          <w:szCs w:val="21"/>
          <w:u w:val="single" w:color="auto"/>
          <w:color w:val="auto"/>
        </w:rPr>
        <w:t>Acknowledgement and Consent of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156</w:t>
      </w:r>
    </w:p>
    <w:p>
      <w:pPr>
        <w:sectPr>
          <w:pgSz w:w="11900" w:h="16838" w:orient="portrait"/>
          <w:cols w:equalWidth="0" w:num="1">
            <w:col w:w="11240"/>
          </w:cols>
          <w:pgMar w:left="320" w:top="1358" w:right="339" w:bottom="1440" w:gutter="0" w:footer="0" w:header="0"/>
        </w:sectPr>
      </w:pPr>
    </w:p>
    <w:bookmarkStart w:id="263" w:name="page264"/>
    <w:bookmarkEnd w:id="263"/>
    <w:p>
      <w:pPr>
        <w:ind w:firstLine="718"/>
        <w:spacing w:after="0" w:line="285" w:lineRule="auto"/>
        <w:tabs>
          <w:tab w:leader="none" w:pos="1265"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1" w:lineRule="exact"/>
        <w:rPr>
          <w:rFonts w:ascii="Times New Roman" w:cs="Times New Roman" w:eastAsia="Times New Roman" w:hAnsi="Times New Roman"/>
          <w:sz w:val="21"/>
          <w:szCs w:val="21"/>
          <w:color w:val="auto"/>
        </w:rPr>
      </w:pPr>
    </w:p>
    <w:p>
      <w:pPr>
        <w:ind w:left="1260" w:hanging="542"/>
        <w:spacing w:after="0"/>
        <w:tabs>
          <w:tab w:leader="none" w:pos="126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235"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61" w:lineRule="auto"/>
        <w:tabs>
          <w:tab w:leader="none" w:pos="1906"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1" w:lineRule="exact"/>
        <w:rPr>
          <w:rFonts w:ascii="Times New Roman" w:cs="Times New Roman" w:eastAsia="Times New Roman" w:hAnsi="Times New Roman"/>
          <w:sz w:val="21"/>
          <w:szCs w:val="21"/>
          <w:color w:val="auto"/>
        </w:rPr>
      </w:pPr>
    </w:p>
    <w:p>
      <w:pPr>
        <w:ind w:left="640" w:firstLine="638"/>
        <w:spacing w:after="0" w:line="285" w:lineRule="auto"/>
        <w:tabs>
          <w:tab w:leader="none" w:pos="1912"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2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21"/>
          <w:szCs w:val="21"/>
          <w:color w:val="auto"/>
        </w:rPr>
        <w:t xml:space="preserve">SECTION 11.20.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157</w:t>
      </w:r>
    </w:p>
    <w:p>
      <w:pPr>
        <w:sectPr>
          <w:pgSz w:w="11900" w:h="16838" w:orient="portrait"/>
          <w:cols w:equalWidth="0" w:num="1">
            <w:col w:w="11240"/>
          </w:cols>
          <w:pgMar w:left="320" w:top="1371" w:right="339" w:bottom="1440" w:gutter="0" w:footer="0" w:header="0"/>
        </w:sectPr>
      </w:pPr>
    </w:p>
    <w:bookmarkStart w:id="264" w:name="page265"/>
    <w:bookmarkEnd w:id="264"/>
    <w:p>
      <w:pPr>
        <w:jc w:val="both"/>
        <w:spacing w:after="0" w:line="261" w:lineRule="auto"/>
        <w:rPr>
          <w:sz w:val="20"/>
          <w:szCs w:val="20"/>
          <w:color w:val="auto"/>
        </w:rPr>
      </w:pPr>
      <w:r>
        <w:rPr>
          <w:rFonts w:ascii="Times New Roman" w:cs="Times New Roman" w:eastAsia="Times New Roman" w:hAnsi="Times New Roman"/>
          <w:sz w:val="21"/>
          <w:szCs w:val="21"/>
          <w:color w:val="auto"/>
        </w:rPr>
        <w:t>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158</w:t>
      </w:r>
    </w:p>
    <w:p>
      <w:pPr>
        <w:sectPr>
          <w:pgSz w:w="11900" w:h="16838" w:orient="portrait"/>
          <w:cols w:equalWidth="0" w:num="1">
            <w:col w:w="11240"/>
          </w:cols>
          <w:pgMar w:left="320" w:top="1358" w:right="339" w:bottom="1440" w:gutter="0" w:footer="0" w:header="0"/>
        </w:sectPr>
      </w:pPr>
    </w:p>
    <w:bookmarkStart w:id="265" w:name="page266"/>
    <w:bookmarkEnd w:id="265"/>
    <w:p>
      <w:pPr>
        <w:spacing w:after="0" w:line="236"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by their respective officers thereunto duly authorized, as of the date first above written.</w:t>
      </w:r>
    </w:p>
    <w:p>
      <w:pPr>
        <w:spacing w:after="0" w:line="1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INCYTE CORPORATION, as Borrower</w:t>
      </w: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-151130</wp:posOffset>
            </wp:positionV>
            <wp:extent cx="29616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INCYTE HOLDINGS CORPORATION, as a Subsidiary</w:t>
      </w: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Guarantor</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-151130</wp:posOffset>
            </wp:positionV>
            <wp:extent cx="29616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303" w:lineRule="exact"/>
        <w:rPr>
          <w:sz w:val="20"/>
          <w:szCs w:val="20"/>
          <w:color w:val="auto"/>
        </w:rPr>
      </w:pPr>
    </w:p>
    <w:p>
      <w:pPr>
        <w:ind w:left="4460"/>
        <w:spacing w:after="0" w:line="285" w:lineRule="auto"/>
        <w:rPr>
          <w:sz w:val="20"/>
          <w:szCs w:val="20"/>
          <w:color w:val="auto"/>
        </w:rPr>
      </w:pPr>
      <w:r>
        <w:rPr>
          <w:rFonts w:ascii="Times New Roman" w:cs="Times New Roman" w:eastAsia="Times New Roman" w:hAnsi="Times New Roman"/>
          <w:sz w:val="21"/>
          <w:szCs w:val="21"/>
          <w:color w:val="auto"/>
        </w:rPr>
        <w:t>JPMORGAN CHASE BANK, N.A., individually as a Lender, as a L/C Issuer and as Administrative Agent</w:t>
      </w:r>
    </w:p>
    <w:p>
      <w:pPr>
        <w:spacing w:after="0" w:line="3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960"/>
          </w:cols>
          <w:pgMar w:left="1440" w:top="1440" w:right="499" w:bottom="1440" w:gutter="0" w:footer="0" w:header="0"/>
        </w:sectPr>
      </w:pPr>
    </w:p>
    <w:bookmarkStart w:id="267" w:name="page268"/>
    <w:bookmarkEnd w:id="267"/>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BANK OF AMERICA, N.A., individually as a Lender</w:t>
      </w: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80"/>
          </w:cols>
          <w:pgMar w:left="1440" w:top="1440" w:right="1379" w:bottom="1440" w:gutter="0" w:footer="0" w:header="0"/>
        </w:sectPr>
      </w:pPr>
    </w:p>
    <w:bookmarkStart w:id="268" w:name="page269"/>
    <w:bookmarkEnd w:id="268"/>
    <w:p>
      <w:pPr>
        <w:spacing w:after="0" w:line="302"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1"/>
          <w:szCs w:val="21"/>
          <w:color w:val="auto"/>
        </w:rPr>
        <w:t>BARCLAYS BANK PLC, individually as a Lender</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19"/>
          </w:cols>
          <w:pgMar w:left="1440" w:top="1440" w:right="1440" w:bottom="1440" w:gutter="0" w:footer="0" w:header="0"/>
        </w:sectPr>
      </w:pPr>
    </w:p>
    <w:bookmarkStart w:id="269" w:name="page270"/>
    <w:bookmarkEnd w:id="269"/>
    <w:p>
      <w:pPr>
        <w:spacing w:after="0" w:line="302"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21"/>
          <w:szCs w:val="21"/>
          <w:color w:val="auto"/>
        </w:rPr>
        <w:t>CITIZENS BANK, N.A., individually as a Lender</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19"/>
          </w:cols>
          <w:pgMar w:left="1440" w:top="1440" w:right="1440" w:bottom="1440" w:gutter="0" w:footer="0" w:header="0"/>
        </w:sectPr>
      </w:pPr>
    </w:p>
    <w:bookmarkStart w:id="270" w:name="page271"/>
    <w:bookmarkEnd w:id="270"/>
    <w:p>
      <w:pPr>
        <w:spacing w:after="0" w:line="302" w:lineRule="exact"/>
        <w:rPr>
          <w:sz w:val="20"/>
          <w:szCs w:val="20"/>
          <w:color w:val="auto"/>
        </w:rPr>
      </w:pPr>
    </w:p>
    <w:p>
      <w:pPr>
        <w:ind w:left="4460"/>
        <w:spacing w:after="0" w:line="285" w:lineRule="auto"/>
        <w:rPr>
          <w:sz w:val="20"/>
          <w:szCs w:val="20"/>
          <w:color w:val="auto"/>
        </w:rPr>
      </w:pPr>
      <w:r>
        <w:rPr>
          <w:rFonts w:ascii="Times New Roman" w:cs="Times New Roman" w:eastAsia="Times New Roman" w:hAnsi="Times New Roman"/>
          <w:sz w:val="21"/>
          <w:szCs w:val="21"/>
          <w:color w:val="auto"/>
        </w:rPr>
        <w:t>GOLDMAN SACHS LENDING PARTNERS LLC, individually as a Lender</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960"/>
          </w:cols>
          <w:pgMar w:left="1440" w:top="1440" w:right="499" w:bottom="1440" w:gutter="0" w:footer="0" w:header="0"/>
        </w:sectPr>
      </w:pPr>
    </w:p>
    <w:bookmarkStart w:id="271" w:name="page272"/>
    <w:bookmarkEnd w:id="271"/>
    <w:p>
      <w:pPr>
        <w:spacing w:after="0" w:line="302"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1"/>
          <w:szCs w:val="21"/>
          <w:color w:val="auto"/>
        </w:rPr>
        <w:t>HSBC BANK USA, N.A., individually as a Lender</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19"/>
          </w:cols>
          <w:pgMar w:left="1440" w:top="1440" w:right="1440" w:bottom="1440" w:gutter="0" w:footer="0" w:header="0"/>
        </w:sectPr>
      </w:pPr>
    </w:p>
    <w:bookmarkStart w:id="272" w:name="page273"/>
    <w:bookmarkEnd w:id="272"/>
    <w:p>
      <w:pPr>
        <w:spacing w:after="0" w:line="30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1"/>
          <w:szCs w:val="21"/>
          <w:color w:val="auto"/>
        </w:rPr>
        <w:t>MIZUHO BANK, LTD., individually as a Lender</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19"/>
          </w:cols>
          <w:pgMar w:left="1440" w:top="1440" w:right="1440" w:bottom="1440" w:gutter="0" w:footer="0" w:header="0"/>
        </w:sectPr>
      </w:pPr>
    </w:p>
    <w:bookmarkStart w:id="273" w:name="page274"/>
    <w:bookmarkEnd w:id="273"/>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MORGAN STANLEY BANK, N.A., individually as a Lender</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740"/>
          </w:cols>
          <w:pgMar w:left="1440" w:top="1440" w:right="719" w:bottom="1440" w:gutter="0" w:footer="0" w:header="0"/>
        </w:sectPr>
      </w:pPr>
    </w:p>
    <w:bookmarkStart w:id="274" w:name="page275"/>
    <w:bookmarkEnd w:id="274"/>
    <w:p>
      <w:pPr>
        <w:spacing w:after="0" w:line="302" w:lineRule="exact"/>
        <w:rPr>
          <w:sz w:val="20"/>
          <w:szCs w:val="20"/>
          <w:color w:val="auto"/>
        </w:rPr>
      </w:pPr>
    </w:p>
    <w:p>
      <w:pPr>
        <w:ind w:left="4460" w:right="19"/>
        <w:spacing w:after="0" w:line="285" w:lineRule="auto"/>
        <w:rPr>
          <w:sz w:val="20"/>
          <w:szCs w:val="20"/>
          <w:color w:val="auto"/>
        </w:rPr>
      </w:pPr>
      <w:r>
        <w:rPr>
          <w:rFonts w:ascii="Times New Roman" w:cs="Times New Roman" w:eastAsia="Times New Roman" w:hAnsi="Times New Roman"/>
          <w:sz w:val="21"/>
          <w:szCs w:val="21"/>
          <w:color w:val="auto"/>
        </w:rPr>
        <w:t>SUMITOMO MITSUI BANKING CORPORATION, individually as a Lender</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019"/>
          </w:cols>
          <w:pgMar w:left="1440" w:top="1440" w:right="1440" w:bottom="1440" w:gutter="0" w:footer="0" w:header="0"/>
        </w:sectPr>
      </w:pPr>
    </w:p>
    <w:bookmarkStart w:id="275" w:name="page276"/>
    <w:bookmarkEnd w:id="275"/>
    <w:p>
      <w:pPr>
        <w:spacing w:after="0" w:line="302" w:lineRule="exact"/>
        <w:rPr>
          <w:sz w:val="20"/>
          <w:szCs w:val="20"/>
          <w:color w:val="auto"/>
        </w:rPr>
      </w:pPr>
    </w:p>
    <w:p>
      <w:pPr>
        <w:ind w:left="4460"/>
        <w:spacing w:after="0" w:line="285" w:lineRule="auto"/>
        <w:rPr>
          <w:sz w:val="20"/>
          <w:szCs w:val="20"/>
          <w:color w:val="auto"/>
        </w:rPr>
      </w:pPr>
      <w:r>
        <w:rPr>
          <w:rFonts w:ascii="Times New Roman" w:cs="Times New Roman" w:eastAsia="Times New Roman" w:hAnsi="Times New Roman"/>
          <w:sz w:val="21"/>
          <w:szCs w:val="21"/>
          <w:color w:val="auto"/>
        </w:rPr>
        <w:t>U.S. BANK NATIONAL ASSOCIATION, individually as a Lender</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-151130</wp:posOffset>
            </wp:positionV>
            <wp:extent cx="29616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Signature Page to Revolving Credit and Guaranty Agreement</w:t>
      </w:r>
    </w:p>
    <w:p>
      <w:pPr>
        <w:spacing w:after="0" w:line="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Incyte Corporation</w:t>
      </w:r>
    </w:p>
    <w:p>
      <w:pPr>
        <w:sectPr>
          <w:pgSz w:w="11900" w:h="16838" w:orient="portrait"/>
          <w:cols w:equalWidth="0" w:num="1">
            <w:col w:w="9560"/>
          </w:cols>
          <w:pgMar w:left="1440" w:top="1440" w:right="89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126"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3373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126"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6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2024,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126"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2024,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July 30, 2024</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x"/>
      <w:numFmt w:val="bullet"/>
      <w:start w:val="1"/>
    </w:lvl>
  </w:abstractNum>
  <w:abstractNum w:abstractNumId="1">
    <w:nsid w:val="3C5991AA"/>
    <w:multiLevelType w:val="hybridMultilevel"/>
    <w:lvl w:ilvl="0">
      <w:lvlJc w:val="left"/>
      <w:lvlText w:val="o"/>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1."/>
      <w:numFmt w:val="decimal"/>
      <w:start w:val="1"/>
    </w:lvl>
  </w:abstractNum>
  <w:abstractNum w:abstractNumId="10">
    <w:nsid w:val="4C9B0904"/>
    <w:multiLevelType w:val="hybridMultilevel"/>
    <w:lvl w:ilvl="0">
      <w:lvlJc w:val="left"/>
      <w:lvlText w:val="%1)"/>
      <w:numFmt w:val="decimal"/>
      <w:start w:val="2"/>
    </w:lvl>
  </w:abstractNum>
  <w:abstractNum w:abstractNumId="11">
    <w:nsid w:val="6AA7B75C"/>
    <w:multiLevelType w:val="hybridMultilevel"/>
    <w:lvl w:ilvl="0">
      <w:lvlJc w:val="left"/>
      <w:lvlText w:val="%1."/>
      <w:numFmt w:val="decimal"/>
      <w:start w:val="1"/>
    </w:lvl>
  </w:abstractNum>
  <w:abstractNum w:abstractNumId="12">
    <w:nsid w:val="1DF029D3"/>
    <w:multiLevelType w:val="hybridMultilevel"/>
    <w:lvl w:ilvl="0">
      <w:lvlJc w:val="left"/>
      <w:lvlText w:val="%1."/>
      <w:numFmt w:val="decimal"/>
      <w:start w:val="2"/>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1)"/>
      <w:numFmt w:val="decimal"/>
      <w:start w:val="1"/>
    </w:lvl>
  </w:abstractNum>
  <w:abstractNum w:abstractNumId="28">
    <w:nsid w:val="5046B5A9"/>
    <w:multiLevelType w:val="hybridMultilevel"/>
    <w:lvl w:ilvl="0">
      <w:lvlJc w:val="left"/>
      <w:lvlText w:val="(%1)"/>
      <w:numFmt w:val="lowerLetter"/>
      <w:start w:val="3"/>
    </w:lvl>
  </w:abstractNum>
  <w:abstractNum w:abstractNumId="29">
    <w:nsid w:val="5D888A08"/>
    <w:multiLevelType w:val="hybridMultilevel"/>
    <w:lvl w:ilvl="0">
      <w:lvlJc w:val="left"/>
      <w:lvlText w:val="*"/>
      <w:numFmt w:val="bullet"/>
      <w:start w:val="1"/>
    </w:lvl>
    <w:lvl w:ilvl="1">
      <w:lvlJc w:val="left"/>
      <w:lvlText w:val="%2"/>
      <w:numFmt w:val="decimal"/>
      <w:start w:val="104"/>
    </w:lvl>
  </w:abstractNum>
  <w:abstractNum w:abstractNumId="30">
    <w:nsid w:val="2A082C70"/>
    <w:multiLevelType w:val="hybridMultilevel"/>
    <w:lvl w:ilvl="0">
      <w:lvlJc w:val="left"/>
      <w:lvlText w:val="**"/>
      <w:numFmt w:val="bullet"/>
      <w:start w:val="1"/>
    </w:lvl>
    <w:lvl w:ilvl="1">
      <w:lvlJc w:val="left"/>
      <w:lvlText w:val="%2"/>
      <w:numFmt w:val="decimal"/>
      <w:start w:val="1"/>
    </w:lvl>
  </w:abstractNum>
  <w:abstractNum w:abstractNumId="31">
    <w:nsid w:val="5EC6AFD4"/>
    <w:multiLevelType w:val="hybridMultilevel"/>
    <w:lvl w:ilvl="0">
      <w:lvlJc w:val="left"/>
      <w:lvlText w:val="%1."/>
      <w:numFmt w:val="decimal"/>
      <w:start w:val="1"/>
    </w:lvl>
  </w:abstractNum>
  <w:abstractNum w:abstractNumId="32">
    <w:nsid w:val="19E21BB2"/>
    <w:multiLevelType w:val="hybridMultilevel"/>
    <w:lvl w:ilvl="0">
      <w:lvlJc w:val="left"/>
      <w:lvlText w:val="(%1)"/>
      <w:numFmt w:val="lowerLetter"/>
      <w:start w:val="1"/>
    </w:lvl>
  </w:abstractNum>
  <w:abstractNum w:abstractNumId="33">
    <w:nsid w:val="75E0858A"/>
    <w:multiLevelType w:val="hybridMultilevel"/>
    <w:lvl w:ilvl="0">
      <w:lvlJc w:val="left"/>
      <w:lvlText w:val="(%1)"/>
      <w:numFmt w:val="lowerLetter"/>
      <w:start w:val="2"/>
    </w:lvl>
    <w:lvl w:ilvl="1">
      <w:lvlJc w:val="left"/>
      <w:lvlText w:val="(%2)"/>
      <w:numFmt w:val="lowerRoman"/>
      <w:start w:val="1"/>
    </w:lvl>
  </w:abstractNum>
  <w:abstractNum w:abstractNumId="34">
    <w:nsid w:val="57A61A29"/>
    <w:multiLevelType w:val="hybridMultilevel"/>
    <w:lvl w:ilvl="0">
      <w:lvlJc w:val="left"/>
      <w:lvlText w:val="%1."/>
      <w:numFmt w:val="decimal"/>
      <w:start w:val="3"/>
    </w:lvl>
  </w:abstractNum>
  <w:abstractNum w:abstractNumId="35">
    <w:nsid w:val="5399C654"/>
    <w:multiLevelType w:val="hybridMultilevel"/>
    <w:lvl w:ilvl="0">
      <w:lvlJc w:val="left"/>
      <w:lvlText w:val="(%1)"/>
      <w:numFmt w:val="lowerLetter"/>
      <w:start w:val="1"/>
    </w:lvl>
  </w:abstractNum>
  <w:abstractNum w:abstractNumId="36">
    <w:nsid w:val="20EE1348"/>
    <w:multiLevelType w:val="hybridMultilevel"/>
    <w:lvl w:ilvl="0">
      <w:lvlJc w:val="left"/>
      <w:lvlText w:val="%1"/>
      <w:numFmt w:val="lowerLetter"/>
      <w:start w:val="1"/>
    </w:lvl>
    <w:lvl w:ilvl="1">
      <w:lvlJc w:val="left"/>
      <w:lvlText w:val="(%2)"/>
      <w:numFmt w:val="lowerLetter"/>
      <w:start w:val="2"/>
    </w:lvl>
  </w:abstractNum>
  <w:abstractNum w:abstractNumId="37">
    <w:nsid w:val="4427069A"/>
    <w:multiLevelType w:val="hybridMultilevel"/>
    <w:lvl w:ilvl="0">
      <w:lvlJc w:val="left"/>
      <w:lvlText w:val="(%1)"/>
      <w:numFmt w:val="lowerLetter"/>
      <w:start w:val="24"/>
    </w:lvl>
    <w:lvl w:ilvl="1">
      <w:lvlJc w:val="left"/>
      <w:lvlText w:val="%2"/>
      <w:numFmt w:val="lowerLetter"/>
      <w:start w:val="1"/>
    </w:lvl>
  </w:abstractNum>
  <w:abstractNum w:abstractNumId="38">
    <w:nsid w:val="B37E80A"/>
    <w:multiLevelType w:val="hybridMultilevel"/>
    <w:lvl w:ilvl="0">
      <w:lvlJc w:val="left"/>
      <w:lvlText w:val="%1."/>
      <w:numFmt w:val="decimal"/>
      <w:start w:val="4"/>
    </w:lvl>
  </w:abstractNum>
  <w:abstractNum w:abstractNumId="39">
    <w:nsid w:val="2157F6BC"/>
    <w:multiLevelType w:val="hybridMultilevel"/>
    <w:lvl w:ilvl="0">
      <w:lvlJc w:val="left"/>
      <w:lvlText w:val="(%1)"/>
      <w:numFmt w:val="lowerLetter"/>
      <w:start w:val="1"/>
    </w:lvl>
  </w:abstractNum>
  <w:abstractNum w:abstractNumId="40">
    <w:nsid w:val="704E1DD5"/>
    <w:multiLevelType w:val="hybridMultilevel"/>
    <w:lvl w:ilvl="0">
      <w:lvlJc w:val="left"/>
      <w:lvlText w:val="%1."/>
      <w:numFmt w:val="decimal"/>
      <w:start w:val="5"/>
    </w:lvl>
  </w:abstractNum>
  <w:abstractNum w:abstractNumId="41">
    <w:nsid w:val="57D2F10E"/>
    <w:multiLevelType w:val="hybridMultilevel"/>
    <w:lvl w:ilvl="0">
      <w:lvlJc w:val="left"/>
      <w:lvlText w:val="A"/>
      <w:numFmt w:val="bullet"/>
      <w:start w:val="1"/>
    </w:lvl>
  </w:abstractNum>
  <w:abstractNum w:abstractNumId="42">
    <w:nsid w:val="BFFAE18"/>
    <w:multiLevelType w:val="hybridMultilevel"/>
    <w:lvl w:ilvl="0">
      <w:lvlJc w:val="left"/>
      <w:lvlText w:val="(%1)"/>
      <w:numFmt w:val="lowerLetter"/>
      <w:start w:val="1"/>
    </w:lvl>
  </w:abstractNum>
  <w:abstractNum w:abstractNumId="43">
    <w:nsid w:val="E3E47A8"/>
    <w:multiLevelType w:val="hybridMultilevel"/>
    <w:lvl w:ilvl="0">
      <w:lvlJc w:val="left"/>
      <w:lvlText w:val="(%1)"/>
      <w:numFmt w:val="decimal"/>
      <w:start w:val="70"/>
    </w:lvl>
  </w:abstractNum>
  <w:abstractNum w:abstractNumId="44">
    <w:nsid w:val="2E48F044"/>
    <w:multiLevelType w:val="hybridMultilevel"/>
    <w:lvl w:ilvl="0">
      <w:lvlJc w:val="left"/>
      <w:lvlText w:val="(%1)"/>
      <w:numFmt w:val="lowerLetter"/>
      <w:start w:val="1"/>
    </w:lvl>
  </w:abstractNum>
  <w:abstractNum w:abstractNumId="45">
    <w:nsid w:val="49D0FEAC"/>
    <w:multiLevelType w:val="hybridMultilevel"/>
    <w:lvl w:ilvl="0">
      <w:lvlJc w:val="left"/>
      <w:lvlText w:val="(%1)"/>
      <w:numFmt w:val="lowerRoman"/>
      <w:start w:val="8"/>
    </w:lvl>
    <w:lvl w:ilvl="1">
      <w:lvlJc w:val="left"/>
      <w:lvlText w:val="(%2)"/>
      <w:numFmt w:val="lowerLetter"/>
      <w:start w:val="3"/>
    </w:lvl>
  </w:abstractNum>
  <w:abstractNum w:abstractNumId="46">
    <w:nsid w:val="4BEE5A5B"/>
    <w:multiLevelType w:val="hybridMultilevel"/>
    <w:lvl w:ilvl="0">
      <w:lvlJc w:val="left"/>
      <w:lvlText w:val="(%1)"/>
      <w:numFmt w:val="lowerRoman"/>
      <w:start w:val="8"/>
    </w:lvl>
    <w:lvl w:ilvl="1">
      <w:lvlJc w:val="left"/>
      <w:lvlText w:val="%2"/>
      <w:numFmt w:val="lowerLetter"/>
      <w:start w:val="1"/>
    </w:lvl>
  </w:abstractNum>
  <w:abstractNum w:abstractNumId="47">
    <w:nsid w:val="5551B9F3"/>
    <w:multiLevelType w:val="hybridMultilevel"/>
    <w:lvl w:ilvl="0">
      <w:lvlJc w:val="left"/>
      <w:lvlText w:val="(%1)"/>
      <w:numFmt w:val="lowerLetter"/>
      <w:start w:val="9"/>
    </w:lvl>
  </w:abstractNum>
  <w:abstractNum w:abstractNumId="48">
    <w:nsid w:val="24F6AB8E"/>
    <w:multiLevelType w:val="hybridMultilevel"/>
    <w:lvl w:ilvl="0">
      <w:lvlJc w:val="left"/>
      <w:lvlText w:val="(%1)"/>
      <w:numFmt w:val="lowerLetter"/>
      <w:start w:val="25"/>
    </w:lvl>
  </w:abstractNum>
  <w:abstractNum w:abstractNumId="49">
    <w:nsid w:val="634C574C"/>
    <w:multiLevelType w:val="hybridMultilevel"/>
    <w:lvl w:ilvl="0">
      <w:lvlJc w:val="left"/>
      <w:lvlText w:val="(%1)"/>
      <w:numFmt w:val="lowerRoman"/>
      <w:start w:val="1"/>
    </w:lvl>
  </w:abstractNum>
  <w:abstractNum w:abstractNumId="50">
    <w:nsid w:val="24E99DD7"/>
    <w:multiLevelType w:val="hybridMultilevel"/>
    <w:lvl w:ilvl="0">
      <w:lvlJc w:val="left"/>
      <w:lvlText w:val="(%1)"/>
      <w:numFmt w:val="lowerLetter"/>
      <w:start w:val="1"/>
    </w:lvl>
  </w:abstractNum>
  <w:abstractNum w:abstractNumId="51">
    <w:nsid w:val="2A31B62D"/>
    <w:multiLevelType w:val="hybridMultilevel"/>
    <w:lvl w:ilvl="0">
      <w:lvlJc w:val="left"/>
      <w:lvlText w:val="(%1)"/>
      <w:numFmt w:val="lowerLetter"/>
      <w:start w:val="5"/>
    </w:lvl>
  </w:abstractNum>
  <w:abstractNum w:abstractNumId="52">
    <w:nsid w:val="1849C29B"/>
    <w:multiLevelType w:val="hybridMultilevel"/>
    <w:lvl w:ilvl="0">
      <w:lvlJc w:val="left"/>
      <w:lvlText w:val="(%1)"/>
      <w:numFmt w:val="lowerRoman"/>
      <w:start w:val="1"/>
    </w:lvl>
  </w:abstractNum>
  <w:abstractNum w:abstractNumId="53">
    <w:nsid w:val="7DFF9D09"/>
    <w:multiLevelType w:val="hybridMultilevel"/>
    <w:lvl w:ilvl="0">
      <w:lvlJc w:val="left"/>
      <w:lvlText w:val="(%1)"/>
      <w:numFmt w:val="lowerLetter"/>
      <w:start w:val="1"/>
    </w:lvl>
  </w:abstractNum>
  <w:abstractNum w:abstractNumId="54">
    <w:nsid w:val="754342"/>
    <w:multiLevelType w:val="hybridMultilevel"/>
    <w:lvl w:ilvl="0">
      <w:lvlJc w:val="left"/>
      <w:lvlText w:val="(%1)"/>
      <w:numFmt w:val="lowerLetter"/>
      <w:start w:val="3"/>
    </w:lvl>
  </w:abstractNum>
  <w:abstractNum w:abstractNumId="55">
    <w:nsid w:val="69E7F3E5"/>
    <w:multiLevelType w:val="hybridMultilevel"/>
    <w:lvl w:ilvl="0">
      <w:lvlJc w:val="left"/>
      <w:lvlText w:val="%1"/>
      <w:numFmt w:val="lowerLetter"/>
      <w:start w:val="1"/>
    </w:lvl>
    <w:lvl w:ilvl="1">
      <w:lvlJc w:val="left"/>
      <w:lvlText w:val="(%2)"/>
      <w:numFmt w:val="lowerLetter"/>
      <w:start w:val="11"/>
    </w:lvl>
  </w:abstractNum>
  <w:abstractNum w:abstractNumId="56">
    <w:nsid w:val="2A6DE806"/>
    <w:multiLevelType w:val="hybridMultilevel"/>
    <w:lvl w:ilvl="0">
      <w:lvlJc w:val="left"/>
      <w:lvlText w:val="(%1)"/>
      <w:numFmt w:val="lowerLetter"/>
      <w:start w:val="15"/>
    </w:lvl>
    <w:lvl w:ilvl="1">
      <w:lvlJc w:val="left"/>
      <w:lvlText w:val="%2"/>
      <w:numFmt w:val="lowerLetter"/>
      <w:start w:val="1"/>
    </w:lvl>
  </w:abstractNum>
  <w:abstractNum w:abstractNumId="57">
    <w:nsid w:val="1816F8C4"/>
    <w:multiLevelType w:val="hybridMultilevel"/>
    <w:lvl w:ilvl="0">
      <w:lvlJc w:val="left"/>
      <w:lvlText w:val="(%1)"/>
      <w:numFmt w:val="lowerLetter"/>
      <w:start w:val="1"/>
    </w:lvl>
  </w:abstractNum>
  <w:abstractNum w:abstractNumId="58">
    <w:nsid w:val="37DF2233"/>
    <w:multiLevelType w:val="hybridMultilevel"/>
    <w:lvl w:ilvl="0">
      <w:lvlJc w:val="left"/>
      <w:lvlText w:val="(%1)"/>
      <w:numFmt w:val="lowerLetter"/>
      <w:start w:val="2"/>
    </w:lvl>
  </w:abstractNum>
  <w:abstractNum w:abstractNumId="59">
    <w:nsid w:val="7AB49DAF"/>
    <w:multiLevelType w:val="hybridMultilevel"/>
    <w:lvl w:ilvl="0">
      <w:lvlJc w:val="left"/>
      <w:lvlText w:val="%1"/>
      <w:numFmt w:val="decimal"/>
      <w:start w:val="1"/>
    </w:lvl>
    <w:lvl w:ilvl="1">
      <w:lvlJc w:val="left"/>
      <w:lvlText w:val="(%2)"/>
      <w:numFmt w:val="lowerLetter"/>
      <w:start w:val="2"/>
    </w:lvl>
  </w:abstractNum>
  <w:abstractNum w:abstractNumId="60">
    <w:nsid w:val="759F82CD"/>
    <w:multiLevelType w:val="hybridMultilevel"/>
    <w:lvl w:ilvl="0">
      <w:lvlJc w:val="left"/>
      <w:lvlText w:val="(%1)"/>
      <w:numFmt w:val="decimal"/>
      <w:start w:val="20"/>
    </w:lvl>
    <w:lvl w:ilvl="1">
      <w:lvlJc w:val="left"/>
      <w:lvlText w:val="%2"/>
      <w:numFmt w:val="lowerLetter"/>
      <w:start w:val="1"/>
    </w:lvl>
  </w:abstractNum>
  <w:abstractNum w:abstractNumId="61">
    <w:nsid w:val="61E74EA3"/>
    <w:multiLevelType w:val="hybridMultilevel"/>
    <w:lvl w:ilvl="0">
      <w:lvlJc w:val="left"/>
      <w:lvlText w:val="(%1)"/>
      <w:numFmt w:val="lowerLetter"/>
      <w:start w:val="2"/>
    </w:lvl>
  </w:abstractNum>
  <w:abstractNum w:abstractNumId="62">
    <w:nsid w:val="597B4D84"/>
    <w:multiLevelType w:val="hybridMultilevel"/>
    <w:lvl w:ilvl="0">
      <w:lvlJc w:val="left"/>
      <w:lvlText w:val="(%1)"/>
      <w:numFmt w:val="lowerLetter"/>
      <w:start w:val="5"/>
    </w:lvl>
  </w:abstractNum>
  <w:abstractNum w:abstractNumId="63">
    <w:nsid w:val="F819E7F"/>
    <w:multiLevelType w:val="hybridMultilevel"/>
    <w:lvl w:ilvl="0">
      <w:lvlJc w:val="left"/>
      <w:lvlText w:val="(%1)"/>
      <w:numFmt w:val="lowerLetter"/>
      <w:start w:val="2"/>
    </w:lvl>
  </w:abstractNum>
  <w:abstractNum w:abstractNumId="64">
    <w:nsid w:val="57C7D42D"/>
    <w:multiLevelType w:val="hybridMultilevel"/>
    <w:lvl w:ilvl="0">
      <w:lvlJc w:val="left"/>
      <w:lvlText w:val="(%1)"/>
      <w:numFmt w:val="lowerLetter"/>
      <w:start w:val="3"/>
    </w:lvl>
    <w:lvl w:ilvl="1">
      <w:lvlJc w:val="left"/>
      <w:lvlText w:val="(%2)"/>
      <w:numFmt w:val="lowerRoman"/>
      <w:start w:val="1"/>
    </w:lvl>
  </w:abstractNum>
  <w:abstractNum w:abstractNumId="65">
    <w:nsid w:val="312167AD"/>
    <w:multiLevelType w:val="hybridMultilevel"/>
    <w:lvl w:ilvl="0">
      <w:lvlJc w:val="left"/>
      <w:lvlText w:val="(%1)"/>
      <w:numFmt w:val="lowerLetter"/>
      <w:start w:val="5"/>
    </w:lvl>
    <w:lvl w:ilvl="1">
      <w:lvlJc w:val="left"/>
      <w:lvlText w:val="(%2)"/>
      <w:numFmt w:val="lowerRoman"/>
      <w:start w:val="1"/>
    </w:lvl>
  </w:abstractNum>
  <w:abstractNum w:abstractNumId="66">
    <w:nsid w:val="631B64D4"/>
    <w:multiLevelType w:val="hybridMultilevel"/>
    <w:lvl w:ilvl="0">
      <w:lvlJc w:val="left"/>
      <w:lvlText w:val="(%1)"/>
      <w:numFmt w:val="lowerLetter"/>
      <w:start w:val="9"/>
    </w:lvl>
  </w:abstractNum>
  <w:abstractNum w:abstractNumId="67">
    <w:nsid w:val="78B5E776"/>
    <w:multiLevelType w:val="hybridMultilevel"/>
    <w:lvl w:ilvl="0">
      <w:lvlJc w:val="left"/>
      <w:lvlText w:val="(%1)"/>
      <w:numFmt w:val="upperLetter"/>
      <w:start w:val="4"/>
    </w:lvl>
  </w:abstractNum>
  <w:abstractNum w:abstractNumId="68">
    <w:nsid w:val="75486E47"/>
    <w:multiLevelType w:val="hybridMultilevel"/>
    <w:lvl w:ilvl="0">
      <w:lvlJc w:val="left"/>
      <w:lvlText w:val="(%1)"/>
      <w:numFmt w:val="lowerRoman"/>
      <w:start w:val="2"/>
    </w:lvl>
    <w:lvl w:ilvl="1">
      <w:lvlJc w:val="left"/>
      <w:lvlText w:val="(%2)"/>
      <w:numFmt w:val="upperLetter"/>
      <w:start w:val="1"/>
    </w:lvl>
  </w:abstractNum>
  <w:abstractNum w:abstractNumId="69">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0">
    <w:nsid w:val="1A0DDE3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1">
    <w:nsid w:val="65968C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
    <w:nsid w:val="46263DEC"/>
    <w:multiLevelType w:val="hybridMultilevel"/>
    <w:lvl w:ilvl="0">
      <w:lvlJc w:val="left"/>
      <w:lvlText w:val="(%1)"/>
      <w:numFmt w:val="decimal"/>
      <w:start w:val="2"/>
    </w:lvl>
    <w:lvl w:ilvl="1">
      <w:lvlJc w:val="left"/>
      <w:lvlText w:val="(%2)"/>
      <w:numFmt w:val="lowerRoman"/>
      <w:start w:val="2"/>
    </w:lvl>
  </w:abstractNum>
  <w:abstractNum w:abstractNumId="73">
    <w:nsid w:val="260D8C4A"/>
    <w:multiLevelType w:val="hybridMultilevel"/>
    <w:lvl w:ilvl="0">
      <w:lvlJc w:val="left"/>
      <w:lvlText w:val="%1"/>
      <w:numFmt w:val="decimal"/>
      <w:start w:val="1"/>
    </w:lvl>
    <w:lvl w:ilvl="1">
      <w:lvlJc w:val="left"/>
      <w:lvlText w:val="(%2)"/>
      <w:numFmt w:val="lowerRoman"/>
      <w:start w:val="3"/>
    </w:lvl>
  </w:abstractNum>
  <w:abstractNum w:abstractNumId="74">
    <w:nsid w:val="73D4D3C4"/>
    <w:multiLevelType w:val="hybridMultilevel"/>
    <w:lvl w:ilvl="0">
      <w:lvlJc w:val="left"/>
      <w:lvlText w:val="(%1)"/>
      <w:numFmt w:val="decimal"/>
      <w:start w:val="7"/>
    </w:lvl>
    <w:lvl w:ilvl="1">
      <w:lvlJc w:val="left"/>
      <w:lvlText w:val="(%2)"/>
      <w:numFmt w:val="lowerRoman"/>
      <w:start w:val="4"/>
    </w:lvl>
  </w:abstractNum>
  <w:abstractNum w:abstractNumId="75">
    <w:nsid w:val="746F2E30"/>
    <w:multiLevelType w:val="hybridMultilevel"/>
    <w:lvl w:ilvl="0">
      <w:lvlJc w:val="left"/>
      <w:lvlText w:val="(%1)"/>
      <w:numFmt w:val="lowerLetter"/>
      <w:start w:val="3"/>
    </w:lvl>
    <w:lvl w:ilvl="1">
      <w:lvlJc w:val="left"/>
      <w:lvlText w:val="(%2)"/>
      <w:numFmt w:val="lowerLetter"/>
      <w:start w:val="35"/>
    </w:lvl>
  </w:abstractNum>
  <w:abstractNum w:abstractNumId="76">
    <w:nsid w:val="6FDE8AF6"/>
    <w:multiLevelType w:val="hybridMultilevel"/>
    <w:lvl w:ilvl="0">
      <w:lvlJc w:val="left"/>
      <w:lvlText w:val="(%1)"/>
      <w:numFmt w:val="lowerRoman"/>
      <w:start w:val="3"/>
    </w:lvl>
  </w:abstractNum>
  <w:abstractNum w:abstractNumId="77">
    <w:nsid w:val="3FC32E20"/>
    <w:multiLevelType w:val="hybridMultilevel"/>
    <w:lvl w:ilvl="0">
      <w:lvlJc w:val="left"/>
      <w:lvlText w:val="%1"/>
      <w:numFmt w:val="lowerLetter"/>
      <w:start w:val="1"/>
    </w:lvl>
    <w:lvl w:ilvl="1">
      <w:lvlJc w:val="left"/>
      <w:lvlText w:val="(%2)"/>
      <w:numFmt w:val="lowerRoman"/>
      <w:start w:val="6"/>
    </w:lvl>
  </w:abstractNum>
  <w:abstractNum w:abstractNumId="78">
    <w:nsid w:val="49C0E823"/>
    <w:multiLevelType w:val="hybridMultilevel"/>
    <w:lvl w:ilvl="0">
      <w:lvlJc w:val="left"/>
      <w:lvlText w:val="(%1)"/>
      <w:numFmt w:val="lowerLetter"/>
      <w:start w:val="4"/>
    </w:lvl>
    <w:lvl w:ilvl="1">
      <w:lvlJc w:val="left"/>
      <w:lvlText w:val="%2"/>
      <w:numFmt w:val="lowerRoman"/>
      <w:start w:val="1"/>
    </w:lvl>
  </w:abstractNum>
  <w:abstractNum w:abstractNumId="79">
    <w:nsid w:val="14D53685"/>
    <w:multiLevelType w:val="hybridMultilevel"/>
    <w:lvl w:ilvl="0">
      <w:lvlJc w:val="left"/>
      <w:lvlText w:val="%1"/>
      <w:numFmt w:val="lowerLetter"/>
      <w:start w:val="1"/>
    </w:lvl>
    <w:lvl w:ilvl="1">
      <w:lvlJc w:val="left"/>
      <w:lvlText w:val="(%2)"/>
      <w:numFmt w:val="lowerLetter"/>
      <w:start w:val="35"/>
    </w:lvl>
  </w:abstractNum>
  <w:abstractNum w:abstractNumId="80">
    <w:nsid w:val="230F856C"/>
    <w:multiLevelType w:val="hybridMultilevel"/>
    <w:lvl w:ilvl="0">
      <w:lvlJc w:val="left"/>
      <w:lvlText w:val="(%1)"/>
      <w:numFmt w:val="lowerLetter"/>
      <w:start w:val="5"/>
    </w:lvl>
    <w:lvl w:ilvl="1">
      <w:lvlJc w:val="left"/>
      <w:lvlText w:val="(%2)"/>
      <w:numFmt w:val="lowerLetter"/>
      <w:start w:val="9"/>
    </w:lvl>
  </w:abstractNum>
  <w:abstractNum w:abstractNumId="81">
    <w:nsid w:val="6EAA85FB"/>
    <w:multiLevelType w:val="hybridMultilevel"/>
    <w:lvl w:ilvl="0">
      <w:lvlJc w:val="left"/>
      <w:lvlText w:val="(%1)"/>
      <w:numFmt w:val="lowerRoman"/>
      <w:start w:val="2"/>
    </w:lvl>
  </w:abstractNum>
  <w:abstractNum w:abstractNumId="82">
    <w:nsid w:val="3F06E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83">
    <w:nsid w:val="3B594807"/>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84">
    <w:nsid w:val="6CAA230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5">
    <w:nsid w:val="3F7C2FF4"/>
    <w:multiLevelType w:val="hybridMultilevel"/>
    <w:lvl w:ilvl="0">
      <w:lvlJc w:val="left"/>
      <w:lvlText w:val="(%1)"/>
      <w:numFmt w:val="lowerLetter"/>
      <w:start w:val="7"/>
    </w:lvl>
  </w:abstractNum>
  <w:abstractNum w:abstractNumId="86">
    <w:nsid w:val="25413BEC"/>
    <w:multiLevelType w:val="hybridMultilevel"/>
    <w:lvl w:ilvl="0">
      <w:lvlJc w:val="left"/>
      <w:lvlText w:val="(%1)"/>
      <w:numFmt w:val="lowerLetter"/>
      <w:start w:val="9"/>
    </w:lvl>
  </w:abstractNum>
  <w:abstractNum w:abstractNumId="87">
    <w:nsid w:val="17180B0B"/>
    <w:multiLevelType w:val="hybridMultilevel"/>
    <w:lvl w:ilvl="0">
      <w:lvlJc w:val="left"/>
      <w:lvlText w:val="(%1)"/>
      <w:numFmt w:val="lowerLetter"/>
      <w:start w:val="12"/>
    </w:lvl>
  </w:abstractNum>
  <w:abstractNum w:abstractNumId="88">
    <w:nsid w:val="579328B9"/>
    <w:multiLevelType w:val="hybridMultilevel"/>
    <w:lvl w:ilvl="0">
      <w:lvlJc w:val="left"/>
      <w:lvlText w:val="(%1)"/>
      <w:numFmt w:val="lowerRoman"/>
      <w:start w:val="2"/>
    </w:lvl>
  </w:abstractNum>
  <w:abstractNum w:abstractNumId="89">
    <w:nsid w:val="5D205E20"/>
    <w:multiLevelType w:val="hybridMultilevel"/>
    <w:lvl w:ilvl="0">
      <w:lvlJc w:val="left"/>
      <w:lvlText w:val="(%1)"/>
      <w:numFmt w:val="lowerLetter"/>
      <w:start w:val="2"/>
    </w:lvl>
  </w:abstractNum>
  <w:abstractNum w:abstractNumId="90">
    <w:nsid w:val="11CCA8BA"/>
    <w:multiLevelType w:val="hybridMultilevel"/>
    <w:lvl w:ilvl="0">
      <w:lvlJc w:val="left"/>
      <w:lvlText w:val="(%1)"/>
      <w:numFmt w:val="lowerLetter"/>
      <w:start w:val="2"/>
    </w:lvl>
  </w:abstractNum>
  <w:abstractNum w:abstractNumId="91">
    <w:nsid w:val="4D32AB86"/>
    <w:multiLevelType w:val="hybridMultilevel"/>
    <w:lvl w:ilvl="0">
      <w:lvlJc w:val="left"/>
      <w:lvlText w:val="%1"/>
      <w:numFmt w:val="lowerLetter"/>
      <w:start w:val="1"/>
    </w:lvl>
    <w:lvl w:ilvl="1">
      <w:lvlJc w:val="left"/>
      <w:lvlText w:val="(%2)"/>
      <w:numFmt w:val="lowerLetter"/>
      <w:start w:val="2"/>
    </w:lvl>
  </w:abstractNum>
  <w:abstractNum w:abstractNumId="92">
    <w:nsid w:val="3F07ACC3"/>
    <w:multiLevelType w:val="hybridMultilevel"/>
    <w:lvl w:ilvl="0">
      <w:lvlJc w:val="left"/>
      <w:lvlText w:val="(%1)"/>
      <w:numFmt w:val="lowerLetter"/>
      <w:start w:val="35"/>
    </w:lvl>
    <w:lvl w:ilvl="1">
      <w:lvlJc w:val="left"/>
      <w:lvlText w:val="(%2)"/>
      <w:numFmt w:val="lowerLetter"/>
      <w:start w:val="3"/>
    </w:lvl>
  </w:abstractNum>
  <w:abstractNum w:abstractNumId="93">
    <w:nsid w:val="6B47F63E"/>
    <w:multiLevelType w:val="hybridMultilevel"/>
    <w:lvl w:ilvl="0">
      <w:lvlJc w:val="left"/>
      <w:lvlText w:val="(%1)"/>
      <w:numFmt w:val="lowerLetter"/>
      <w:start w:val="1"/>
    </w:lvl>
  </w:abstractNum>
  <w:abstractNum w:abstractNumId="94">
    <w:nsid w:val="5CB44A05"/>
    <w:multiLevelType w:val="hybridMultilevel"/>
    <w:lvl w:ilvl="0">
      <w:lvlJc w:val="left"/>
      <w:lvlText w:val="(%1)"/>
      <w:numFmt w:val="lowerLetter"/>
      <w:start w:val="2"/>
    </w:lvl>
  </w:abstractNum>
  <w:abstractNum w:abstractNumId="95">
    <w:nsid w:val="16CF80F1"/>
    <w:multiLevelType w:val="hybridMultilevel"/>
    <w:lvl w:ilvl="0">
      <w:lvlJc w:val="left"/>
      <w:lvlText w:val="(%1)"/>
      <w:numFmt w:val="lowerLetter"/>
      <w:start w:val="2"/>
    </w:lvl>
  </w:abstractNum>
  <w:abstractNum w:abstractNumId="96">
    <w:nsid w:val="1C695DEC"/>
    <w:multiLevelType w:val="hybridMultilevel"/>
    <w:lvl w:ilvl="0">
      <w:lvlJc w:val="left"/>
      <w:lvlText w:val="%1"/>
      <w:numFmt w:val="lowerLetter"/>
      <w:start w:val="1"/>
    </w:lvl>
    <w:lvl w:ilvl="1">
      <w:lvlJc w:val="left"/>
      <w:lvlText w:val="(%2)"/>
      <w:numFmt w:val="lowerRoman"/>
      <w:start w:val="2"/>
    </w:lvl>
  </w:abstractNum>
  <w:abstractNum w:abstractNumId="97">
    <w:nsid w:val="3FCFAED9"/>
    <w:multiLevelType w:val="hybridMultilevel"/>
    <w:lvl w:ilvl="0">
      <w:lvlJc w:val="left"/>
      <w:lvlText w:val="(%1)"/>
      <w:numFmt w:val="lowerLetter"/>
      <w:start w:val="3"/>
    </w:lvl>
    <w:lvl w:ilvl="1">
      <w:lvlJc w:val="left"/>
      <w:lvlText w:val="%2"/>
      <w:numFmt w:val="lowerRoman"/>
      <w:start w:val="1"/>
    </w:lvl>
  </w:abstractNum>
  <w:abstractNum w:abstractNumId="98">
    <w:nsid w:val="F856867"/>
    <w:multiLevelType w:val="hybridMultilevel"/>
    <w:lvl w:ilvl="0">
      <w:lvlJc w:val="left"/>
      <w:lvlText w:val="(%1)"/>
      <w:numFmt w:val="lowerRoman"/>
      <w:start w:val="1"/>
    </w:lvl>
  </w:abstractNum>
  <w:abstractNum w:abstractNumId="99">
    <w:nsid w:val="11B1CC33"/>
    <w:multiLevelType w:val="hybridMultilevel"/>
    <w:lvl w:ilvl="0">
      <w:lvlJc w:val="left"/>
      <w:lvlText w:val="(%1)"/>
      <w:numFmt w:val="lowerLetter"/>
      <w:start w:val="2"/>
    </w:lvl>
  </w:abstractNum>
  <w:abstractNum w:abstractNumId="100">
    <w:nsid w:val="2E22FBB7"/>
    <w:multiLevelType w:val="hybridMultilevel"/>
    <w:lvl w:ilvl="0">
      <w:lvlJc w:val="left"/>
      <w:lvlText w:val="%1"/>
      <w:numFmt w:val="lowerLetter"/>
      <w:start w:val="1"/>
    </w:lvl>
    <w:lvl w:ilvl="1">
      <w:lvlJc w:val="left"/>
      <w:lvlText w:val="(%2)"/>
      <w:numFmt w:val="lowerLetter"/>
      <w:start w:val="6"/>
    </w:lvl>
  </w:abstractNum>
  <w:abstractNum w:abstractNumId="101">
    <w:nsid w:val="29934699"/>
    <w:multiLevelType w:val="hybridMultilevel"/>
    <w:lvl w:ilvl="0">
      <w:lvlJc w:val="left"/>
      <w:lvlText w:val="(%1)"/>
      <w:numFmt w:val="lowerLetter"/>
      <w:start w:val="2"/>
    </w:lvl>
    <w:lvl w:ilvl="1">
      <w:lvlJc w:val="left"/>
      <w:lvlText w:val="%2"/>
      <w:numFmt w:val="lowerLetter"/>
      <w:start w:val="1"/>
    </w:lvl>
  </w:abstractNum>
  <w:abstractNum w:abstractNumId="102">
    <w:nsid w:val="77485850"/>
    <w:multiLevelType w:val="hybridMultilevel"/>
    <w:lvl w:ilvl="0">
      <w:lvlJc w:val="left"/>
      <w:lvlText w:val="(%1)"/>
      <w:numFmt w:val="lowerLetter"/>
      <w:start w:val="7"/>
    </w:lvl>
  </w:abstractNum>
  <w:abstractNum w:abstractNumId="103">
    <w:nsid w:val="744939A3"/>
    <w:multiLevelType w:val="hybridMultilevel"/>
    <w:lvl w:ilvl="0">
      <w:lvlJc w:val="left"/>
      <w:lvlText w:val="(%1)"/>
      <w:numFmt w:val="lowerRoman"/>
      <w:start w:val="2"/>
    </w:lvl>
  </w:abstractNum>
  <w:abstractNum w:abstractNumId="104">
    <w:nsid w:val="4FA0D2E3"/>
    <w:multiLevelType w:val="hybridMultilevel"/>
    <w:lvl w:ilvl="0">
      <w:lvlJc w:val="left"/>
      <w:lvlText w:val="%1"/>
      <w:numFmt w:val="lowerLetter"/>
      <w:start w:val="1"/>
    </w:lvl>
    <w:lvl w:ilvl="1">
      <w:lvlJc w:val="left"/>
      <w:lvlText w:val="(%2)"/>
      <w:numFmt w:val="lowerLetter"/>
      <w:start w:val="61"/>
    </w:lvl>
  </w:abstractNum>
  <w:abstractNum w:abstractNumId="105">
    <w:nsid w:val="6B1D2C14"/>
    <w:multiLevelType w:val="hybridMultilevel"/>
    <w:lvl w:ilvl="0">
      <w:lvlJc w:val="left"/>
      <w:lvlText w:val="(%1)"/>
      <w:numFmt w:val="lowerLetter"/>
      <w:start w:val="2"/>
    </w:lvl>
    <w:lvl w:ilvl="1">
      <w:lvlJc w:val="left"/>
      <w:lvlText w:val="%2"/>
      <w:numFmt w:val="lowerLetter"/>
      <w:start w:val="1"/>
    </w:lvl>
  </w:abstractNum>
  <w:abstractNum w:abstractNumId="106">
    <w:nsid w:val="68B867D3"/>
    <w:multiLevelType w:val="hybridMultilevel"/>
    <w:lvl w:ilvl="0">
      <w:lvlJc w:val="left"/>
      <w:lvlText w:val="(%1)"/>
      <w:numFmt w:val="lowerRoman"/>
      <w:start w:val="1"/>
    </w:lvl>
  </w:abstractNum>
  <w:abstractNum w:abstractNumId="107">
    <w:nsid w:val="3F7F5DD9"/>
    <w:multiLevelType w:val="hybridMultilevel"/>
    <w:lvl w:ilvl="0">
      <w:lvlJc w:val="left"/>
      <w:lvlText w:val="%1"/>
      <w:numFmt w:val="lowerLetter"/>
      <w:start w:val="1"/>
    </w:lvl>
    <w:lvl w:ilvl="1">
      <w:lvlJc w:val="left"/>
      <w:lvlText w:val="(%2)"/>
      <w:numFmt w:val="lowerRoman"/>
      <w:start w:val="3"/>
    </w:lvl>
  </w:abstractNum>
  <w:abstractNum w:abstractNumId="108">
    <w:nsid w:val="2AE05A34"/>
    <w:multiLevelType w:val="hybridMultilevel"/>
    <w:lvl w:ilvl="0">
      <w:lvlJc w:val="left"/>
      <w:lvlText w:val="(%1)"/>
      <w:numFmt w:val="lowerLetter"/>
      <w:start w:val="2"/>
    </w:lvl>
    <w:lvl w:ilvl="1">
      <w:lvlJc w:val="left"/>
      <w:lvlText w:val="%2"/>
      <w:numFmt w:val="lowerRoman"/>
      <w:start w:val="1"/>
    </w:lvl>
  </w:abstractNum>
  <w:abstractNum w:abstractNumId="109">
    <w:nsid w:val="32794FF7"/>
    <w:multiLevelType w:val="hybridMultilevel"/>
    <w:lvl w:ilvl="0">
      <w:lvlJc w:val="left"/>
      <w:lvlText w:val="(%1)"/>
      <w:numFmt w:val="lowerLetter"/>
      <w:start w:val="1"/>
    </w:lvl>
    <w:lvl w:ilvl="1">
      <w:lvlJc w:val="left"/>
      <w:lvlText w:val="(%2)"/>
      <w:numFmt w:val="lowerRoman"/>
      <w:start w:val="1"/>
    </w:lvl>
  </w:abstractNum>
  <w:abstractNum w:abstractNumId="110">
    <w:nsid w:val="5454945E"/>
    <w:multiLevelType w:val="hybridMultilevel"/>
    <w:lvl w:ilvl="0">
      <w:lvlJc w:val="left"/>
      <w:lvlText w:val="(%1)"/>
      <w:numFmt w:val="lowerLetter"/>
      <w:start w:val="2"/>
    </w:lvl>
  </w:abstractNum>
  <w:abstractNum w:abstractNumId="111">
    <w:nsid w:val="4DEFDFA0"/>
    <w:multiLevelType w:val="hybridMultilevel"/>
    <w:lvl w:ilvl="0">
      <w:lvlJc w:val="left"/>
      <w:lvlText w:val="(%1)"/>
      <w:numFmt w:val="lowerLetter"/>
      <w:start w:val="5"/>
    </w:lvl>
  </w:abstractNum>
  <w:abstractNum w:abstractNumId="112">
    <w:nsid w:val="2123D5F2"/>
    <w:multiLevelType w:val="hybridMultilevel"/>
    <w:lvl w:ilvl="0">
      <w:lvlJc w:val="left"/>
      <w:lvlText w:val="(%1)"/>
      <w:numFmt w:val="lowerLetter"/>
      <w:start w:val="25"/>
    </w:lvl>
  </w:abstractNum>
  <w:abstractNum w:abstractNumId="113">
    <w:nsid w:val="135B8110"/>
    <w:multiLevelType w:val="hybridMultilevel"/>
    <w:lvl w:ilvl="0">
      <w:lvlJc w:val="left"/>
      <w:lvlText w:val="(%1)"/>
      <w:numFmt w:val="lowerLetter"/>
      <w:start w:val="7"/>
    </w:lvl>
  </w:abstractNum>
  <w:abstractNum w:abstractNumId="114">
    <w:nsid w:val="94927A8"/>
    <w:multiLevelType w:val="hybridMultilevel"/>
    <w:lvl w:ilvl="0">
      <w:lvlJc w:val="left"/>
      <w:lvlText w:val="(%1)"/>
      <w:numFmt w:val="decimal"/>
      <w:start w:val="1"/>
    </w:lvl>
  </w:abstractNum>
  <w:abstractNum w:abstractNumId="115">
    <w:nsid w:val="DCDF8F6"/>
    <w:multiLevelType w:val="hybridMultilevel"/>
    <w:lvl w:ilvl="0">
      <w:lvlJc w:val="left"/>
      <w:lvlText w:val="(%1)"/>
      <w:numFmt w:val="decimal"/>
      <w:start w:val="1"/>
    </w:lvl>
  </w:abstractNum>
  <w:abstractNum w:abstractNumId="116">
    <w:nsid w:val="52D7B105"/>
    <w:multiLevelType w:val="hybridMultilevel"/>
    <w:lvl w:ilvl="0">
      <w:lvlJc w:val="left"/>
      <w:lvlText w:val="(%1)"/>
      <w:numFmt w:val="decimal"/>
      <w:start w:val="2"/>
    </w:lvl>
  </w:abstractNum>
  <w:abstractNum w:abstractNumId="117">
    <w:nsid w:val="2E8A6394"/>
    <w:multiLevelType w:val="hybridMultilevel"/>
    <w:lvl w:ilvl="0">
      <w:lvlJc w:val="left"/>
      <w:lvlText w:val="(%1)"/>
      <w:numFmt w:val="decimal"/>
      <w:start w:val="1"/>
    </w:lvl>
  </w:abstractNum>
  <w:abstractNum w:abstractNumId="118">
    <w:nsid w:val="24E60401"/>
    <w:multiLevelType w:val="hybridMultilevel"/>
    <w:lvl w:ilvl="0">
      <w:lvlJc w:val="left"/>
      <w:lvlText w:val="(%1)"/>
      <w:numFmt w:val="decimal"/>
      <w:start w:val="3"/>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1)"/>
      <w:numFmt w:val="lowerLetter"/>
      <w:start w:val="2"/>
    </w:lvl>
    <w:lvl w:ilvl="1">
      <w:lvlJc w:val="left"/>
      <w:lvlText w:val="(%2)"/>
      <w:numFmt w:val="lowerLetter"/>
      <w:start w:val="35"/>
    </w:lvl>
  </w:abstractNum>
  <w:abstractNum w:abstractNumId="121">
    <w:nsid w:val="36B2ACBC"/>
    <w:multiLevelType w:val="hybridMultilevel"/>
    <w:lvl w:ilvl="0">
      <w:lvlJc w:val="left"/>
      <w:lvlText w:val="(%1)"/>
      <w:numFmt w:val="lowerLetter"/>
      <w:start w:val="4"/>
    </w:lvl>
  </w:abstractNum>
  <w:abstractNum w:abstractNumId="122">
    <w:nsid w:val="779D8544"/>
    <w:multiLevelType w:val="hybridMultilevel"/>
    <w:lvl w:ilvl="0">
      <w:lvlJc w:val="left"/>
      <w:lvlText w:val="(%1)"/>
      <w:numFmt w:val="lowerRoman"/>
      <w:start w:val="2"/>
    </w:lvl>
    <w:lvl w:ilvl="1">
      <w:lvlJc w:val="left"/>
      <w:lvlText w:val="(%2)"/>
      <w:numFmt w:val="upperLetter"/>
      <w:start w:val="1"/>
    </w:lvl>
  </w:abstractNum>
  <w:abstractNum w:abstractNumId="123">
    <w:nsid w:val="4AB26E78"/>
    <w:multiLevelType w:val="hybridMultilevel"/>
    <w:lvl w:ilvl="0">
      <w:lvlJc w:val="left"/>
      <w:lvlText w:val="(%1)"/>
      <w:numFmt w:val="upperLetter"/>
      <w:start w:val="9"/>
    </w:lvl>
  </w:abstractNum>
  <w:abstractNum w:abstractNumId="124">
    <w:nsid w:val="21FAA2FA"/>
    <w:multiLevelType w:val="hybridMultilevel"/>
    <w:lvl w:ilvl="0">
      <w:lvlJc w:val="left"/>
      <w:lvlText w:val="(%1)"/>
      <w:numFmt w:val="upperLetter"/>
      <w:start w:val="35"/>
    </w:lvl>
  </w:abstractNum>
  <w:abstractNum w:abstractNumId="125">
    <w:nsid w:val="5451CF49"/>
    <w:multiLevelType w:val="hybridMultilevel"/>
    <w:lvl w:ilvl="0">
      <w:lvlJc w:val="left"/>
      <w:lvlText w:val="(%1)"/>
      <w:numFmt w:val="upperLetter"/>
      <w:start w:val="61"/>
    </w:lvl>
  </w:abstractNum>
  <w:abstractNum w:abstractNumId="126">
    <w:nsid w:val="6181EF69"/>
    <w:multiLevelType w:val="hybridMultilevel"/>
    <w:lvl w:ilvl="0">
      <w:lvlJc w:val="left"/>
      <w:lvlText w:val="%1"/>
      <w:numFmt w:val="lowerRoman"/>
      <w:start w:val="1"/>
    </w:lvl>
    <w:lvl w:ilvl="1">
      <w:lvlJc w:val="left"/>
      <w:lvlText w:val="(%2)"/>
      <w:numFmt w:val="upperLetter"/>
      <w:start w:val="22"/>
    </w:lvl>
  </w:abstractNum>
  <w:abstractNum w:abstractNumId="127">
    <w:nsid w:val="3E6400E6"/>
    <w:multiLevelType w:val="hybridMultilevel"/>
    <w:lvl w:ilvl="0">
      <w:lvlJc w:val="left"/>
      <w:lvlText w:val="(%1)"/>
      <w:numFmt w:val="lowerRoman"/>
      <w:start w:val="3"/>
    </w:lvl>
    <w:lvl w:ilvl="1">
      <w:lvlJc w:val="left"/>
      <w:lvlText w:val="%2"/>
      <w:numFmt w:val="upperLetter"/>
      <w:start w:val="1"/>
    </w:lvl>
  </w:abstractNum>
  <w:abstractNum w:abstractNumId="128">
    <w:nsid w:val="14217E23"/>
    <w:multiLevelType w:val="hybridMultilevel"/>
    <w:lvl w:ilvl="0">
      <w:lvlJc w:val="left"/>
      <w:lvlText w:val="(%1)"/>
      <w:numFmt w:val="lowerLetter"/>
      <w:start w:val="6"/>
    </w:lvl>
  </w:abstractNum>
  <w:abstractNum w:abstractNumId="129">
    <w:nsid w:val="710757D0"/>
    <w:multiLevelType w:val="hybridMultilevel"/>
    <w:lvl w:ilvl="0">
      <w:lvlJc w:val="left"/>
      <w:lvlText w:val="(%1)"/>
      <w:numFmt w:val="lowerLetter"/>
      <w:start w:val="1"/>
    </w:lvl>
    <w:lvl w:ilvl="1">
      <w:lvlJc w:val="left"/>
      <w:lvlText w:val="(%2)"/>
      <w:numFmt w:val="lowerRoman"/>
      <w:start w:val="1"/>
    </w:lvl>
  </w:abstractNum>
  <w:abstractNum w:abstractNumId="130">
    <w:nsid w:val="5015CD1A"/>
    <w:multiLevelType w:val="hybridMultilevel"/>
    <w:lvl w:ilvl="0">
      <w:lvlJc w:val="left"/>
      <w:lvlText w:val="(%1)"/>
      <w:numFmt w:val="lowerRoman"/>
      <w:start w:val="3"/>
    </w:lvl>
  </w:abstractNum>
  <w:abstractNum w:abstractNumId="131">
    <w:nsid w:val="424479DA"/>
    <w:multiLevelType w:val="hybridMultilevel"/>
    <w:lvl w:ilvl="0">
      <w:lvlJc w:val="left"/>
      <w:lvlText w:val="(%1)"/>
      <w:numFmt w:val="lowerLetter"/>
      <w:start w:val="2"/>
    </w:lvl>
  </w:abstractNum>
  <w:abstractNum w:abstractNumId="132">
    <w:nsid w:val="1A9A9E69"/>
    <w:multiLevelType w:val="hybridMultilevel"/>
    <w:lvl w:ilvl="0">
      <w:lvlJc w:val="left"/>
      <w:lvlText w:val="(%1)"/>
      <w:numFmt w:val="lowerLetter"/>
      <w:start w:val="4"/>
    </w:lvl>
  </w:abstractNum>
  <w:abstractNum w:abstractNumId="133">
    <w:nsid w:val="475E256A"/>
    <w:multiLevelType w:val="hybridMultilevel"/>
    <w:lvl w:ilvl="0">
      <w:lvlJc w:val="left"/>
      <w:lvlText w:val="%1"/>
      <w:numFmt w:val="decimal"/>
      <w:start w:val="1"/>
    </w:lvl>
    <w:lvl w:ilvl="1">
      <w:lvlJc w:val="left"/>
      <w:lvlText w:val="(%2)"/>
      <w:numFmt w:val="lowerLetter"/>
      <w:start w:val="1"/>
    </w:lvl>
  </w:abstractNum>
  <w:abstractNum w:abstractNumId="134">
    <w:nsid w:val="368DB37E"/>
    <w:multiLevelType w:val="hybridMultilevel"/>
    <w:lvl w:ilvl="0">
      <w:lvlJc w:val="left"/>
      <w:lvlText w:val="(%1)"/>
      <w:numFmt w:val="decimal"/>
      <w:start w:val="10"/>
    </w:lvl>
    <w:lvl w:ilvl="1">
      <w:lvlJc w:val="left"/>
      <w:lvlText w:val="(%2)"/>
      <w:numFmt w:val="lowerLetter"/>
      <w:start w:val="2"/>
    </w:lvl>
  </w:abstractNum>
  <w:abstractNum w:abstractNumId="135">
    <w:nsid w:val="6A3B714C"/>
    <w:multiLevelType w:val="hybridMultilevel"/>
    <w:lvl w:ilvl="0">
      <w:lvlJc w:val="left"/>
      <w:lvlText w:val="(%1)"/>
      <w:numFmt w:val="lowerLetter"/>
      <w:start w:val="1"/>
    </w:lvl>
    <w:lvl w:ilvl="1">
      <w:lvlJc w:val="left"/>
      <w:lvlText w:val="(%2)"/>
      <w:numFmt w:val="lowerRoman"/>
      <w:start w:val="1"/>
    </w:lvl>
  </w:abstractNum>
  <w:abstractNum w:abstractNumId="136">
    <w:nsid w:val="327B517E"/>
    <w:multiLevelType w:val="hybridMultilevel"/>
    <w:lvl w:ilvl="0">
      <w:lvlJc w:val="left"/>
      <w:lvlText w:val="(%1)"/>
      <w:numFmt w:val="lowerLetter"/>
      <w:start w:val="3"/>
    </w:lvl>
  </w:abstractNum>
  <w:abstractNum w:abstractNumId="137">
    <w:nsid w:val="1F461B51"/>
    <w:multiLevelType w:val="hybridMultilevel"/>
    <w:lvl w:ilvl="0">
      <w:lvlJc w:val="left"/>
      <w:lvlText w:val="(%1)"/>
      <w:numFmt w:val="lowerLetter"/>
      <w:start w:val="1"/>
    </w:lvl>
  </w:abstractNum>
  <w:abstractNum w:abstractNumId="138">
    <w:nsid w:val="29BACF25"/>
    <w:multiLevelType w:val="hybridMultilevel"/>
    <w:lvl w:ilvl="0">
      <w:lvlJc w:val="left"/>
      <w:lvlText w:val="(%1)"/>
      <w:numFmt w:val="lowerLetter"/>
      <w:start w:val="3"/>
    </w:lvl>
  </w:abstractNum>
  <w:abstractNum w:abstractNumId="139">
    <w:nsid w:val="5D5BABB3"/>
    <w:multiLevelType w:val="hybridMultilevel"/>
    <w:lvl w:ilvl="0">
      <w:lvlJc w:val="left"/>
      <w:lvlText w:val="(%1)"/>
      <w:numFmt w:val="lowerLetter"/>
      <w:start w:val="2"/>
    </w:lvl>
  </w:abstractNum>
  <w:abstractNum w:abstractNumId="140">
    <w:nsid w:val="51BF6B48"/>
    <w:multiLevelType w:val="hybridMultilevel"/>
    <w:lvl w:ilvl="0">
      <w:lvlJc w:val="left"/>
      <w:lvlText w:val="(%1)"/>
      <w:numFmt w:val="lowerLetter"/>
      <w:start w:val="1"/>
    </w:lvl>
  </w:abstractNum>
  <w:abstractNum w:abstractNumId="141">
    <w:nsid w:val="7E0F6384"/>
    <w:multiLevelType w:val="hybridMultilevel"/>
    <w:lvl w:ilvl="0">
      <w:lvlJc w:val="left"/>
      <w:lvlText w:val="(%1)"/>
      <w:numFmt w:val="lowerLetter"/>
      <w:start w:val="2"/>
    </w:lvl>
  </w:abstractNum>
  <w:abstractNum w:abstractNumId="142">
    <w:nsid w:val="2B4B8B53"/>
    <w:multiLevelType w:val="hybridMultilevel"/>
    <w:lvl w:ilvl="0">
      <w:lvlJc w:val="left"/>
      <w:lvlText w:val="(%1)"/>
      <w:numFmt w:val="lowerLetter"/>
      <w:start w:val="2"/>
    </w:lvl>
  </w:abstractNum>
  <w:abstractNum w:abstractNumId="143">
    <w:nsid w:val="72E3413A"/>
    <w:multiLevelType w:val="hybridMultilevel"/>
    <w:lvl w:ilvl="0">
      <w:lvlJc w:val="left"/>
      <w:lvlText w:val="(%1)"/>
      <w:numFmt w:val="lowerLetter"/>
      <w:start w:val="1"/>
    </w:lvl>
  </w:abstractNum>
  <w:abstractNum w:abstractNumId="144">
    <w:nsid w:val="116AE494"/>
    <w:multiLevelType w:val="hybridMultilevel"/>
    <w:lvl w:ilvl="0">
      <w:lvlJc w:val="left"/>
      <w:lvlText w:val="(%1)"/>
      <w:numFmt w:val="lowerLetter"/>
      <w:start w:val="1"/>
    </w:lvl>
  </w:abstractNum>
  <w:abstractNum w:abstractNumId="145">
    <w:nsid w:val="3494B2FB"/>
    <w:multiLevelType w:val="hybridMultilevel"/>
    <w:lvl w:ilvl="0">
      <w:lvlJc w:val="left"/>
      <w:lvlText w:val="(%1)"/>
      <w:numFmt w:val="lowerLetter"/>
      <w:start w:val="1"/>
    </w:lvl>
  </w:abstractNum>
  <w:abstractNum w:abstractNumId="146">
    <w:nsid w:val="B13A31"/>
    <w:multiLevelType w:val="hybridMultilevel"/>
    <w:lvl w:ilvl="0">
      <w:lvlJc w:val="left"/>
      <w:lvlText w:val="(%1)"/>
      <w:numFmt w:val="lowerLetter"/>
      <w:start w:val="5"/>
    </w:lvl>
  </w:abstractNum>
  <w:abstractNum w:abstractNumId="147">
    <w:nsid w:val="64429599"/>
    <w:multiLevelType w:val="hybridMultilevel"/>
    <w:lvl w:ilvl="0">
      <w:lvlJc w:val="left"/>
      <w:lvlText w:val="%1"/>
      <w:numFmt w:val="upperLetter"/>
      <w:start w:val="1"/>
    </w:lvl>
    <w:lvl w:ilvl="1">
      <w:lvlJc w:val="left"/>
      <w:lvlText w:val="(%2)"/>
      <w:numFmt w:val="lowerLetter"/>
      <w:start w:val="2"/>
    </w:lvl>
  </w:abstractNum>
  <w:abstractNum w:abstractNumId="148">
    <w:nsid w:val="631F1690"/>
    <w:multiLevelType w:val="hybridMultilevel"/>
    <w:lvl w:ilvl="0">
      <w:lvlJc w:val="left"/>
      <w:lvlText w:val="(%1)"/>
      <w:numFmt w:val="upperLetter"/>
      <w:start w:val="2"/>
    </w:lvl>
    <w:lvl w:ilvl="1">
      <w:lvlJc w:val="left"/>
      <w:lvlText w:val="%2"/>
      <w:numFmt w:val="lowerLetter"/>
      <w:start w:val="1"/>
    </w:lvl>
  </w:abstractNum>
  <w:abstractNum w:abstractNumId="149">
    <w:nsid w:val="25973E32"/>
    <w:multiLevelType w:val="hybridMultilevel"/>
    <w:lvl w:ilvl="0">
      <w:lvlJc w:val="left"/>
      <w:lvlText w:val="%1"/>
      <w:numFmt w:val="lowerLetter"/>
      <w:start w:val="1"/>
    </w:lvl>
    <w:lvl w:ilvl="1">
      <w:lvlJc w:val="left"/>
      <w:lvlText w:val="(%2)"/>
      <w:numFmt w:val="lowerLetter"/>
      <w:start w:val="1"/>
    </w:lvl>
  </w:abstractNum>
  <w:abstractNum w:abstractNumId="150">
    <w:nsid w:val="EAD6F57"/>
    <w:multiLevelType w:val="hybridMultilevel"/>
    <w:lvl w:ilvl="0">
      <w:lvlJc w:val="left"/>
      <w:lvlText w:val="(%1)"/>
      <w:numFmt w:val="lowerLetter"/>
      <w:start w:val="61"/>
    </w:lvl>
    <w:lvl w:ilvl="1">
      <w:lvlJc w:val="left"/>
      <w:lvlText w:val="(%2)"/>
      <w:numFmt w:val="lowerLetter"/>
      <w:start w:val="4"/>
    </w:lvl>
  </w:abstractNum>
  <w:abstractNum w:abstractNumId="151">
    <w:nsid w:val="6EC9D844"/>
    <w:multiLevelType w:val="hybridMultilevel"/>
    <w:lvl w:ilvl="0">
      <w:lvlJc w:val="left"/>
      <w:lvlText w:val="(%1)"/>
      <w:numFmt w:val="lowerLetter"/>
      <w:start w:val="9"/>
    </w:lvl>
    <w:lvl w:ilvl="1">
      <w:lvlJc w:val="left"/>
      <w:lvlText w:val="%2"/>
      <w:numFmt w:val="lowerLetter"/>
      <w:start w:val="1"/>
    </w:lvl>
  </w:abstractNum>
  <w:abstractNum w:abstractNumId="152">
    <w:nsid w:val="5C49EAEE"/>
    <w:multiLevelType w:val="hybridMultilevel"/>
    <w:lvl w:ilvl="0">
      <w:lvlJc w:val="left"/>
      <w:lvlText w:val="(%1)"/>
      <w:numFmt w:val="lowerLetter"/>
      <w:start w:val="5"/>
    </w:lvl>
  </w:abstractNum>
  <w:abstractNum w:abstractNumId="153">
    <w:nsid w:val="64AF49B"/>
    <w:multiLevelType w:val="hybridMultilevel"/>
    <w:lvl w:ilvl="0">
      <w:lvlJc w:val="left"/>
      <w:lvlText w:val="(%1)"/>
      <w:numFmt w:val="lowerLetter"/>
      <w:start w:val="16"/>
    </w:lvl>
  </w:abstractNum>
  <w:abstractNum w:abstractNumId="154">
    <w:nsid w:val="397C46BC"/>
    <w:multiLevelType w:val="hybridMultilevel"/>
    <w:lvl w:ilvl="0">
      <w:lvlJc w:val="left"/>
      <w:lvlText w:val="(%1)"/>
      <w:numFmt w:val="lowerLetter"/>
      <w:start w:val="1"/>
    </w:lvl>
  </w:abstractNum>
  <w:abstractNum w:abstractNumId="155">
    <w:nsid w:val="7E448DE9"/>
    <w:multiLevelType w:val="hybridMultilevel"/>
    <w:lvl w:ilvl="0">
      <w:lvlJc w:val="left"/>
      <w:lvlText w:val="(%1)"/>
      <w:numFmt w:val="lowerLetter"/>
      <w:start w:val="7"/>
    </w:lvl>
  </w:abstractNum>
  <w:abstractNum w:abstractNumId="156">
    <w:nsid w:val="5A9CC3E5"/>
    <w:multiLevelType w:val="hybridMultilevel"/>
    <w:lvl w:ilvl="0">
      <w:lvlJc w:val="left"/>
      <w:lvlText w:val="(%1)"/>
      <w:numFmt w:val="lowerLetter"/>
      <w:start w:val="2"/>
    </w:lvl>
  </w:abstractNum>
  <w:abstractNum w:abstractNumId="157">
    <w:nsid w:val="1AFE3625"/>
    <w:multiLevelType w:val="hybridMultilevel"/>
    <w:lvl w:ilvl="0">
      <w:lvlJc w:val="left"/>
      <w:lvlText w:val="(%1)"/>
      <w:numFmt w:val="lowerLetter"/>
      <w:start w:val="1"/>
    </w:lvl>
  </w:abstractNum>
  <w:abstractNum w:abstractNumId="158">
    <w:nsid w:val="3CA88ECF"/>
    <w:multiLevelType w:val="hybridMultilevel"/>
    <w:lvl w:ilvl="0">
      <w:lvlJc w:val="left"/>
      <w:lvlText w:val="%1"/>
      <w:numFmt w:val="lowerLetter"/>
      <w:start w:val="1"/>
    </w:lvl>
    <w:lvl w:ilvl="1">
      <w:lvlJc w:val="left"/>
      <w:lvlText w:val="(%2)"/>
      <w:numFmt w:val="lowerLetter"/>
      <w:start w:val="2"/>
    </w:lvl>
  </w:abstractNum>
  <w:abstractNum w:abstractNumId="159">
    <w:nsid w:val="6EBE4208"/>
    <w:multiLevelType w:val="hybridMultilevel"/>
    <w:lvl w:ilvl="0">
      <w:lvlJc w:val="left"/>
      <w:lvlText w:val="(%1)"/>
      <w:numFmt w:val="lowerLetter"/>
      <w:start w:val="35"/>
    </w:lvl>
    <w:lvl w:ilvl="1">
      <w:lvlJc w:val="left"/>
      <w:lvlText w:val="(%2)"/>
      <w:numFmt w:val="lowerLetter"/>
      <w:start w:val="10"/>
    </w:lvl>
  </w:abstractNum>
  <w:abstractNum w:abstractNumId="160">
    <w:nsid w:val="C058DF5"/>
    <w:multiLevelType w:val="hybridMultilevel"/>
    <w:lvl w:ilvl="0">
      <w:lvlJc w:val="left"/>
      <w:lvlText w:val="(%1)"/>
      <w:numFmt w:val="lowerLetter"/>
      <w:start w:val="13"/>
    </w:lvl>
  </w:abstractNum>
  <w:abstractNum w:abstractNumId="161">
    <w:nsid w:val="CBE5BE9"/>
    <w:multiLevelType w:val="hybridMultilevel"/>
    <w:lvl w:ilvl="0">
      <w:lvlJc w:val="left"/>
      <w:lvlText w:val="(%1)"/>
      <w:numFmt w:val="lowerLetter"/>
      <w:start w:val="1"/>
    </w:lvl>
  </w:abstractNum>
  <w:abstractNum w:abstractNumId="162">
    <w:nsid w:val="3102BBE2"/>
    <w:multiLevelType w:val="hybridMultilevel"/>
    <w:lvl w:ilvl="0">
      <w:lvlJc w:val="left"/>
      <w:lvlText w:val="(%1)"/>
      <w:numFmt w:val="lowerLetter"/>
      <w:start w:val="2"/>
    </w:lvl>
  </w:abstractNum>
  <w:abstractNum w:abstractNumId="163">
    <w:nsid w:val="26A02C5E"/>
    <w:multiLevelType w:val="hybridMultilevel"/>
    <w:lvl w:ilvl="0">
      <w:lvlJc w:val="left"/>
      <w:lvlText w:val="(%1)"/>
      <w:numFmt w:val="lowerLetter"/>
      <w:start w:val="1"/>
    </w:lvl>
  </w:abstractNum>
  <w:abstractNum w:abstractNumId="164">
    <w:nsid w:val="541C8153"/>
    <w:multiLevelType w:val="hybridMultilevel"/>
    <w:lvl w:ilvl="0">
      <w:lvlJc w:val="left"/>
      <w:lvlText w:val="(%1)"/>
      <w:numFmt w:val="lowerLetter"/>
      <w:start w:val="6"/>
    </w:lvl>
  </w:abstractNum>
  <w:abstractNum w:abstractNumId="165">
    <w:nsid w:val="67906F60"/>
    <w:multiLevelType w:val="hybridMultilevel"/>
    <w:lvl w:ilvl="0">
      <w:lvlJc w:val="left"/>
      <w:lvlText w:val="(%1)"/>
      <w:numFmt w:val="lowerLetter"/>
      <w:start w:val="11"/>
    </w:lvl>
  </w:abstractNum>
  <w:abstractNum w:abstractNumId="166">
    <w:nsid w:val="10DB9DAA"/>
    <w:multiLevelType w:val="hybridMultilevel"/>
    <w:lvl w:ilvl="0">
      <w:lvlJc w:val="left"/>
      <w:lvlText w:val="(%1)"/>
      <w:numFmt w:val="lowerLetter"/>
      <w:start w:val="1"/>
    </w:lvl>
  </w:abstractNum>
  <w:abstractNum w:abstractNumId="167">
    <w:nsid w:val="697D2D2"/>
    <w:multiLevelType w:val="hybridMultilevel"/>
    <w:lvl w:ilvl="0">
      <w:lvlJc w:val="left"/>
      <w:lvlText w:val="(%1)"/>
      <w:numFmt w:val="lowerLetter"/>
      <w:start w:val="3"/>
    </w:lvl>
  </w:abstractNum>
  <w:abstractNum w:abstractNumId="168">
    <w:nsid w:val="6D68AB2"/>
    <w:multiLevelType w:val="hybridMultilevel"/>
    <w:lvl w:ilvl="0">
      <w:lvlJc w:val="left"/>
      <w:lvlText w:val="(%1)"/>
      <w:numFmt w:val="lowerLetter"/>
      <w:start w:val="2"/>
    </w:lvl>
  </w:abstractNum>
  <w:abstractNum w:abstractNumId="169">
    <w:nsid w:val="3A966CD0"/>
    <w:multiLevelType w:val="hybridMultilevel"/>
    <w:lvl w:ilvl="0">
      <w:lvlJc w:val="left"/>
      <w:lvlText w:val="(%1)"/>
      <w:numFmt w:val="lowerLetter"/>
      <w:start w:val="2"/>
    </w:lvl>
    <w:lvl w:ilvl="1">
      <w:lvlJc w:val="left"/>
      <w:lvlText w:val="(%2)"/>
      <w:numFmt w:val="lowerLetter"/>
      <w:start w:val="9"/>
    </w:lvl>
  </w:abstractNum>
  <w:abstractNum w:abstractNumId="170">
    <w:nsid w:val="63F37E85"/>
    <w:multiLevelType w:val="hybridMultilevel"/>
    <w:lvl w:ilvl="0">
      <w:lvlJc w:val="left"/>
      <w:lvlText w:val="(%1)"/>
      <w:numFmt w:val="lowerRoman"/>
      <w:start w:val="2"/>
    </w:lvl>
  </w:abstractNum>
  <w:abstractNum w:abstractNumId="171">
    <w:nsid w:val="5895F5FA"/>
    <w:multiLevelType w:val="hybridMultilevel"/>
    <w:lvl w:ilvl="0">
      <w:lvlJc w:val="left"/>
      <w:lvlText w:val="(%1)"/>
      <w:numFmt w:val="lowerLetter"/>
      <w:start w:val="5"/>
    </w:lvl>
  </w:abstractNum>
  <w:abstractNum w:abstractNumId="172">
    <w:nsid w:val="38A5D054"/>
    <w:multiLevelType w:val="hybridMultilevel"/>
    <w:lvl w:ilvl="0">
      <w:lvlJc w:val="left"/>
      <w:lvlText w:val="(%1)"/>
      <w:numFmt w:val="lowerLetter"/>
      <w:start w:val="1"/>
    </w:lvl>
  </w:abstractNum>
  <w:abstractNum w:abstractNumId="173">
    <w:nsid w:val="F3F09D8"/>
    <w:multiLevelType w:val="hybridMultilevel"/>
    <w:lvl w:ilvl="0">
      <w:lvlJc w:val="left"/>
      <w:lvlText w:val="(%1)"/>
      <w:numFmt w:val="lowerLetter"/>
      <w:start w:val="2"/>
    </w:lvl>
  </w:abstractNum>
  <w:abstractNum w:abstractNumId="174">
    <w:nsid w:val="4B793735"/>
    <w:multiLevelType w:val="hybridMultilevel"/>
    <w:lvl w:ilvl="0">
      <w:lvlJc w:val="left"/>
      <w:lvlText w:val="(%1)"/>
      <w:numFmt w:val="lowerLetter"/>
      <w:start w:val="2"/>
    </w:lvl>
    <w:lvl w:ilvl="1">
      <w:lvlJc w:val="left"/>
      <w:lvlText w:val="(%2)"/>
      <w:numFmt w:val="lowerLetter"/>
      <w:start w:val="9"/>
    </w:lvl>
  </w:abstractNum>
  <w:abstractNum w:abstractNumId="175">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6">
    <w:nsid w:val="43D3BCD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77">
    <w:nsid w:val="4C2A7166"/>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9"/>
    </w:lvl>
  </w:abstractNum>
  <w:abstractNum w:abstractNumId="178">
    <w:nsid w:val="2E534A82"/>
    <w:multiLevelType w:val="hybridMultilevel"/>
    <w:lvl w:ilvl="0">
      <w:lvlJc w:val="left"/>
      <w:lvlText w:val="(%1)"/>
      <w:numFmt w:val="lowerRoman"/>
      <w:start w:val="2"/>
    </w:lvl>
  </w:abstractNum>
  <w:abstractNum w:abstractNumId="179">
    <w:nsid w:val="26F2D364"/>
    <w:multiLevelType w:val="hybridMultilevel"/>
    <w:lvl w:ilvl="0">
      <w:lvlJc w:val="left"/>
      <w:lvlText w:val="(%1)"/>
      <w:numFmt w:val="lowerLetter"/>
      <w:start w:val="7"/>
    </w:lvl>
  </w:abstractNum>
  <w:abstractNum w:abstractNumId="180">
    <w:nsid w:val="71C1AF98"/>
    <w:multiLevelType w:val="hybridMultilevel"/>
    <w:lvl w:ilvl="0">
      <w:lvlJc w:val="left"/>
      <w:lvlText w:val="(%1)"/>
      <w:numFmt w:val="lowerLetter"/>
      <w:start w:val="1"/>
    </w:lvl>
  </w:abstractNum>
  <w:abstractNum w:abstractNumId="181">
    <w:nsid w:val="3D00B9D9"/>
    <w:multiLevelType w:val="hybridMultilevel"/>
    <w:lvl w:ilvl="0">
      <w:lvlJc w:val="left"/>
      <w:lvlText w:val="(%1)"/>
      <w:numFmt w:val="lowerLetter"/>
      <w:start w:val="2"/>
    </w:lvl>
  </w:abstractNum>
  <w:abstractNum w:abstractNumId="182">
    <w:nsid w:val="15BCABA8"/>
    <w:multiLevelType w:val="hybridMultilevel"/>
    <w:lvl w:ilvl="0">
      <w:lvlJc w:val="left"/>
      <w:lvlText w:val="(%1)"/>
      <w:numFmt w:val="lowerLetter"/>
      <w:start w:val="2"/>
    </w:lvl>
  </w:abstractNum>
  <w:abstractNum w:abstractNumId="183">
    <w:nsid w:val="4E0B9A87"/>
    <w:multiLevelType w:val="hybridMultilevel"/>
    <w:lvl w:ilvl="0">
      <w:lvlJc w:val="left"/>
      <w:lvlText w:val="(%1)"/>
      <w:numFmt w:val="lowerLetter"/>
      <w:start w:val="5"/>
    </w:lvl>
  </w:abstractNum>
  <w:abstractNum w:abstractNumId="184">
    <w:nsid w:val="434BAE75"/>
    <w:multiLevelType w:val="hybridMultilevel"/>
    <w:lvl w:ilvl="0">
      <w:lvlJc w:val="left"/>
      <w:lvlText w:val="(%1)"/>
      <w:numFmt w:val="lowerLetter"/>
      <w:start w:val="2"/>
    </w:lvl>
  </w:abstractNum>
  <w:abstractNum w:abstractNumId="185">
    <w:nsid w:val="4F38F265"/>
    <w:multiLevelType w:val="hybridMultilevel"/>
    <w:lvl w:ilvl="0">
      <w:lvlJc w:val="left"/>
      <w:lvlText w:val="(%1)"/>
      <w:numFmt w:val="lowerLetter"/>
      <w:start w:val="2"/>
    </w:lvl>
  </w:abstractNum>
  <w:abstractNum w:abstractNumId="186">
    <w:nsid w:val="4C502870"/>
    <w:multiLevelType w:val="hybridMultilevel"/>
    <w:lvl w:ilvl="0">
      <w:lvlJc w:val="left"/>
      <w:lvlText w:val="%1"/>
      <w:numFmt w:val="lowerLetter"/>
      <w:start w:val="1"/>
    </w:lvl>
    <w:lvl w:ilvl="1">
      <w:lvlJc w:val="left"/>
      <w:lvlText w:val="(%2)"/>
      <w:numFmt w:val="lowerLetter"/>
      <w:start w:val="9"/>
    </w:lvl>
  </w:abstractNum>
  <w:abstractNum w:abstractNumId="187">
    <w:nsid w:val="1DE8725A"/>
    <w:multiLevelType w:val="hybridMultilevel"/>
    <w:lvl w:ilvl="0">
      <w:lvlJc w:val="left"/>
      <w:lvlText w:val="(%1)"/>
      <w:numFmt w:val="lowerLetter"/>
      <w:start w:val="25"/>
    </w:lvl>
    <w:lvl w:ilvl="1">
      <w:lvlJc w:val="left"/>
      <w:lvlText w:val="%2"/>
      <w:numFmt w:val="lowerLetter"/>
      <w:start w:val="1"/>
    </w:lvl>
  </w:abstractNum>
  <w:abstractNum w:abstractNumId="188">
    <w:nsid w:val="6A37288A"/>
    <w:multiLevelType w:val="hybridMultilevel"/>
    <w:lvl w:ilvl="0">
      <w:lvlJc w:val="left"/>
      <w:lvlText w:val="(%1)"/>
      <w:numFmt w:val="lowerRoman"/>
      <w:start w:val="2"/>
    </w:lvl>
  </w:abstractNum>
  <w:abstractNum w:abstractNumId="189">
    <w:nsid w:val="8F8B73F"/>
    <w:multiLevelType w:val="hybridMultilevel"/>
    <w:lvl w:ilvl="0">
      <w:lvlJc w:val="left"/>
      <w:lvlText w:val="(%1)"/>
      <w:numFmt w:val="lowerRoman"/>
      <w:start w:val="1"/>
    </w:lvl>
  </w:abstractNum>
  <w:abstractNum w:abstractNumId="190">
    <w:nsid w:val="CA6B462"/>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191">
    <w:nsid w:val="763CB680"/>
    <w:multiLevelType w:val="hybridMultilevel"/>
    <w:lvl w:ilvl="0">
      <w:lvlJc w:val="left"/>
      <w:lvlText w:val="(%1)"/>
      <w:numFmt w:val="lowerLetter"/>
      <w:start w:val="3"/>
    </w:lvl>
  </w:abstractNum>
  <w:abstractNum w:abstractNumId="192">
    <w:nsid w:val="15B71329"/>
    <w:multiLevelType w:val="hybridMultilevel"/>
    <w:lvl w:ilvl="0">
      <w:lvlJc w:val="left"/>
      <w:lvlText w:val="(%1)"/>
      <w:numFmt w:val="lowerLetter"/>
      <w:start w:val="1"/>
    </w:lvl>
  </w:abstractNum>
  <w:abstractNum w:abstractNumId="193">
    <w:nsid w:val="3DA97044"/>
    <w:multiLevelType w:val="hybridMultilevel"/>
    <w:lvl w:ilvl="0">
      <w:lvlJc w:val="left"/>
      <w:lvlText w:val="(%1)"/>
      <w:numFmt w:val="lowerLetter"/>
      <w:start w:val="3"/>
    </w:lvl>
  </w:abstractNum>
  <w:abstractNum w:abstractNumId="194">
    <w:nsid w:val="1CDCE2DE"/>
    <w:multiLevelType w:val="hybridMultilevel"/>
    <w:lvl w:ilvl="0">
      <w:lvlJc w:val="left"/>
      <w:lvlText w:val="(%1)"/>
      <w:numFmt w:val="lowerLetter"/>
      <w:start w:val="1"/>
    </w:lvl>
  </w:abstractNum>
  <w:abstractNum w:abstractNumId="195">
    <w:nsid w:val="69D3947C"/>
    <w:multiLevelType w:val="hybridMultilevel"/>
    <w:lvl w:ilvl="0">
      <w:lvlJc w:val="left"/>
      <w:lvlText w:val="(%1)"/>
      <w:numFmt w:val="lowerRoman"/>
      <w:start w:val="1"/>
    </w:lvl>
  </w:abstractNum>
  <w:abstractNum w:abstractNumId="196">
    <w:nsid w:val="2539DFA5"/>
    <w:multiLevelType w:val="hybridMultilevel"/>
    <w:lvl w:ilvl="0">
      <w:lvlJc w:val="left"/>
      <w:lvlText w:val="%1"/>
      <w:numFmt w:val="lowerLetter"/>
      <w:start w:val="1"/>
    </w:lvl>
    <w:lvl w:ilvl="1">
      <w:lvlJc w:val="left"/>
      <w:lvlText w:val="(%2)"/>
      <w:numFmt w:val="lowerRoman"/>
      <w:start w:val="5"/>
    </w:lvl>
  </w:abstractNum>
  <w:abstractNum w:abstractNumId="197">
    <w:nsid w:val="2DB88089"/>
    <w:multiLevelType w:val="hybridMultilevel"/>
    <w:lvl w:ilvl="0">
      <w:lvlJc w:val="left"/>
      <w:lvlText w:val="(%1)"/>
      <w:numFmt w:val="lowerLetter"/>
      <w:start w:val="2"/>
    </w:lvl>
    <w:lvl w:ilvl="1">
      <w:lvlJc w:val="left"/>
      <w:lvlText w:val="(%2)"/>
      <w:numFmt w:val="lowerRoman"/>
      <w:start w:val="1"/>
    </w:lvl>
  </w:abstractNum>
  <w:abstractNum w:abstractNumId="198">
    <w:nsid w:val="706B674E"/>
    <w:multiLevelType w:val="hybridMultilevel"/>
    <w:lvl w:ilvl="0">
      <w:lvlJc w:val="left"/>
      <w:lvlText w:val="(%1)"/>
      <w:numFmt w:val="lowerRoman"/>
      <w:start w:val="2"/>
    </w:lvl>
  </w:abstractNum>
  <w:abstractNum w:abstractNumId="199">
    <w:nsid w:val="2C106A57"/>
    <w:multiLevelType w:val="hybridMultilevel"/>
    <w:lvl w:ilvl="0">
      <w:lvlJc w:val="left"/>
      <w:lvlText w:val="(%1)"/>
      <w:numFmt w:val="lowerRoman"/>
      <w:start w:val="1"/>
    </w:lvl>
  </w:abstractNum>
  <w:abstractNum w:abstractNumId="200">
    <w:nsid w:val="684EED59"/>
    <w:multiLevelType w:val="hybridMultilevel"/>
    <w:lvl w:ilvl="0">
      <w:lvlJc w:val="left"/>
      <w:lvlText w:val="(%1)"/>
      <w:numFmt w:val="lowerLetter"/>
      <w:start w:val="2"/>
    </w:lvl>
  </w:abstractNum>
  <w:abstractNum w:abstractNumId="201">
    <w:nsid w:val="545EE5D3"/>
    <w:multiLevelType w:val="hybridMultilevel"/>
    <w:lvl w:ilvl="0">
      <w:lvlJc w:val="left"/>
      <w:lvlText w:val="(%1)"/>
      <w:numFmt w:val="lowerLetter"/>
      <w:start w:val="5"/>
    </w:lvl>
  </w:abstractNum>
  <w:abstractNum w:abstractNumId="202">
    <w:nsid w:val="4A66051"/>
    <w:multiLevelType w:val="hybridMultilevel"/>
    <w:lvl w:ilvl="0">
      <w:lvlJc w:val="left"/>
      <w:lvlText w:val="%1"/>
      <w:numFmt w:val="lowerLetter"/>
      <w:start w:val="1"/>
    </w:lvl>
    <w:lvl w:ilvl="1">
      <w:lvlJc w:val="left"/>
      <w:lvlText w:val="(%2)"/>
      <w:numFmt w:val="lowerLetter"/>
      <w:start w:val="2"/>
    </w:lvl>
  </w:abstractNum>
  <w:abstractNum w:abstractNumId="203">
    <w:nsid w:val="20F4BDAD"/>
    <w:multiLevelType w:val="hybridMultilevel"/>
    <w:lvl w:ilvl="0">
      <w:lvlJc w:val="left"/>
      <w:lvlText w:val="(%1)"/>
      <w:numFmt w:val="lowerLetter"/>
      <w:start w:val="61"/>
    </w:lvl>
    <w:lvl w:ilvl="1">
      <w:lvlJc w:val="left"/>
      <w:lvlText w:val="%2"/>
      <w:numFmt w:val="lowerLetter"/>
      <w:start w:val="1"/>
    </w:lvl>
  </w:abstractNum>
  <w:abstractNum w:abstractNumId="204">
    <w:nsid w:val="639DEFAC"/>
    <w:multiLevelType w:val="hybridMultilevel"/>
    <w:lvl w:ilvl="0">
      <w:lvlJc w:val="left"/>
      <w:lvlText w:val="(%1)"/>
      <w:numFmt w:val="lowerLetter"/>
      <w:start w:val="3"/>
    </w:lvl>
  </w:abstractNum>
  <w:abstractNum w:abstractNumId="205">
    <w:nsid w:val="501F9786"/>
    <w:multiLevelType w:val="hybridMultilevel"/>
    <w:lvl w:ilvl="0">
      <w:lvlJc w:val="left"/>
      <w:lvlText w:val="(%1)"/>
      <w:numFmt w:val="lowerLetter"/>
      <w:start w:val="4"/>
    </w:lvl>
  </w:abstractNum>
  <w:abstractNum w:abstractNumId="206">
    <w:nsid w:val="6B05729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7">
    <w:nsid w:val="2771AC80"/>
    <w:multiLevelType w:val="hybridMultilevel"/>
    <w:lvl w:ilvl="0">
      <w:lvlJc w:val="left"/>
      <w:lvlText w:val="(%1)"/>
      <w:numFmt w:val="lowerRoman"/>
      <w:start w:val="2"/>
    </w:lvl>
    <w:lvl w:ilvl="1">
      <w:lvlJc w:val="left"/>
      <w:lvlText w:val="(%2)"/>
      <w:numFmt w:val="upperLetter"/>
      <w:start w:val="1"/>
    </w:lvl>
  </w:abstractNum>
  <w:abstractNum w:abstractNumId="208">
    <w:nsid w:val="1C4A08EC"/>
    <w:multiLevelType w:val="hybridMultilevel"/>
    <w:lvl w:ilvl="0">
      <w:lvlJc w:val="left"/>
      <w:lvlText w:val="(%1)"/>
      <w:numFmt w:val="lowerRoman"/>
      <w:start w:val="4"/>
    </w:lvl>
  </w:abstractNum>
  <w:abstractNum w:abstractNumId="209">
    <w:nsid w:val="1958BD17"/>
    <w:multiLevelType w:val="hybridMultilevel"/>
    <w:lvl w:ilvl="0">
      <w:lvlJc w:val="left"/>
      <w:lvlText w:val="(%1)"/>
      <w:numFmt w:val="lowerLetter"/>
      <w:start w:val="3"/>
    </w:lvl>
    <w:lvl w:ilvl="1">
      <w:lvlJc w:val="left"/>
      <w:lvlText w:val="(%2)"/>
      <w:numFmt w:val="lowerLetter"/>
      <w:start w:val="35"/>
    </w:lvl>
  </w:abstractNum>
  <w:abstractNum w:abstractNumId="210">
    <w:nsid w:val="4E647FE4"/>
    <w:multiLevelType w:val="hybridMultilevel"/>
    <w:lvl w:ilvl="0">
      <w:lvlJc w:val="left"/>
      <w:lvlText w:val="(%1)"/>
      <w:numFmt w:val="lowerLetter"/>
      <w:start w:val="5"/>
    </w:lvl>
  </w:abstractNum>
  <w:abstractNum w:abstractNumId="211">
    <w:nsid w:val="E0BB885"/>
    <w:multiLevelType w:val="hybridMultilevel"/>
    <w:lvl w:ilvl="0">
      <w:lvlJc w:val="left"/>
      <w:lvlText w:val="(%1)"/>
      <w:numFmt w:val="lowerLetter"/>
      <w:start w:val="6"/>
    </w:lvl>
  </w:abstractNum>
  <w:abstractNum w:abstractNumId="212">
    <w:nsid w:val="565976F1"/>
    <w:multiLevelType w:val="hybridMultilevel"/>
    <w:lvl w:ilvl="0">
      <w:lvlJc w:val="left"/>
      <w:lvlText w:val="(%1)"/>
      <w:numFmt w:val="lowerLetter"/>
      <w:start w:val="8"/>
    </w:lvl>
    <w:lvl w:ilvl="1">
      <w:lvlJc w:val="left"/>
      <w:lvlText w:val="(%2)"/>
      <w:numFmt w:val="lowerRoman"/>
      <w:start w:val="1"/>
    </w:lvl>
  </w:abstractNum>
  <w:abstractNum w:abstractNumId="213">
    <w:nsid w:val="64212B8C"/>
    <w:multiLevelType w:val="hybridMultilevel"/>
    <w:lvl w:ilvl="0">
      <w:lvlJc w:val="left"/>
      <w:lvlText w:val="%1"/>
      <w:numFmt w:val="lowerRoman"/>
      <w:start w:val="1"/>
    </w:lvl>
    <w:lvl w:ilvl="1">
      <w:lvlJc w:val="left"/>
      <w:lvlText w:val="(%2)"/>
      <w:numFmt w:val="lowerRoman"/>
      <w:start w:val="4"/>
    </w:lvl>
  </w:abstractNum>
  <w:abstractNum w:abstractNumId="214">
    <w:nsid w:val="5C17530C"/>
    <w:multiLevelType w:val="hybridMultilevel"/>
    <w:lvl w:ilvl="0">
      <w:lvlJc w:val="left"/>
      <w:lvlText w:val="(%1)"/>
      <w:numFmt w:val="lowerRoman"/>
      <w:start w:val="1"/>
    </w:lvl>
    <w:lvl w:ilvl="1">
      <w:lvlJc w:val="left"/>
      <w:lvlText w:val="%2"/>
      <w:numFmt w:val="lowerRoman"/>
      <w:start w:val="1"/>
    </w:lvl>
  </w:abstractNum>
  <w:abstractNum w:abstractNumId="215">
    <w:nsid w:val="19A52566"/>
    <w:multiLevelType w:val="hybridMultilevel"/>
    <w:lvl w:ilvl="0">
      <w:lvlJc w:val="left"/>
      <w:lvlText w:val="(%1)"/>
      <w:numFmt w:val="lowerLetter"/>
      <w:start w:val="4"/>
    </w:lvl>
  </w:abstractNum>
  <w:abstractNum w:abstractNumId="216">
    <w:nsid w:val="335A1DF1"/>
    <w:multiLevelType w:val="hybridMultilevel"/>
    <w:lvl w:ilvl="0">
      <w:lvlJc w:val="left"/>
      <w:lvlText w:val="(%1)"/>
      <w:numFmt w:val="lowerLetter"/>
      <w:start w:val="1"/>
    </w:lvl>
  </w:abstractNum>
  <w:abstractNum w:abstractNumId="217">
    <w:nsid w:val="28677B7C"/>
    <w:multiLevelType w:val="hybridMultilevel"/>
    <w:lvl w:ilvl="0">
      <w:lvlJc w:val="left"/>
      <w:lvlText w:val="(%1)"/>
      <w:numFmt w:val="lowerLetter"/>
      <w:start w:val="4"/>
    </w:lvl>
  </w:abstractNum>
  <w:abstractNum w:abstractNumId="218">
    <w:nsid w:val="378D97C0"/>
    <w:multiLevelType w:val="hybridMultilevel"/>
    <w:lvl w:ilvl="0">
      <w:lvlJc w:val="left"/>
      <w:lvlText w:val="(%1)"/>
      <w:numFmt w:val="lowerLetter"/>
      <w:start w:val="2"/>
    </w:lvl>
  </w:abstractNum>
  <w:abstractNum w:abstractNumId="219">
    <w:nsid w:val="1D91467C"/>
    <w:multiLevelType w:val="hybridMultilevel"/>
    <w:lvl w:ilvl="0">
      <w:lvlJc w:val="left"/>
      <w:lvlText w:val="(%1)"/>
      <w:numFmt w:val="lowerLetter"/>
      <w:start w:val="3"/>
    </w:lvl>
  </w:abstractNum>
  <w:abstractNum w:abstractNumId="220">
    <w:nsid w:val="316032BB"/>
    <w:multiLevelType w:val="hybridMultilevel"/>
    <w:lvl w:ilvl="0">
      <w:lvlJc w:val="left"/>
      <w:lvlText w:val="(%1)"/>
      <w:numFmt w:val="lowerLetter"/>
      <w:start w:val="1"/>
    </w:lvl>
  </w:abstractNum>
  <w:abstractNum w:abstractNumId="221">
    <w:nsid w:val="44344C22"/>
    <w:multiLevelType w:val="hybridMultilevel"/>
    <w:lvl w:ilvl="0">
      <w:lvlJc w:val="left"/>
      <w:lvlText w:val="(%1)"/>
      <w:numFmt w:val="lowerLetter"/>
      <w:start w:val="2"/>
    </w:lvl>
  </w:abstractNum>
  <w:abstractNum w:abstractNumId="222">
    <w:nsid w:val="13CDFCFC"/>
    <w:multiLevelType w:val="hybridMultilevel"/>
    <w:lvl w:ilvl="0">
      <w:lvlJc w:val="left"/>
      <w:lvlText w:val="(%1)"/>
      <w:numFmt w:val="lowerLetter"/>
      <w:start w:val="1"/>
    </w:lvl>
    <w:lvl w:ilvl="1">
      <w:lvlJc w:val="left"/>
      <w:lvlText w:val="(%2)"/>
      <w:numFmt w:val="lowerRoman"/>
      <w:start w:val="1"/>
    </w:lvl>
  </w:abstractNum>
  <w:abstractNum w:abstractNumId="223">
    <w:nsid w:val="471745E4"/>
    <w:multiLevelType w:val="hybridMultilevel"/>
    <w:lvl w:ilvl="0">
      <w:lvlJc w:val="left"/>
      <w:lvlText w:val="%1."/>
      <w:numFmt w:val="decimal"/>
      <w:start w:val="1"/>
    </w:lvl>
    <w:lvl w:ilvl="1">
      <w:lvlJc w:val="left"/>
      <w:lvlText w:val="%2)"/>
      <w:numFmt w:val="lowerLetter"/>
      <w:start w:val="1"/>
    </w:lvl>
  </w:abstractNum>
  <w:abstractNum w:abstractNumId="224">
    <w:nsid w:val="1DDBC66"/>
    <w:multiLevelType w:val="hybridMultilevel"/>
    <w:lvl w:ilvl="0">
      <w:lvlJc w:val="left"/>
      <w:lvlText w:val="%1."/>
      <w:numFmt w:val="decimal"/>
      <w:start w:val="1"/>
    </w:lvl>
    <w:lvl w:ilvl="1">
      <w:lvlJc w:val="left"/>
      <w:lvlText w:val="%2)"/>
      <w:numFmt w:val="lowerLetter"/>
      <w:start w:val="1"/>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2024-07-30T15:40:55Z</dcterms:created>
  <dcterms:modified xsi:type="dcterms:W3CDTF">2024-07-30T15:40:55Z</dcterms:modified>
</cp:coreProperties>
</file>