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255905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2" w:lineRule="exact"/>
        <w:rPr>
          <w:sz w:val="24"/>
          <w:szCs w:val="24"/>
          <w:color w:val="auto"/>
        </w:rPr>
      </w:pPr>
    </w:p>
    <w:p>
      <w:pPr>
        <w:ind w:left="640" w:right="300" w:hanging="325"/>
        <w:spacing w:after="0" w:line="267" w:lineRule="auto"/>
        <w:tabs>
          <w:tab w:leader="none" w:pos="816"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2" w:lineRule="exact"/>
        <w:rPr>
          <w:sz w:val="24"/>
          <w:szCs w:val="24"/>
          <w:color w:val="auto"/>
        </w:rPr>
      </w:pPr>
    </w:p>
    <w:p>
      <w:pPr>
        <w:ind w:left="640" w:right="280" w:hanging="325"/>
        <w:spacing w:after="0" w:line="267" w:lineRule="auto"/>
        <w:tabs>
          <w:tab w:leader="none" w:pos="816"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05" w:lineRule="exact"/>
        <w:rPr>
          <w:sz w:val="24"/>
          <w:szCs w:val="24"/>
          <w:color w:val="auto"/>
        </w:rPr>
      </w:pPr>
    </w:p>
    <w:p>
      <w:pPr>
        <w:ind w:left="3580"/>
        <w:spacing w:after="0"/>
        <w:tabs>
          <w:tab w:leader="none" w:pos="6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001-12400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INCYTE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17"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5820" w:type="dxa"/>
            <w:vAlign w:val="bottom"/>
          </w:tcPr>
          <w:p>
            <w:pPr>
              <w:jc w:val="center"/>
              <w:ind w:right="3159"/>
              <w:spacing w:after="0"/>
              <w:rPr>
                <w:sz w:val="20"/>
                <w:szCs w:val="20"/>
                <w:color w:val="auto"/>
              </w:rPr>
            </w:pPr>
            <w:r>
              <w:rPr>
                <w:rFonts w:ascii="Arial" w:cs="Arial" w:eastAsia="Arial" w:hAnsi="Arial"/>
                <w:sz w:val="16"/>
                <w:szCs w:val="16"/>
                <w:b w:val="1"/>
                <w:bCs w:val="1"/>
                <w:color w:val="auto"/>
                <w:w w:val="93"/>
              </w:rPr>
              <w:t>Delaware</w:t>
            </w: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94-3136539</w:t>
            </w:r>
          </w:p>
        </w:tc>
      </w:tr>
      <w:tr>
        <w:trPr>
          <w:trHeight w:val="203"/>
        </w:trPr>
        <w:tc>
          <w:tcPr>
            <w:tcW w:w="5820" w:type="dxa"/>
            <w:vAlign w:val="bottom"/>
          </w:tcPr>
          <w:p>
            <w:pPr>
              <w:jc w:val="center"/>
              <w:ind w:right="3179"/>
              <w:spacing w:after="0"/>
              <w:rPr>
                <w:sz w:val="20"/>
                <w:szCs w:val="20"/>
                <w:color w:val="auto"/>
              </w:rPr>
            </w:pPr>
            <w:r>
              <w:rPr>
                <w:rFonts w:ascii="Arial" w:cs="Arial" w:eastAsia="Arial" w:hAnsi="Arial"/>
                <w:sz w:val="16"/>
                <w:szCs w:val="16"/>
                <w:color w:val="auto"/>
                <w:w w:val="93"/>
              </w:rPr>
              <w:t>(State or other jurisdiction of</w:t>
            </w:r>
          </w:p>
        </w:tc>
        <w:tc>
          <w:tcPr>
            <w:tcW w:w="1380" w:type="dxa"/>
            <w:vAlign w:val="bottom"/>
          </w:tcPr>
          <w:p>
            <w:pPr>
              <w:jc w:val="center"/>
              <w:ind w:left="79"/>
              <w:spacing w:after="0"/>
              <w:rPr>
                <w:sz w:val="20"/>
                <w:szCs w:val="20"/>
                <w:color w:val="auto"/>
              </w:rPr>
            </w:pPr>
            <w:r>
              <w:rPr>
                <w:rFonts w:ascii="Arial" w:cs="Arial" w:eastAsia="Arial" w:hAnsi="Arial"/>
                <w:sz w:val="16"/>
                <w:szCs w:val="16"/>
                <w:color w:val="auto"/>
                <w:w w:val="94"/>
              </w:rPr>
              <w:t>(IRS Employer</w:t>
            </w:r>
          </w:p>
        </w:tc>
      </w:tr>
      <w:tr>
        <w:trPr>
          <w:trHeight w:val="206"/>
        </w:trPr>
        <w:tc>
          <w:tcPr>
            <w:tcW w:w="5820" w:type="dxa"/>
            <w:vAlign w:val="bottom"/>
          </w:tcPr>
          <w:p>
            <w:pPr>
              <w:jc w:val="center"/>
              <w:ind w:right="3159"/>
              <w:spacing w:after="0"/>
              <w:rPr>
                <w:sz w:val="20"/>
                <w:szCs w:val="20"/>
                <w:color w:val="auto"/>
              </w:rPr>
            </w:pPr>
            <w:r>
              <w:rPr>
                <w:rFonts w:ascii="Arial" w:cs="Arial" w:eastAsia="Arial" w:hAnsi="Arial"/>
                <w:sz w:val="16"/>
                <w:szCs w:val="16"/>
                <w:color w:val="auto"/>
                <w:w w:val="93"/>
              </w:rPr>
              <w:t>incorporation or organization)</w:t>
            </w:r>
          </w:p>
        </w:tc>
        <w:tc>
          <w:tcPr>
            <w:tcW w:w="1380" w:type="dxa"/>
            <w:vAlign w:val="bottom"/>
          </w:tcPr>
          <w:p>
            <w:pPr>
              <w:jc w:val="center"/>
              <w:ind w:left="79"/>
              <w:spacing w:after="0"/>
              <w:rPr>
                <w:sz w:val="20"/>
                <w:szCs w:val="20"/>
                <w:color w:val="auto"/>
              </w:rPr>
            </w:pPr>
            <w:r>
              <w:rPr>
                <w:rFonts w:ascii="Arial" w:cs="Arial" w:eastAsia="Arial" w:hAnsi="Arial"/>
                <w:sz w:val="16"/>
                <w:szCs w:val="16"/>
                <w:color w:val="auto"/>
                <w:w w:val="97"/>
              </w:rPr>
              <w:t>Identification No.)</w:t>
            </w:r>
          </w:p>
        </w:tc>
      </w:tr>
      <w:tr>
        <w:trPr>
          <w:trHeight w:val="397"/>
        </w:trPr>
        <w:tc>
          <w:tcPr>
            <w:tcW w:w="5820" w:type="dxa"/>
            <w:vAlign w:val="bottom"/>
          </w:tcPr>
          <w:p>
            <w:pPr>
              <w:jc w:val="center"/>
              <w:ind w:right="3159"/>
              <w:spacing w:after="0"/>
              <w:rPr>
                <w:sz w:val="20"/>
                <w:szCs w:val="20"/>
                <w:color w:val="auto"/>
              </w:rPr>
            </w:pPr>
            <w:r>
              <w:rPr>
                <w:rFonts w:ascii="Arial" w:cs="Arial" w:eastAsia="Arial" w:hAnsi="Arial"/>
                <w:sz w:val="16"/>
                <w:szCs w:val="16"/>
                <w:b w:val="1"/>
                <w:bCs w:val="1"/>
                <w:color w:val="auto"/>
                <w:w w:val="93"/>
              </w:rPr>
              <w:t>1801 Augustine Cut-Off</w:t>
            </w:r>
          </w:p>
        </w:tc>
        <w:tc>
          <w:tcPr>
            <w:tcW w:w="1380" w:type="dxa"/>
            <w:vAlign w:val="bottom"/>
          </w:tcPr>
          <w:p>
            <w:pPr>
              <w:spacing w:after="0"/>
              <w:rPr>
                <w:sz w:val="24"/>
                <w:szCs w:val="24"/>
                <w:color w:val="auto"/>
              </w:rPr>
            </w:pPr>
          </w:p>
        </w:tc>
      </w:tr>
      <w:tr>
        <w:trPr>
          <w:trHeight w:val="207"/>
        </w:trPr>
        <w:tc>
          <w:tcPr>
            <w:tcW w:w="5820" w:type="dxa"/>
            <w:vAlign w:val="bottom"/>
          </w:tcPr>
          <w:p>
            <w:pPr>
              <w:jc w:val="center"/>
              <w:ind w:right="3159"/>
              <w:spacing w:after="0"/>
              <w:rPr>
                <w:sz w:val="20"/>
                <w:szCs w:val="20"/>
                <w:color w:val="auto"/>
              </w:rPr>
            </w:pPr>
            <w:r>
              <w:rPr>
                <w:rFonts w:ascii="Arial" w:cs="Arial" w:eastAsia="Arial" w:hAnsi="Arial"/>
                <w:sz w:val="16"/>
                <w:szCs w:val="16"/>
                <w:b w:val="1"/>
                <w:bCs w:val="1"/>
                <w:color w:val="auto"/>
                <w:w w:val="96"/>
              </w:rPr>
              <w:t>Wilmington, DE 19803</w:t>
            </w: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19803</w:t>
            </w:r>
          </w:p>
        </w:tc>
      </w:tr>
      <w:tr>
        <w:trPr>
          <w:trHeight w:val="206"/>
        </w:trPr>
        <w:tc>
          <w:tcPr>
            <w:tcW w:w="5820" w:type="dxa"/>
            <w:vAlign w:val="bottom"/>
          </w:tcPr>
          <w:p>
            <w:pPr>
              <w:jc w:val="center"/>
              <w:ind w:right="3159"/>
              <w:spacing w:after="0"/>
              <w:rPr>
                <w:sz w:val="20"/>
                <w:szCs w:val="20"/>
                <w:color w:val="auto"/>
              </w:rPr>
            </w:pPr>
            <w:r>
              <w:rPr>
                <w:rFonts w:ascii="Arial" w:cs="Arial" w:eastAsia="Arial" w:hAnsi="Arial"/>
                <w:sz w:val="16"/>
                <w:szCs w:val="16"/>
                <w:color w:val="auto"/>
                <w:w w:val="94"/>
              </w:rPr>
              <w:t>(Address of principal executive offices)</w:t>
            </w:r>
          </w:p>
        </w:tc>
        <w:tc>
          <w:tcPr>
            <w:tcW w:w="1380" w:type="dxa"/>
            <w:vAlign w:val="bottom"/>
          </w:tcPr>
          <w:p>
            <w:pPr>
              <w:jc w:val="center"/>
              <w:ind w:left="59"/>
              <w:spacing w:after="0"/>
              <w:rPr>
                <w:sz w:val="20"/>
                <w:szCs w:val="20"/>
                <w:color w:val="auto"/>
              </w:rPr>
            </w:pPr>
            <w:r>
              <w:rPr>
                <w:rFonts w:ascii="Arial" w:cs="Arial" w:eastAsia="Arial" w:hAnsi="Arial"/>
                <w:sz w:val="16"/>
                <w:szCs w:val="16"/>
                <w:color w:val="auto"/>
                <w:w w:val="95"/>
              </w:rPr>
              <w:t>(Zip Code)</w:t>
            </w:r>
          </w:p>
        </w:tc>
      </w:tr>
      <w:tr>
        <w:trPr>
          <w:trHeight w:val="347"/>
        </w:trPr>
        <w:tc>
          <w:tcPr>
            <w:tcW w:w="5820" w:type="dxa"/>
            <w:vAlign w:val="bottom"/>
          </w:tcPr>
          <w:p>
            <w:pPr>
              <w:jc w:val="right"/>
              <w:ind w:right="1299"/>
              <w:spacing w:after="0"/>
              <w:rPr>
                <w:sz w:val="20"/>
                <w:szCs w:val="20"/>
                <w:color w:val="auto"/>
              </w:rPr>
            </w:pPr>
            <w:r>
              <w:rPr>
                <w:rFonts w:ascii="Arial" w:cs="Arial" w:eastAsia="Arial" w:hAnsi="Arial"/>
                <w:sz w:val="16"/>
                <w:szCs w:val="16"/>
                <w:b w:val="1"/>
                <w:bCs w:val="1"/>
                <w:color w:val="auto"/>
              </w:rPr>
              <w:t>(302) 498-6700</w:t>
            </w:r>
          </w:p>
        </w:tc>
        <w:tc>
          <w:tcPr>
            <w:tcW w:w="1380" w:type="dxa"/>
            <w:vAlign w:val="bottom"/>
          </w:tcPr>
          <w:p>
            <w:pPr>
              <w:spacing w:after="0"/>
              <w:rPr>
                <w:sz w:val="24"/>
                <w:szCs w:val="24"/>
                <w:color w:val="auto"/>
              </w:rPr>
            </w:pPr>
          </w:p>
        </w:tc>
      </w:tr>
      <w:tr>
        <w:trPr>
          <w:trHeight w:val="206"/>
        </w:trPr>
        <w:tc>
          <w:tcPr>
            <w:tcW w:w="5820" w:type="dxa"/>
            <w:vAlign w:val="bottom"/>
          </w:tcPr>
          <w:p>
            <w:pPr>
              <w:jc w:val="center"/>
              <w:ind w:left="1979"/>
              <w:spacing w:after="0"/>
              <w:rPr>
                <w:sz w:val="20"/>
                <w:szCs w:val="20"/>
                <w:color w:val="auto"/>
              </w:rPr>
            </w:pPr>
            <w:r>
              <w:rPr>
                <w:rFonts w:ascii="Arial" w:cs="Arial" w:eastAsia="Arial" w:hAnsi="Arial"/>
                <w:sz w:val="16"/>
                <w:szCs w:val="16"/>
                <w:color w:val="auto"/>
                <w:w w:val="91"/>
              </w:rPr>
              <w:t>(Registrant’s telephone number, including area code)</w:t>
            </w:r>
          </w:p>
        </w:tc>
        <w:tc>
          <w:tcPr>
            <w:tcW w:w="1380" w:type="dxa"/>
            <w:vAlign w:val="bottom"/>
          </w:tcPr>
          <w:p>
            <w:pPr>
              <w:spacing w:after="0"/>
              <w:rPr>
                <w:sz w:val="17"/>
                <w:szCs w:val="17"/>
                <w:color w:val="auto"/>
              </w:rPr>
            </w:pPr>
          </w:p>
        </w:tc>
      </w:tr>
    </w:tbl>
    <w:p>
      <w:pPr>
        <w:spacing w:after="0" w:line="145"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8"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8"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1040" w:type="dxa"/>
        <w:tblCellMar>
          <w:top w:w="0" w:type="dxa"/>
          <w:left w:w="0" w:type="dxa"/>
          <w:bottom w:w="0" w:type="dxa"/>
          <w:right w:w="0" w:type="dxa"/>
        </w:tblCellMar>
      </w:tblPr>
      <w:tr>
        <w:trPr>
          <w:trHeight w:val="254"/>
        </w:trPr>
        <w:tc>
          <w:tcPr>
            <w:tcW w:w="4420" w:type="dxa"/>
            <w:vAlign w:val="bottom"/>
          </w:tcPr>
          <w:p>
            <w:pPr>
              <w:jc w:val="center"/>
              <w:ind w:right="1339"/>
              <w:spacing w:after="0" w:line="184" w:lineRule="exact"/>
              <w:rPr>
                <w:sz w:val="20"/>
                <w:szCs w:val="20"/>
                <w:color w:val="auto"/>
              </w:rPr>
            </w:pPr>
            <w:r>
              <w:rPr>
                <w:rFonts w:ascii="Arial" w:cs="Arial" w:eastAsia="Arial" w:hAnsi="Arial"/>
                <w:sz w:val="16"/>
                <w:szCs w:val="16"/>
                <w:color w:val="auto"/>
                <w:w w:val="91"/>
              </w:rPr>
              <w:t xml:space="preserve">Large accelerated filer </w:t>
            </w:r>
            <w:r>
              <w:rPr>
                <w:rFonts w:ascii="MS PGothic" w:cs="MS PGothic" w:eastAsia="MS PGothic" w:hAnsi="MS PGothic"/>
                <w:sz w:val="16"/>
                <w:szCs w:val="16"/>
                <w:color w:val="auto"/>
                <w:w w:val="91"/>
              </w:rPr>
              <w:t>☒</w:t>
            </w:r>
          </w:p>
        </w:tc>
        <w:tc>
          <w:tcPr>
            <w:tcW w:w="3360" w:type="dxa"/>
            <w:vAlign w:val="bottom"/>
          </w:tcPr>
          <w:p>
            <w:pPr>
              <w:jc w:val="center"/>
              <w:ind w:left="1339"/>
              <w:spacing w:after="0" w:line="184" w:lineRule="exact"/>
              <w:rPr>
                <w:sz w:val="20"/>
                <w:szCs w:val="20"/>
                <w:color w:val="auto"/>
              </w:rPr>
            </w:pPr>
            <w:r>
              <w:rPr>
                <w:rFonts w:ascii="Arial" w:cs="Arial" w:eastAsia="Arial" w:hAnsi="Arial"/>
                <w:sz w:val="16"/>
                <w:szCs w:val="16"/>
                <w:color w:val="auto"/>
                <w:w w:val="93"/>
              </w:rPr>
              <w:t xml:space="preserve">Accelerated filer </w:t>
            </w:r>
            <w:r>
              <w:rPr>
                <w:rFonts w:ascii="MS PGothic" w:cs="MS PGothic" w:eastAsia="MS PGothic" w:hAnsi="MS PGothic"/>
                <w:sz w:val="16"/>
                <w:szCs w:val="16"/>
                <w:color w:val="auto"/>
                <w:w w:val="93"/>
              </w:rPr>
              <w:t>☐</w:t>
            </w:r>
          </w:p>
        </w:tc>
        <w:tc>
          <w:tcPr>
            <w:tcW w:w="0" w:type="dxa"/>
            <w:vAlign w:val="bottom"/>
          </w:tcPr>
          <w:p>
            <w:pPr>
              <w:spacing w:after="0"/>
              <w:rPr>
                <w:sz w:val="1"/>
                <w:szCs w:val="1"/>
                <w:color w:val="auto"/>
              </w:rPr>
            </w:pPr>
          </w:p>
        </w:tc>
      </w:tr>
      <w:tr>
        <w:trPr>
          <w:trHeight w:val="383"/>
        </w:trPr>
        <w:tc>
          <w:tcPr>
            <w:tcW w:w="4420" w:type="dxa"/>
            <w:vAlign w:val="bottom"/>
          </w:tcPr>
          <w:p>
            <w:pPr>
              <w:jc w:val="center"/>
              <w:ind w:right="1339"/>
              <w:spacing w:after="0" w:line="184" w:lineRule="exact"/>
              <w:rPr>
                <w:sz w:val="20"/>
                <w:szCs w:val="20"/>
                <w:color w:val="auto"/>
              </w:rPr>
            </w:pPr>
            <w:r>
              <w:rPr>
                <w:rFonts w:ascii="Arial" w:cs="Arial" w:eastAsia="Arial" w:hAnsi="Arial"/>
                <w:sz w:val="16"/>
                <w:szCs w:val="16"/>
                <w:color w:val="auto"/>
                <w:w w:val="92"/>
              </w:rPr>
              <w:t xml:space="preserve">Non-accelerated filer </w:t>
            </w:r>
            <w:r>
              <w:rPr>
                <w:rFonts w:ascii="MS PGothic" w:cs="MS PGothic" w:eastAsia="MS PGothic" w:hAnsi="MS PGothic"/>
                <w:sz w:val="16"/>
                <w:szCs w:val="16"/>
                <w:color w:val="auto"/>
                <w:w w:val="92"/>
              </w:rPr>
              <w:t>☐</w:t>
            </w:r>
          </w:p>
        </w:tc>
        <w:tc>
          <w:tcPr>
            <w:tcW w:w="3360" w:type="dxa"/>
            <w:vAlign w:val="bottom"/>
          </w:tcPr>
          <w:p>
            <w:pPr>
              <w:jc w:val="center"/>
              <w:ind w:left="1319"/>
              <w:spacing w:after="0" w:line="184" w:lineRule="exact"/>
              <w:rPr>
                <w:sz w:val="20"/>
                <w:szCs w:val="20"/>
                <w:color w:val="auto"/>
              </w:rPr>
            </w:pPr>
            <w:r>
              <w:rPr>
                <w:rFonts w:ascii="Arial" w:cs="Arial" w:eastAsia="Arial" w:hAnsi="Arial"/>
                <w:sz w:val="16"/>
                <w:szCs w:val="16"/>
                <w:color w:val="auto"/>
                <w:w w:val="92"/>
              </w:rPr>
              <w:t xml:space="preserve">Smaller reporting company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r>
        <w:trPr>
          <w:trHeight w:val="206"/>
        </w:trPr>
        <w:tc>
          <w:tcPr>
            <w:tcW w:w="4420" w:type="dxa"/>
            <w:vAlign w:val="bottom"/>
          </w:tcPr>
          <w:p>
            <w:pPr>
              <w:jc w:val="center"/>
              <w:ind w:right="1319"/>
              <w:spacing w:after="0"/>
              <w:rPr>
                <w:sz w:val="20"/>
                <w:szCs w:val="20"/>
                <w:color w:val="auto"/>
              </w:rPr>
            </w:pPr>
            <w:r>
              <w:rPr>
                <w:rFonts w:ascii="Arial" w:cs="Arial" w:eastAsia="Arial" w:hAnsi="Arial"/>
                <w:sz w:val="16"/>
                <w:szCs w:val="16"/>
                <w:color w:val="auto"/>
                <w:w w:val="93"/>
              </w:rPr>
              <w:t>(Do not check if a smaller reporting company)</w:t>
            </w:r>
          </w:p>
        </w:tc>
        <w:tc>
          <w:tcPr>
            <w:tcW w:w="3360" w:type="dxa"/>
            <w:vAlign w:val="bottom"/>
            <w:vMerge w:val="restart"/>
          </w:tcPr>
          <w:p>
            <w:pPr>
              <w:jc w:val="center"/>
              <w:ind w:left="1319"/>
              <w:spacing w:after="0" w:line="184" w:lineRule="exact"/>
              <w:rPr>
                <w:sz w:val="20"/>
                <w:szCs w:val="20"/>
                <w:color w:val="auto"/>
              </w:rPr>
            </w:pPr>
            <w:r>
              <w:rPr>
                <w:rFonts w:ascii="Arial" w:cs="Arial" w:eastAsia="Arial" w:hAnsi="Arial"/>
                <w:sz w:val="16"/>
                <w:szCs w:val="16"/>
                <w:color w:val="auto"/>
                <w:w w:val="92"/>
              </w:rPr>
              <w:t xml:space="preserve">Emerging growth company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r>
        <w:trPr>
          <w:trHeight w:val="221"/>
        </w:trPr>
        <w:tc>
          <w:tcPr>
            <w:tcW w:w="442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right="12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ind w:left="320" w:right="1760"/>
        <w:spacing w:after="0" w:line="29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The number of outstanding shares of the registrant’s Common Stock, $.001 par value, was 211,969,163 as of April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141605</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536575</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226" w:right="7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060" w:type="dxa"/>
            <w:vAlign w:val="bottom"/>
            <w:gridSpan w:val="2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5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gridSpan w:val="8"/>
          </w:tcPr>
          <w:p>
            <w:pPr>
              <w:jc w:val="center"/>
              <w:ind w:right="2120"/>
              <w:spacing w:after="0"/>
              <w:rPr>
                <w:sz w:val="20"/>
                <w:szCs w:val="20"/>
                <w:color w:val="auto"/>
              </w:rPr>
            </w:pPr>
            <w:r>
              <w:rPr>
                <w:rFonts w:ascii="Arial" w:cs="Arial" w:eastAsia="Arial" w:hAnsi="Arial"/>
                <w:sz w:val="18"/>
                <w:szCs w:val="18"/>
                <w:b w:val="1"/>
                <w:bCs w:val="1"/>
                <w:color w:val="auto"/>
              </w:rPr>
              <w:t>INCYTE CORPORATION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gridSpan w:val="7"/>
          </w:tcPr>
          <w:p>
            <w:pPr>
              <w:jc w:val="center"/>
              <w:ind w:right="2700"/>
              <w:spacing w:after="0"/>
              <w:rPr>
                <w:sz w:val="20"/>
                <w:szCs w:val="20"/>
                <w:color w:val="auto"/>
              </w:rPr>
            </w:pPr>
            <w:r>
              <w:rPr>
                <w:rFonts w:ascii="Arial" w:cs="Arial" w:eastAsia="Arial" w:hAnsi="Arial"/>
                <w:sz w:val="18"/>
                <w:szCs w:val="18"/>
                <w:b w:val="1"/>
                <w:bCs w:val="1"/>
                <w:color w:val="auto"/>
              </w:rPr>
              <w:t>INDEX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6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3">
              <w:r>
                <w:rPr>
                  <w:rFonts w:ascii="Arial" w:cs="Arial" w:eastAsia="Arial" w:hAnsi="Arial"/>
                  <w:sz w:val="18"/>
                  <w:szCs w:val="18"/>
                  <w:b w:val="1"/>
                  <w:bCs w:val="1"/>
                  <w:color w:val="0000EE"/>
                </w:rPr>
                <w:t>FINANCIAL INFORMATION</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80" w:type="dxa"/>
            <w:vAlign w:val="bottom"/>
            <w:tcBorders>
              <w:top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Item 1.</w:t>
              </w:r>
            </w:hyperlink>
          </w:p>
        </w:tc>
        <w:tc>
          <w:tcPr>
            <w:tcW w:w="16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94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362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6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220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0" w:type="dxa"/>
            <w:vAlign w:val="bottom"/>
            <w:gridSpan w:val="5"/>
            <w:vMerge w:val="restart"/>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2.</w:t>
              </w:r>
            </w:hyperlink>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gridSpan w:val="5"/>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3.</w:t>
              </w:r>
            </w:hyperlink>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gridSpan w:val="5"/>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4.</w:t>
              </w:r>
            </w:hyperlink>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60" w:type="dxa"/>
            <w:vAlign w:val="bottom"/>
            <w:gridSpan w:val="22"/>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64">
              <w:r>
                <w:rPr>
                  <w:rFonts w:ascii="Arial" w:cs="Arial" w:eastAsia="Arial" w:hAnsi="Arial"/>
                  <w:sz w:val="18"/>
                  <w:szCs w:val="18"/>
                  <w:b w:val="1"/>
                  <w:bCs w:val="1"/>
                  <w:color w:val="0000EE"/>
                </w:rPr>
                <w:t>OTHER INFORMATION</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64">
              <w:r>
                <w:rPr>
                  <w:rFonts w:ascii="Arial" w:cs="Arial" w:eastAsia="Arial" w:hAnsi="Arial"/>
                  <w:sz w:val="18"/>
                  <w:szCs w:val="18"/>
                  <w:b w:val="1"/>
                  <w:bCs w:val="1"/>
                  <w:color w:val="0000EE"/>
                  <w:w w:val="94"/>
                </w:rPr>
                <w:t>Item 1A.</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64">
              <w:r>
                <w:rPr>
                  <w:rFonts w:ascii="Arial" w:cs="Arial" w:eastAsia="Arial" w:hAnsi="Arial"/>
                  <w:sz w:val="18"/>
                  <w:szCs w:val="18"/>
                  <w:color w:val="0000EE"/>
                  <w:w w:val="85"/>
                </w:rPr>
                <w:t>Risk Factors</w:t>
              </w:r>
            </w:hyperlink>
          </w:p>
        </w:tc>
        <w:tc>
          <w:tcPr>
            <w:tcW w:w="6380" w:type="dxa"/>
            <w:vAlign w:val="bottom"/>
            <w:gridSpan w:val="1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2"/>
        </w:trPr>
        <w:tc>
          <w:tcPr>
            <w:tcW w:w="740" w:type="dxa"/>
            <w:vAlign w:val="bottom"/>
            <w:gridSpan w:val="5"/>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Item 6.</w:t>
              </w:r>
            </w:hyperlink>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2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87">
              <w:r>
                <w:rPr>
                  <w:rFonts w:ascii="Arial" w:cs="Arial" w:eastAsia="Arial" w:hAnsi="Arial"/>
                  <w:sz w:val="18"/>
                  <w:szCs w:val="18"/>
                  <w:color w:val="0000EE"/>
                  <w:w w:val="83"/>
                </w:rPr>
                <w:t>Signatures</w:t>
              </w:r>
            </w:hyperlink>
          </w:p>
        </w:tc>
        <w:tc>
          <w:tcPr>
            <w:tcW w:w="652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2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894,427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899,509</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Marketable securities—available-for-sale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276,632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270,136</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220,190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266,299</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6,482</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62,428</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1,469,555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1,504,854</w:t>
            </w:r>
          </w:p>
        </w:tc>
        <w:tc>
          <w:tcPr>
            <w:tcW w:w="18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134,356</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7,966</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231,517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236,901</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80" w:type="dxa"/>
            <w:vAlign w:val="bottom"/>
            <w:tcBorders>
              <w:bottom w:val="single" w:sz="8" w:color="CCEEFF"/>
            </w:tcBorders>
          </w:tcPr>
          <w:p>
            <w:pPr>
              <w:spacing w:after="0"/>
              <w:rPr>
                <w:sz w:val="18"/>
                <w:szCs w:val="18"/>
                <w:color w:val="auto"/>
              </w:rPr>
            </w:pPr>
          </w:p>
        </w:tc>
      </w:tr>
      <w:tr>
        <w:trPr>
          <w:trHeight w:val="217"/>
        </w:trPr>
        <w:tc>
          <w:tcPr>
            <w:tcW w:w="6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2,306,012</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2,302,582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67,671</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74,550</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payable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219,873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198,901</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Convertible senior notes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26,848</w:t>
            </w:r>
          </w:p>
        </w:tc>
        <w:tc>
          <w:tcPr>
            <w:tcW w:w="180" w:type="dxa"/>
            <w:vAlign w:val="bottom"/>
            <w:tcBorders>
              <w:bottom w:val="single" w:sz="8" w:color="CCEEFF"/>
            </w:tcBorders>
          </w:tcPr>
          <w:p>
            <w:pPr>
              <w:spacing w:after="0"/>
              <w:rPr>
                <w:sz w:val="18"/>
                <w:szCs w:val="18"/>
                <w:color w:val="auto"/>
              </w:rPr>
            </w:pPr>
          </w:p>
        </w:tc>
      </w:tr>
      <w:tr>
        <w:trPr>
          <w:trHeight w:val="210"/>
        </w:trPr>
        <w:tc>
          <w:tcPr>
            <w:tcW w:w="6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375,396</w:t>
            </w:r>
          </w:p>
        </w:tc>
        <w:tc>
          <w:tcPr>
            <w:tcW w:w="18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258,825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260,152</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19,797</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677,968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671,953</w:t>
            </w:r>
          </w:p>
        </w:tc>
        <w:tc>
          <w:tcPr>
            <w:tcW w:w="180" w:type="dxa"/>
            <w:vAlign w:val="bottom"/>
            <w:tcBorders>
              <w:bottom w:val="single" w:sz="8" w:color="CCEEFF"/>
            </w:tcBorders>
          </w:tcPr>
          <w:p>
            <w:pPr>
              <w:spacing w:after="0"/>
              <w:rPr>
                <w:sz w:val="18"/>
                <w:szCs w:val="18"/>
                <w:color w:val="auto"/>
              </w:rPr>
            </w:pPr>
          </w:p>
        </w:tc>
      </w:tr>
      <w:tr>
        <w:trPr>
          <w:trHeight w:val="210"/>
        </w:trPr>
        <w:tc>
          <w:tcPr>
            <w:tcW w:w="2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66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Preferred stock, $0.001 par value; 5,000,000 shares authorized; none issued or</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outstanding as of March 31, 2018 and December 31, 2017</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66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5"/>
              </w:rPr>
              <w:t>Common stock, $0.001 par value; 400,000,000 shares authorized; 211,888,186 and</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w w:val="94"/>
              </w:rPr>
              <w:t>211,262,906 shares issued and outstanding as of March 31, 2018 and December 31,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2017, respectively</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3,666,346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3,627,433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(7,010)</w:t>
            </w: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(2,028,392)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(1,990,005)</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1,628,044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1,630,629</w:t>
            </w:r>
          </w:p>
        </w:tc>
        <w:tc>
          <w:tcPr>
            <w:tcW w:w="180" w:type="dxa"/>
            <w:vAlign w:val="bottom"/>
            <w:tcBorders>
              <w:bottom w:val="single" w:sz="8" w:color="CCEEFF"/>
            </w:tcBorders>
          </w:tcPr>
          <w:p>
            <w:pPr>
              <w:spacing w:after="0"/>
              <w:rPr>
                <w:sz w:val="18"/>
                <w:szCs w:val="18"/>
                <w:color w:val="auto"/>
              </w:rPr>
            </w:pPr>
          </w:p>
        </w:tc>
      </w:tr>
      <w:tr>
        <w:trPr>
          <w:trHeight w:val="217"/>
        </w:trPr>
        <w:tc>
          <w:tcPr>
            <w:tcW w:w="6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2,306,012</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2,302,582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85" w:lineRule="exact"/>
        <w:rPr>
          <w:sz w:val="20"/>
          <w:szCs w:val="20"/>
          <w:color w:val="auto"/>
        </w:rPr>
      </w:pPr>
    </w:p>
    <w:p>
      <w:pPr>
        <w:ind w:left="200" w:hanging="197"/>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condensed consolidated balance sheet at December 31, 2017 has been derived from the audited financial statements at that date.</w:t>
      </w:r>
    </w:p>
    <w:p>
      <w:pPr>
        <w:spacing w:after="0" w:line="42" w:lineRule="exact"/>
        <w:rPr>
          <w:rFonts w:ascii="Arial" w:cs="Arial" w:eastAsia="Arial" w:hAnsi="Arial"/>
          <w:sz w:val="14"/>
          <w:szCs w:val="14"/>
          <w:color w:val="auto"/>
        </w:rPr>
      </w:pPr>
    </w:p>
    <w:p>
      <w:pPr>
        <w:ind w:left="3720"/>
        <w:spacing w:after="0" w:line="230" w:lineRule="auto"/>
        <w:rPr>
          <w:rFonts w:ascii="Arial" w:cs="Arial" w:eastAsia="Arial" w:hAnsi="Arial"/>
          <w:sz w:val="14"/>
          <w:szCs w:val="14"/>
          <w:color w:val="auto"/>
        </w:rPr>
      </w:pPr>
      <w:r>
        <w:rPr>
          <w:rFonts w:ascii="Arial" w:cs="Arial" w:eastAsia="Arial" w:hAnsi="Arial"/>
          <w:sz w:val="16"/>
          <w:szCs w:val="16"/>
          <w:color w:val="auto"/>
        </w:rPr>
        <w:t>See accompanying notes</w:t>
      </w:r>
      <w:r>
        <w:rPr>
          <w:rFonts w:ascii="Arial" w:cs="Arial" w:eastAsia="Arial" w:hAnsi="Arial"/>
          <w:sz w:val="18"/>
          <w:szCs w:val="18"/>
          <w:color w:val="auto"/>
        </w:rPr>
        <w: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47"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jc w:val="center"/>
        <w:ind w:left="6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Product revenues, net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334,505</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264,807</w:t>
            </w: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royalty 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w:t>
            </w: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Milestone revenues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90,000</w:t>
            </w: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382,282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384,082</w:t>
            </w:r>
          </w:p>
        </w:tc>
        <w:tc>
          <w:tcPr>
            <w:tcW w:w="180" w:type="dxa"/>
            <w:vAlign w:val="bottom"/>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Cost of product revenues (including definite-lived intangible amortization)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14,824</w:t>
            </w: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407,920</w:t>
            </w: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121,498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87,229</w:t>
            </w: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180" w:type="dxa"/>
            <w:vAlign w:val="bottom"/>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449,392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517,329</w:t>
            </w:r>
          </w:p>
        </w:tc>
        <w:tc>
          <w:tcPr>
            <w:tcW w:w="180" w:type="dxa"/>
            <w:vAlign w:val="bottom"/>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(133,247)</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1,147</w:t>
            </w: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(5,939)</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Unrealized gain (loss) on long term investments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(5,814)</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Expense related to senior note conversions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(54,130)</w:t>
            </w:r>
          </w:p>
        </w:tc>
      </w:tr>
      <w:tr>
        <w:trPr>
          <w:trHeight w:val="210"/>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provision (benefit) for income taxes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(197,983)</w:t>
            </w:r>
          </w:p>
        </w:tc>
      </w:tr>
      <w:tr>
        <w:trPr>
          <w:trHeight w:val="216"/>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(10,900)</w:t>
            </w:r>
          </w:p>
        </w:tc>
      </w:tr>
      <w:tr>
        <w:trPr>
          <w:trHeight w:val="210"/>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(187,083)</w:t>
            </w:r>
          </w:p>
        </w:tc>
      </w:tr>
      <w:tr>
        <w:trPr>
          <w:trHeight w:val="216"/>
        </w:trPr>
        <w:tc>
          <w:tcPr>
            <w:tcW w:w="6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(0.96)</w:t>
            </w:r>
          </w:p>
        </w:tc>
      </w:tr>
      <w:tr>
        <w:trPr>
          <w:trHeight w:val="216"/>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195,260</w:t>
            </w:r>
          </w:p>
        </w:tc>
        <w:tc>
          <w:tcPr>
            <w:tcW w:w="180" w:type="dxa"/>
            <w:vAlign w:val="bottom"/>
            <w:shd w:val="clear" w:color="auto" w:fill="CCEEFF"/>
          </w:tcPr>
          <w:p>
            <w:pPr>
              <w:spacing w:after="0"/>
              <w:rPr>
                <w:sz w:val="18"/>
                <w:szCs w:val="18"/>
                <w:color w:val="auto"/>
              </w:rPr>
            </w:pPr>
          </w:p>
        </w:tc>
      </w:tr>
      <w:tr>
        <w:trPr>
          <w:trHeight w:val="594"/>
        </w:trPr>
        <w:tc>
          <w:tcPr>
            <w:tcW w:w="6140" w:type="dxa"/>
            <w:vAlign w:val="bottom"/>
          </w:tcPr>
          <w:p>
            <w:pPr>
              <w:ind w:left="3620"/>
              <w:spacing w:after="0"/>
              <w:rPr>
                <w:sz w:val="20"/>
                <w:szCs w:val="20"/>
                <w:color w:val="auto"/>
              </w:rPr>
            </w:pPr>
            <w:r>
              <w:rPr>
                <w:rFonts w:ascii="Arial" w:cs="Arial" w:eastAsia="Arial" w:hAnsi="Arial"/>
                <w:sz w:val="18"/>
                <w:szCs w:val="18"/>
                <w:color w:val="auto"/>
              </w:rPr>
              <w:t>See accompanying notes.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97"/>
        </w:trPr>
        <w:tc>
          <w:tcPr>
            <w:tcW w:w="6140" w:type="dxa"/>
            <w:vAlign w:val="bottom"/>
          </w:tcPr>
          <w:p>
            <w:pPr>
              <w:ind w:left="448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9"/>
        </w:trPr>
        <w:tc>
          <w:tcPr>
            <w:tcW w:w="6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 Months Ended</w:t>
      </w:r>
    </w:p>
    <w:p>
      <w:pPr>
        <w:jc w:val="center"/>
        <w:ind w:left="6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(187,083)</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marketable securities, net of tax</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Unrealized gain on long term investment, net of tax (Note 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8,258</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obligations, net of tax</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r>
      <w:tr>
        <w:trPr>
          <w:trHeight w:val="210"/>
        </w:trPr>
        <w:tc>
          <w:tcPr>
            <w:tcW w:w="612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8,263</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Comprehensive loss</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(41,499)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(178,820)</w:t>
            </w:r>
          </w:p>
        </w:tc>
      </w:tr>
      <w:tr>
        <w:trPr>
          <w:trHeight w:val="378"/>
        </w:trPr>
        <w:tc>
          <w:tcPr>
            <w:tcW w:w="6120" w:type="dxa"/>
            <w:vAlign w:val="bottom"/>
          </w:tcPr>
          <w:p>
            <w:pPr>
              <w:ind w:left="3620"/>
              <w:spacing w:after="0"/>
              <w:rPr>
                <w:sz w:val="20"/>
                <w:szCs w:val="20"/>
                <w:color w:val="auto"/>
              </w:rPr>
            </w:pPr>
            <w:r>
              <w:rPr>
                <w:rFonts w:ascii="Arial" w:cs="Arial" w:eastAsia="Arial" w:hAnsi="Arial"/>
                <w:sz w:val="18"/>
                <w:szCs w:val="18"/>
                <w:color w:val="auto"/>
              </w:rPr>
              <w:t>See accompanying notes.</w:t>
            </w:r>
          </w:p>
        </w:tc>
        <w:tc>
          <w:tcPr>
            <w:tcW w:w="6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621"/>
        </w:trPr>
        <w:tc>
          <w:tcPr>
            <w:tcW w:w="6120" w:type="dxa"/>
            <w:vAlign w:val="bottom"/>
          </w:tcPr>
          <w:p>
            <w:pPr>
              <w:ind w:left="448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6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line="225" w:lineRule="auto"/>
        <w:rPr>
          <w:sz w:val="20"/>
          <w:szCs w:val="20"/>
          <w:color w:val="auto"/>
        </w:rPr>
      </w:pPr>
      <w:r>
        <w:rPr>
          <w:rFonts w:ascii="Arial" w:cs="Arial" w:eastAsia="Arial" w:hAnsi="Arial"/>
          <w:sz w:val="18"/>
          <w:szCs w:val="18"/>
          <w:b w:val="1"/>
          <w:bCs w:val="1"/>
          <w:color w:val="auto"/>
        </w:rPr>
        <w:t>(unaudited)</w:t>
      </w:r>
    </w:p>
    <w:p>
      <w:pPr>
        <w:jc w:val="center"/>
        <w:ind w:left="7040"/>
        <w:spacing w:after="0" w:line="221" w:lineRule="auto"/>
        <w:rPr>
          <w:sz w:val="20"/>
          <w:szCs w:val="20"/>
          <w:color w:val="auto"/>
        </w:rPr>
      </w:pPr>
      <w:r>
        <w:rPr>
          <w:rFonts w:ascii="Arial" w:cs="Arial" w:eastAsia="Arial" w:hAnsi="Arial"/>
          <w:sz w:val="14"/>
          <w:szCs w:val="14"/>
          <w:b w:val="1"/>
          <w:bCs w:val="1"/>
          <w:color w:val="auto"/>
        </w:rPr>
        <w:t>Three Months Ended</w:t>
      </w:r>
    </w:p>
    <w:p>
      <w:pPr>
        <w:jc w:val="center"/>
        <w:ind w:left="704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(41,140)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(187,083)</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15,027</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30,613</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Expense related to senior note conversions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54,130</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Unrealized (gain) loss on long 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(22,679)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5,814</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(96,217)</w:t>
            </w:r>
          </w:p>
        </w:tc>
      </w:tr>
      <w:tr>
        <w:trPr>
          <w:trHeight w:val="216"/>
        </w:trPr>
        <w:tc>
          <w:tcPr>
            <w:tcW w:w="700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(18,922)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(25,094)</w:t>
            </w:r>
          </w:p>
        </w:tc>
      </w:tr>
      <w:tr>
        <w:trPr>
          <w:trHeight w:val="216"/>
        </w:trPr>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10,728</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and other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80" w:type="dxa"/>
            <w:vAlign w:val="bottom"/>
            <w:shd w:val="clear" w:color="auto" w:fill="CCEEFF"/>
          </w:tcPr>
          <w:p>
            <w:pPr>
              <w:spacing w:after="0"/>
              <w:rPr>
                <w:sz w:val="18"/>
                <w:szCs w:val="18"/>
                <w:color w:val="auto"/>
              </w:rPr>
            </w:pPr>
          </w:p>
        </w:tc>
      </w:tr>
      <w:tr>
        <w:trPr>
          <w:trHeight w:val="210"/>
        </w:trPr>
        <w:tc>
          <w:tcPr>
            <w:tcW w:w="7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(173,638)</w:t>
            </w:r>
          </w:p>
        </w:tc>
        <w:tc>
          <w:tcPr>
            <w:tcW w:w="8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Purchase of long 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(8,937)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(123,891)</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(12,590)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(20,967)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(38,033)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(106,271)</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Sale and maturities of marketable securities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112,310</w:t>
            </w:r>
          </w:p>
        </w:tc>
        <w:tc>
          <w:tcPr>
            <w:tcW w:w="80" w:type="dxa"/>
            <w:vAlign w:val="bottom"/>
            <w:shd w:val="clear" w:color="auto" w:fill="CCEEFF"/>
          </w:tcPr>
          <w:p>
            <w:pPr>
              <w:spacing w:after="0"/>
              <w:rPr>
                <w:sz w:val="18"/>
                <w:szCs w:val="18"/>
                <w:color w:val="auto"/>
              </w:rPr>
            </w:pPr>
          </w:p>
        </w:tc>
      </w:tr>
      <w:tr>
        <w:trPr>
          <w:trHeight w:val="210"/>
        </w:trPr>
        <w:tc>
          <w:tcPr>
            <w:tcW w:w="7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(28,528)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(138,819)</w:t>
            </w:r>
          </w:p>
        </w:tc>
        <w:tc>
          <w:tcPr>
            <w:tcW w:w="8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33,736</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senior note conversions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(3,679)</w:t>
            </w:r>
          </w:p>
        </w:tc>
      </w:tr>
      <w:tr>
        <w:trPr>
          <w:trHeight w:val="210"/>
        </w:trPr>
        <w:tc>
          <w:tcPr>
            <w:tcW w:w="70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cash equivalents, restricted cash and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(290,504)</w:t>
            </w:r>
          </w:p>
        </w:tc>
      </w:tr>
      <w:tr>
        <w:trPr>
          <w:trHeight w:val="216"/>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900,434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653,229</w:t>
            </w:r>
          </w:p>
        </w:tc>
        <w:tc>
          <w:tcPr>
            <w:tcW w:w="80" w:type="dxa"/>
            <w:vAlign w:val="bottom"/>
            <w:tcBorders>
              <w:bottom w:val="single" w:sz="8" w:color="CCEEFF"/>
            </w:tcBorders>
          </w:tcPr>
          <w:p>
            <w:pPr>
              <w:spacing w:after="0"/>
              <w:rPr>
                <w:sz w:val="18"/>
                <w:szCs w:val="18"/>
                <w:color w:val="auto"/>
              </w:rPr>
            </w:pPr>
          </w:p>
        </w:tc>
      </w:tr>
      <w:tr>
        <w:trPr>
          <w:trHeight w:val="23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895,374</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362,725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3"/>
        </w:trPr>
        <w:tc>
          <w:tcPr>
            <w:tcW w:w="7000" w:type="dxa"/>
            <w:vAlign w:val="bottom"/>
          </w:tcPr>
          <w:p>
            <w:pPr>
              <w:spacing w:after="0" w:line="203" w:lineRule="exact"/>
              <w:rPr>
                <w:sz w:val="20"/>
                <w:szCs w:val="20"/>
                <w:color w:val="auto"/>
              </w:rPr>
            </w:pPr>
            <w:r>
              <w:rPr>
                <w:rFonts w:ascii="Arial" w:cs="Arial" w:eastAsia="Arial" w:hAnsi="Arial"/>
                <w:sz w:val="18"/>
                <w:szCs w:val="18"/>
                <w:b w:val="1"/>
                <w:bCs w:val="1"/>
                <w:color w:val="auto"/>
              </w:rPr>
              <w:t>Supplemental Schedule of Cash Flow Information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80" w:type="dxa"/>
            <w:vAlign w:val="bottom"/>
            <w:shd w:val="clear" w:color="auto" w:fill="CCEEFF"/>
          </w:tcPr>
          <w:p>
            <w:pPr>
              <w:spacing w:after="0"/>
              <w:rPr>
                <w:sz w:val="18"/>
                <w:szCs w:val="18"/>
                <w:color w:val="auto"/>
              </w:rPr>
            </w:pP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3"/>
              </w:rPr>
              <w:t>Reclassification to common stock and additional paid in capital in connection with conversions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of 0.375% convertible senior notes due 2018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334,162</w:t>
            </w:r>
          </w:p>
        </w:tc>
        <w:tc>
          <w:tcPr>
            <w:tcW w:w="80" w:type="dxa"/>
            <w:vAlign w:val="bottom"/>
          </w:tcPr>
          <w:p>
            <w:pPr>
              <w:spacing w:after="0"/>
              <w:rPr>
                <w:sz w:val="20"/>
                <w:szCs w:val="20"/>
                <w:color w:val="auto"/>
              </w:rPr>
            </w:pP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Reclassification to common stock and additional paid in capital in connection with conversions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of 1.25% convertible senior notes due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328,382</w:t>
            </w:r>
          </w:p>
        </w:tc>
        <w:tc>
          <w:tcPr>
            <w:tcW w:w="80" w:type="dxa"/>
            <w:vAlign w:val="bottom"/>
            <w:shd w:val="clear" w:color="auto" w:fill="CCEEFF"/>
          </w:tcPr>
          <w:p>
            <w:pPr>
              <w:spacing w:after="0"/>
              <w:rPr>
                <w:sz w:val="20"/>
                <w:szCs w:val="20"/>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Unpaid purchases of property and equipment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9,139</w:t>
            </w:r>
          </w:p>
        </w:tc>
        <w:tc>
          <w:tcPr>
            <w:tcW w:w="80" w:type="dxa"/>
            <w:vAlign w:val="bottom"/>
          </w:tcPr>
          <w:p>
            <w:pPr>
              <w:spacing w:after="0"/>
              <w:rPr>
                <w:sz w:val="20"/>
                <w:szCs w:val="20"/>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line="204" w:lineRule="auto"/>
        <w:rPr>
          <w:sz w:val="20"/>
          <w:szCs w:val="20"/>
          <w:color w:val="auto"/>
        </w:rPr>
      </w:pPr>
      <w:r>
        <w:rPr>
          <w:rFonts w:ascii="Arial" w:cs="Arial" w:eastAsia="Arial" w:hAnsi="Arial"/>
          <w:sz w:val="18"/>
          <w:szCs w:val="18"/>
          <w:b w:val="1"/>
          <w:bCs w:val="1"/>
          <w:color w:val="auto"/>
        </w:rPr>
        <w:t>March 31, 2018</w:t>
      </w:r>
    </w:p>
    <w:p>
      <w:pPr>
        <w:jc w:val="center"/>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ind w:left="360" w:hanging="357"/>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and ICLUSIG® (ponatinib). Our operations are treated as one operating segment.</w:t>
      </w:r>
    </w:p>
    <w:p>
      <w:pPr>
        <w:spacing w:after="0" w:line="183" w:lineRule="exact"/>
        <w:rPr>
          <w:sz w:val="20"/>
          <w:szCs w:val="20"/>
          <w:color w:val="auto"/>
        </w:rPr>
      </w:pPr>
    </w:p>
    <w:p>
      <w:pPr>
        <w:ind w:left="660" w:right="5400" w:hanging="657"/>
        <w:spacing w:after="0" w:line="503" w:lineRule="auto"/>
        <w:tabs>
          <w:tab w:leader="none" w:pos="37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March 31, 2018 and the condensed consolidated statements of operations, and comprehensive income (loss) for the three months ended March 31, 2018 and 2017, and the condensed consolidated statement of cash flows for the three months ended March 31, 2018 and 2017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2017 has been derived from audited financial statements.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2017.</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our wholly owned subsidiaries. All inter-company accounts, transactions, and profits have been eliminated in consolidation.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Foreign Currency Translation</w:t>
      </w:r>
      <w:r>
        <w:rPr>
          <w:rFonts w:ascii="Arial" w:cs="Arial" w:eastAsia="Arial" w:hAnsi="Arial"/>
          <w:sz w:val="17"/>
          <w:szCs w:val="17"/>
          <w:color w:val="auto"/>
        </w:rPr>
        <w:t>. Operations in non-U.S. entities are recorded in the functional currency of each entity.</w:t>
      </w:r>
      <w:r>
        <w:rPr>
          <w:rFonts w:ascii="Arial" w:cs="Arial" w:eastAsia="Arial" w:hAnsi="Arial"/>
          <w:sz w:val="17"/>
          <w:szCs w:val="17"/>
          <w:i w:val="1"/>
          <w:iCs w:val="1"/>
          <w:color w:val="auto"/>
        </w:rPr>
        <w:t xml:space="preserve"> </w:t>
      </w:r>
      <w:r>
        <w:rPr>
          <w:rFonts w:ascii="Arial" w:cs="Arial" w:eastAsia="Arial" w:hAnsi="Arial"/>
          <w:sz w:val="17"/>
          <w:szCs w:val="17"/>
          <w:color w:val="auto"/>
        </w:rPr>
        <w:t>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on the condensed consolidated statements of operations.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Cash, cash equivalents, marketable securities, trade receivables and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are financial instruments which potentially subject us to concentrations of credit risk. The estimated fair value of financial instruments approximates the carrying value based on available market information. We primarily invest our excess available funds in debt securities and, by policy, limit the amount of credit exposure to any one issuer and to any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one type of investment, other than securities issued or guaranteed by the U.S. government and money market funds that meet certain guidelines. Our receivables mainly relate to our product sales of JAKAFI, ICLUSIG and collaborative agreements with pharmaceutical companies. We have not experienced any significant credit losses on cash, cash equivalents, marketable securities, trade receivables or restricted investments to date and do not require collateral on receivables.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are defined as all liquid investments and money market funds with maturity from date of purchase of 90 days or less that are readily convertible into cash.</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Marketable Securities—Available-for-Sale. </w:t>
      </w:r>
      <w:r>
        <w:rPr>
          <w:rFonts w:ascii="Arial" w:cs="Arial" w:eastAsia="Arial" w:hAnsi="Arial"/>
          <w:sz w:val="16"/>
          <w:szCs w:val="16"/>
          <w:color w:val="auto"/>
        </w:rPr>
        <w:t>Our marketable securities consist of investments in corporate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U.S. government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March 31, 2018 and December 31, 2017, we had no allowance for doubtful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JAKAFI raw materials and work-in-process inventory is not subject to expiration and the shelf life of finished goods inventory is 36 months from the start of manufacturing of the finished goods. ICLUSIG raw materials and work-in-process inventory is not subject to expiration and finished goods inventory has a shelf life of 24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Variable Interest Entities</w:t>
      </w:r>
      <w:r>
        <w:rPr>
          <w:rFonts w:ascii="Arial" w:cs="Arial" w:eastAsia="Arial" w:hAnsi="Arial"/>
          <w:sz w:val="17"/>
          <w:szCs w:val="17"/>
          <w:color w:val="auto"/>
        </w:rPr>
        <w:t>. We perform an initial and ongoing evaluation of the entities with which we have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March 31, 2018, there were no entities in which we held a variable interest which we determined to be VIEs.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Long Term Equity Investments. </w:t>
      </w:r>
      <w:r>
        <w:rPr>
          <w:rFonts w:ascii="Arial" w:cs="Arial" w:eastAsia="Arial" w:hAnsi="Arial"/>
          <w:sz w:val="18"/>
          <w:szCs w:val="18"/>
          <w:color w:val="auto"/>
        </w:rPr>
        <w:t>Our long term equity investments consist of investments in common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publicly-held companies with whom we have entered into collaboration and license agreements. We classify all of our equity investments in common stock of publicly-held companies as long term investments. Our equity investments are accounted for at fair value using readily determinable pricing available on a securities exchange on our condensed consolidated balance sheets as a long term investment. All changes in fair value are reported in our condensed consolidated statements of operations as an unrealized gain (loss) on long term investments.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assessing whether we exercise significant influence over any of the companies in which we hold equity investments, we consider the nature and magnitude of our investment, any voting and protective rights we hold, 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Property and equipment is stated at cost, less accumulated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is recorded using the straight-line method over the estimated useful lives of the respective assets. Leasehold improvements are amortized over the shorter of the estimated useful life of the assets or lease term.</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continually reviews the estimated useful lives of technologically sensitive equipment and believes that those estimates appropriately reflect the current useful life of our assets. In the event that a currently unknown significantly advanced technology became commercially available, we would re-evaluate the value and estimated useful lives of our existing equipment, possibly having a material impact on the financial statements.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Lease Accounting. </w:t>
      </w:r>
      <w:r>
        <w:rPr>
          <w:rFonts w:ascii="Arial" w:cs="Arial" w:eastAsia="Arial" w:hAnsi="Arial"/>
          <w:sz w:val="18"/>
          <w:szCs w:val="18"/>
          <w:color w:val="auto"/>
        </w:rPr>
        <w:t>We account for operating leases by recording rent expense on a straight-line basis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the lease, commencing on the date we gain possession of leased property. We include tenant improvement allowances and rent holidays received from landlords and the effect of any rent escalation clauses to determine the straight-line rent expense over the expected life of the lease.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Capital leases are reflected as a liability at the inception of the lease based on the present value of the minimum lease payments or, if lower, the fair value of the property. Assets under capital leases are recorded in property and equipment, net on the condensed consolidated balance sheets and depreciated in a manner similar to other property and equipment.</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2017 and determined that the carrying value of our reporting unit was not impaired.</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income taxes using the asset and liability approach which requires the 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we follow the guidance related to accounting for uncertainty in income taxes. This guidance creates a single model to address uncertainty in tax positions and clarifies the accounting for income taxes by prescribing the minimum recognition threshold a tax position is required to meet before it is recognized in the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Financing Costs Related to Long-term Debt. </w:t>
      </w:r>
      <w:r>
        <w:rPr>
          <w:rFonts w:ascii="Arial" w:cs="Arial" w:eastAsia="Arial" w:hAnsi="Arial"/>
          <w:sz w:val="16"/>
          <w:szCs w:val="16"/>
          <w:color w:val="auto"/>
        </w:rPr>
        <w:t>Costs associated with obtaining long-term debt are deferred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over the term of the related debt using the effective interest method. Such costs are presented as a direct deduction from the carrying amount of the long-term debt liability, consistent with debt discounts, on the consolidated balance sheets.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Grant Accounting. </w:t>
      </w:r>
      <w:r>
        <w:rPr>
          <w:rFonts w:ascii="Arial" w:cs="Arial" w:eastAsia="Arial" w:hAnsi="Arial"/>
          <w:sz w:val="18"/>
          <w:szCs w:val="18"/>
          <w:color w:val="auto"/>
        </w:rPr>
        <w:t>Grant amounts received from government agencies for operations are deferred and are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into income over the service period of the grant. Grant amounts received for purchases of capital assets are deferred and amortized into other income (expense), net over the useful life of the related capital assets. Such amounts are recorded in other liabilities on the condensed consolidated balance sheets.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Net Income (Loss) Per Share. </w:t>
      </w:r>
      <w:r>
        <w:rPr>
          <w:rFonts w:ascii="Arial" w:cs="Arial" w:eastAsia="Arial" w:hAnsi="Arial"/>
          <w:sz w:val="18"/>
          <w:szCs w:val="18"/>
          <w:color w:val="auto"/>
        </w:rPr>
        <w:t>Our basic and diluted net income (loss) per share is calculated by dividing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(loss) by the weighted average number of shares of common stock outstanding during all periods presented. Options to purchase stock, restricted stock units and shares issuable upon the conversion of convertible debt are included in diluted earnings per share calculations, unless the effects are anti-dilutive.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marketable securities that are classified as available-for-sale, foreign currency translation gains or losses and defined benefit pension obligations. For the year ended December 31, 2017 and interim periods therein, accumulated other comprehensive income (loss) included unrealized gains and losses on our long-term investment classified as available-for-sale in Calithera Biosciences, Inc. Upon adoption of ASU No. 2016-01, we recorded a $2.8 million adjustment to retained earnings as of January 1, 2018 which is further described below under “Recent Accounting Pronouncements.”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new accounting standard for the recognition of revenue, ASC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 Overall, adoption of the new standard did not significantly alter our methodology for recognition of revenue.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revenues consist of U.S. sales of JAKAFI and European sales of ICLUSIG. Product revenues are recognized once we meet the revenue recognition criteria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which currently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Medicare Part D Coverage Gap: </w:t>
      </w:r>
      <w:r>
        <w:rPr>
          <w:rFonts w:ascii="Arial" w:cs="Arial" w:eastAsia="Arial" w:hAnsi="Arial"/>
          <w:sz w:val="18"/>
          <w:szCs w:val="18"/>
          <w:color w:val="auto"/>
        </w:rPr>
        <w:t>Medicare Part D prescription drug benefit mandates manufacturers to fund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We recognize royalty revenues in the period the sales occur.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product revenues includes all JAKAFI related product costs as well as ICLUSIG related product costs. The ICLUSIG inventories were recorded at fair value less costs to sell in connection with our June 2016 acquisition of ARIAD Pharmaceuticals (Luxembourg) S.à.r.l., since renamed Incyte Biosciences Luxembourg S.à.r.l. (the “Acquisition”), which resulted in a higher cost of ICLUSIG product revenues over a one year period from the acquisition date. In addition, cost of product revenues include low single-digit royalties under our collaboration and license agreement to Novartis on all future sales of JAKAFI in the United States. Subsequent to the Acquisition on June 1, 2016, cost of product revenues also includes the amortization of our licensed intellectual property for ICLUSIG using the straight-line method over the estimated useful life of 12.5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Contract and License 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typical customer arrangements which fall within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include distinct drug compound out-licensing, collection of upfront payments, milestones or royalty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Some contracts form collaborative arrangements of various types with third-parties. We assess whether the nature of the arrangement is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in conjunction with the new revenue guidance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We often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clinical trial collaboration agreements we may be reimbursed for certain development costs incurred. Such costs are recorded as a reduction of research and development expense in the period in which the related expense is incurred.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over the remaining requisite service period. We recorded $36.2 million and $30.6 million of stock compensation expense on our condensed consolidated statements of operations for the three months ended March 31, 2018 and 2017, respectively.</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future royalty and certain potential milestone obligations to Takeda Pharmaceutical Company Limited, which acquired ARIAD Pharmaceuticals, Inc. (“Takeda”), is recorded on the acquisition date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condensed consolidated statements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which replaced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performed an impact assessment which consisted of a review of a representative sample of contracts, discussions with key stakeholders, and cataloging of potential impacts on our financial statements, accounting policies, financial controls, and operations. The guidance did not have a material impact on our revenue recognition practices for product and royalty revenues. The adoption only impacted two areas in our recognition methodology for milestone and contract revenues generated by our collaborative research and license agreements:</w:t>
      </w:r>
    </w:p>
    <w:p>
      <w:pPr>
        <w:spacing w:after="0" w:line="173" w:lineRule="exact"/>
        <w:rPr>
          <w:sz w:val="20"/>
          <w:szCs w:val="20"/>
          <w:color w:val="auto"/>
        </w:rPr>
      </w:pPr>
    </w:p>
    <w:p>
      <w:pPr>
        <w:jc w:val="both"/>
        <w:ind w:left="660" w:hanging="9"/>
        <w:spacing w:after="0" w:line="302" w:lineRule="auto"/>
        <w:tabs>
          <w:tab w:leader="none" w:pos="1478"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the model for distinct licenses of functional intellectual property which may result in a timing difference of revenue recognition. Whereas revenue from these arrangements was previously recognized over a period of time pursuant to revenue recognition guidance that was in place for our arrangements at the time such arrangements commenced, revenue from new arrangements we enter into may now be recognized at a point in time.</w:t>
      </w:r>
    </w:p>
    <w:p>
      <w:pPr>
        <w:spacing w:after="0" w:line="154" w:lineRule="exact"/>
        <w:rPr>
          <w:rFonts w:ascii="Arial" w:cs="Arial" w:eastAsia="Arial" w:hAnsi="Arial"/>
          <w:sz w:val="16"/>
          <w:szCs w:val="16"/>
          <w:color w:val="auto"/>
        </w:rPr>
      </w:pPr>
    </w:p>
    <w:p>
      <w:pPr>
        <w:jc w:val="both"/>
        <w:ind w:left="660" w:hanging="9"/>
        <w:spacing w:after="0" w:line="264" w:lineRule="auto"/>
        <w:tabs>
          <w:tab w:leader="none" w:pos="15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Assessments of milestone payments linked to events that are in our control, may result in variable consideration that may be recognized at an earlier point in time, when it is probable that the milestone will be achieved without a significant future reversal of cumulative revenue expected.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adopted the new standard for the fiscal period beginning January 1, 2018, utilizing the “modified retrospective” adoption methodology, and applied the guidance to report new disclosures surrounding our recognition of revenues. There was no cumulative effect of adopting the standard at the date of initial application in retained earnings. We have implemented a controls process to identify and evaluate new revenue-generating contracts with third-party customers on an on-going basis and have provided enhanced disclosures within this Form 10-Q to provide greater detail on our revenue-generating activities, see Notes 3 and 9.</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The standard requires several changes including that equity investments (except those accounted for under the equity method of accounting, or those that result in consolidation of the investee) be measured at fair value with changes in fair value recognized in results of operations. These provisions will not impact the accounting for our investments in corporate debt and U.S. government securities. The new guidance also changes certain disclosure requirements and other aspects of current U.S. GAAP. Amendments are to be applied as a cumulative-effect adjustment to the balance sheet as of the beginning of the fiscal year of adoption. The adoption of this standard resulted in a $2.8 million decrease in our accumulated deficit as of January 1, 2018 related to our investment in Calithera Biosciences, Inc.</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2016, the FASB issued ASU No. 2016-02, “Leases,” that requires lessees to recognize assets and liabilities on the balance sheet for most leases including operating leases. Lessees will classify leases as either finance or operating leases and lessors classify all leases as sales-type, direct financing or operating leases. The statement of operations presentation and expense recognition for lessees for finance leases is similar to that of capital leases under Accounting Standards Codification (“ASC”) 840 with separate interest and amortization expense with higher periodic expense in the earlier periods of a lease. For operating leases, the statement of operations presentation and expense recognition is similar to that of operating leases under ASC 840 with single lease cost recognized on a straight-line basis. This guidance is to be applied using a modified retrospective approach at the beginning of the earliest comparative period presented in the financial statements and is effective for annual periods beginning after December 15, 2018 and interim periods therein. We are currently analyzing the impact of ASU No. 2016-02 and, at this time, are unable to determine the impact of the new standard, on our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November 2016, the FASB issued ASU No. 2016-18, “Restricted Cash,” which requires entities to show the changes in total of cash, cash equivalents, restricted cash and restricted cash equivalents in the statement of cash flows. As a result, entities will no longer present transfers between cash and cash equivalents and restricted cash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on the balance sheet. The reconciliation can be presented either on the face of the statement of cash flows or in the notes to the financial statements. We adopted the new standard for the period beginning January 1, 2018. Due to the retrospective adoption of the standard, the cash flows from financing activities for the year ended December 31, 2017 and interim periods therein, no longer present the transfer of restricted investments to cash and cash equivalents. The change in total cash, cash equivalents, restricted cash and investments is now presented in the statement of cash flows and reconciles to the related captions on the balance sheet.</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which eliminates the requirement to calculate the implied fair value of goodwill to measure a goodwill impairment charge. Under the new standard, entities will record an impairment charge based on the excess of a reporting unit’s carrying amount over its fair value. The new standard is effective for public business entities that are SEC filers for annual or any interim goodwill impairment tests in fiscal years beginning after December 15, 2019. Early adoption is permitted for interim or annual goodwill impairment tests performed on testing dates after January 1, 2017. The standard is to be applied on a prospective basis. We are currently analyzing the impact of ASU No. 2017-04 on our consolidated financial statements.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2017, the FASB issued ASU No. 2017-07, “Compensation–Retirement Benefits,” which requires the service cost component of net periodic benefit cost to be presented in the same income statement line as other employee compensation costs arising from services rendered during the period and the other components of net periodic benefit cost to be presented separately from the income statement lines that include service cost and outside of any subtotal of operating income. We adopted the new standard for the period beginning January 1, 2018, resulting in no change in presentation of the service cost component of net periodic benefit cost, which has historically been reported in research and development and selling, general and administrative expenses along with other employee compensation costs. The retrospective adoption resulted in a change in presentation of the other components of net periodic benefit cost for the year ended December 31, 2017, and interim periods therein, which reclassed these costs out of operating income and into other income (expense), net on the consolidated statements of operations. The components of net periodic benefit cost are presented separately within our employee benefit plans footnote.</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2017, the SEC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Cuts and Jobs Act of 2017 (the “Act”). In accordance with SAB 118, we recorded provisional tax impacts related to the revaluation of deferred tax assets and liabilities as well as the temporary full expensing of certain business assets in our consolidated financial statements for the year ended December 31, 2017. We continue to monitor and analyze further issued guidance, however no additional tax effects of the Act were required to be recorded for the three months ended March 31, 2018. The financial statement impact is expected to be complete when the 2017 U.S. corporate income tax return is filed in 2018.</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2018, the FASB released guidance on the accounting for tax on the global intangible low-taxed income ("GILTI") provisions of the Act. The GILTI provisions impose a tax on foreign income in excess of a deemed return on tangible assets of foreign corporations. The guidance indicates that either accounting for deferred taxes related to GILTI inclusions or to treat any taxes on GILTI inclusions as period cost are both acceptable methods subject to an accounting policy election. Effective the first quarter of 2018, we have elected to treat any potential GILTI inclusions as a period charge in the future period in which it is incurred. We have determined there to be no impact associated with GILTI on our condensed consolidated financial statements for the three months ended March 31, 2018.</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2018, the FASB issued ASU No. 2018-02, “Income Statement – Reporting Comprehensive Income,” which allows reclassification of certain tax effects created as a result of changing methodologies, laws and tax rates legislated in the December 2017 Tax Cuts and Jobs Act. This new standard allows for stranded income tax effects resulting from the Tax Cuts and Jobs Act to be reclassified into retained earnings to allow for their tax effect to reflect the appropriate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 rate. Due to the full valuation allowance on our U.S. net deferred tax assets, a reclassification of stranded tax effects to retained earnings was not required.</w:t>
      </w:r>
    </w:p>
    <w:p>
      <w:pPr>
        <w:spacing w:after="0" w:line="166" w:lineRule="exact"/>
        <w:rPr>
          <w:sz w:val="20"/>
          <w:szCs w:val="20"/>
          <w:color w:val="auto"/>
        </w:rPr>
      </w:pPr>
    </w:p>
    <w:p>
      <w:pPr>
        <w:ind w:left="360" w:hanging="357"/>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As discussed in Note 2,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Overall, adoption of the new standard did not significantly alter our methodology for recognition of revenue.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disaggregated revenue for the periods presented.</w:t>
      </w:r>
    </w:p>
    <w:p>
      <w:pPr>
        <w:spacing w:after="0" w:line="230"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For the Three Months Ended,</w:t>
      </w:r>
    </w:p>
    <w:p>
      <w:pPr>
        <w:jc w:val="center"/>
        <w:ind w:left="53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3"/>
          </w:tcPr>
          <w:p>
            <w:pPr>
              <w:jc w:val="right"/>
              <w:ind w:right="85"/>
              <w:spacing w:after="0" w:line="142" w:lineRule="exact"/>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2740" w:type="dxa"/>
            <w:vAlign w:val="bottom"/>
            <w:gridSpan w:val="2"/>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6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240" w:type="dxa"/>
            <w:vAlign w:val="bottom"/>
            <w:shd w:val="clear" w:color="auto" w:fill="CCEEFF"/>
          </w:tcPr>
          <w:p>
            <w:pPr>
              <w:spacing w:after="0"/>
              <w:rPr>
                <w:sz w:val="18"/>
                <w:szCs w:val="18"/>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17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Borders>
              <w:bottom w:val="single" w:sz="8" w:color="CCEEFF"/>
            </w:tcBorders>
          </w:tcPr>
          <w:p>
            <w:pPr>
              <w:spacing w:after="0"/>
              <w:rPr>
                <w:sz w:val="18"/>
                <w:szCs w:val="18"/>
                <w:color w:val="auto"/>
              </w:rPr>
            </w:pPr>
          </w:p>
        </w:tc>
      </w:tr>
      <w:tr>
        <w:trPr>
          <w:trHeight w:val="210"/>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revenues, net</w:t>
            </w:r>
          </w:p>
        </w:tc>
        <w:tc>
          <w:tcPr>
            <w:tcW w:w="17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4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Product royalty revenues</w:t>
            </w: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Milestone revenues</w:t>
            </w:r>
          </w:p>
        </w:tc>
        <w:tc>
          <w:tcPr>
            <w:tcW w:w="1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revenues</w:t>
            </w:r>
          </w:p>
        </w:tc>
        <w:tc>
          <w:tcPr>
            <w:tcW w:w="17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8"/>
                <w:szCs w:val="18"/>
                <w:color w:val="auto"/>
              </w:rPr>
            </w:pPr>
          </w:p>
        </w:tc>
      </w:tr>
      <w:tr>
        <w:trPr>
          <w:trHeight w:val="217"/>
        </w:trPr>
        <w:tc>
          <w:tcPr>
            <w:tcW w:w="3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7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2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information on our revenue-generating contracts, refer to our license agreements footnote.</w:t>
      </w:r>
    </w:p>
    <w:p>
      <w:pPr>
        <w:spacing w:after="0" w:line="235" w:lineRule="exact"/>
        <w:rPr>
          <w:sz w:val="20"/>
          <w:szCs w:val="20"/>
          <w:color w:val="auto"/>
        </w:rPr>
      </w:pPr>
    </w:p>
    <w:p>
      <w:pPr>
        <w:ind w:left="360" w:hanging="357"/>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2—Valuations based on observable inputs and quoted prices in active markets for similar assets and liabilities.</w:t>
      </w:r>
    </w:p>
    <w:p>
      <w:pPr>
        <w:spacing w:after="0" w:line="24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marketable securities consist of investments in corporate debt securities and U.S. government securities that are classified as available-for-sale.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2018 and December 31, 2017, our Level 2 corporate debt and U.S. government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policy is to recognize transfers into and transfers out of fair value hierarchy levels as of the end of the reporting period. There were no transfers out of or in to hierarchy levels during the three months ended March 31, 2018.</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as of March 31,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gridSpan w:val="8"/>
          </w:tcPr>
          <w:p>
            <w:pPr>
              <w:ind w:left="1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340" w:type="dxa"/>
            <w:vAlign w:val="bottom"/>
            <w:tcBorders>
              <w:top w:val="single" w:sz="8" w:color="auto"/>
            </w:tcBorders>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Quoted Prices in</w:t>
            </w:r>
          </w:p>
        </w:tc>
        <w:tc>
          <w:tcPr>
            <w:tcW w:w="11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276,632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1,060,399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276,632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of March 31,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8"/>
          </w:tcPr>
          <w:p>
            <w:pPr>
              <w:jc w:val="right"/>
              <w:ind w:right="165"/>
              <w:spacing w:after="0"/>
              <w:rPr>
                <w:sz w:val="20"/>
                <w:szCs w:val="20"/>
                <w:color w:val="auto"/>
              </w:rPr>
            </w:pPr>
            <w:r>
              <w:rPr>
                <w:rFonts w:ascii="Arial" w:cs="Arial" w:eastAsia="Arial" w:hAnsi="Arial"/>
                <w:sz w:val="14"/>
                <w:szCs w:val="14"/>
                <w:b w:val="1"/>
                <w:bCs w:val="1"/>
                <w:color w:val="auto"/>
                <w:w w:val="97"/>
              </w:rPr>
              <w:t>Fair Value Measurement at Reporting Date Using: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14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45"/>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65"/>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45"/>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0" w:type="dxa"/>
            <w:vAlign w:val="bottom"/>
          </w:tcPr>
          <w:p>
            <w:pPr>
              <w:spacing w:after="0"/>
              <w:rPr>
                <w:sz w:val="1"/>
                <w:szCs w:val="1"/>
                <w:color w:val="auto"/>
              </w:rPr>
            </w:pPr>
          </w:p>
        </w:tc>
      </w:tr>
      <w:tr>
        <w:trPr>
          <w:trHeight w:val="217"/>
        </w:trPr>
        <w:tc>
          <w:tcPr>
            <w:tcW w:w="39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287,000</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0" w:type="dxa"/>
            <w:vAlign w:val="bottom"/>
          </w:tcPr>
          <w:p>
            <w:pPr>
              <w:spacing w:after="0"/>
              <w:rPr>
                <w:sz w:val="1"/>
                <w:szCs w:val="1"/>
                <w:color w:val="auto"/>
              </w:rPr>
            </w:pPr>
          </w:p>
        </w:tc>
      </w:tr>
      <w:tr>
        <w:trPr>
          <w:trHeight w:val="432"/>
        </w:trPr>
        <w:tc>
          <w:tcPr>
            <w:tcW w:w="5800" w:type="dxa"/>
            <w:vAlign w:val="bottom"/>
            <w:gridSpan w:val="6"/>
          </w:tcPr>
          <w:p>
            <w:pPr>
              <w:ind w:left="660"/>
              <w:spacing w:after="0"/>
              <w:rPr>
                <w:sz w:val="20"/>
                <w:szCs w:val="20"/>
                <w:color w:val="auto"/>
              </w:rPr>
            </w:pPr>
            <w:r>
              <w:rPr>
                <w:rFonts w:ascii="Arial" w:cs="Arial" w:eastAsia="Arial" w:hAnsi="Arial"/>
                <w:sz w:val="18"/>
                <w:szCs w:val="18"/>
                <w:color w:val="auto"/>
                <w:w w:val="94"/>
              </w:rPr>
              <w:t>The following is a rollforward of our Level 3 liabilities (in thousands):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9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0" w:type="dxa"/>
            <w:vAlign w:val="bottom"/>
          </w:tcPr>
          <w:p>
            <w:pPr>
              <w:spacing w:after="0"/>
              <w:rPr>
                <w:sz w:val="1"/>
                <w:szCs w:val="1"/>
                <w:color w:val="auto"/>
              </w:rPr>
            </w:pP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Contingent consideration earned during the period but not yet paid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Payments made during the period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7"/>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fair value of the contingent consideration was determined using an income approach based on estimated ICLUSIG revenues in the Territory for the approved third line treatment. The fair value of the contingent consideration is remeasured each reporting period, with changes in fair value recorded in the condensed consolidated statements of operations. The change in fair value of the contingent consideration during the three months ended March 31, 2018 was due primarily to the passage of time as there were no other significant changes in the key assumptions during the period.</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make payments to Takeda quarterly based on the royalties or any additional milestone payments earned in the previous quarter. The royalties earned in the fourth quarter of 2017 of $6.6 million were paid in April 2018. During the three months ended March 31, 2018, contingent consideration earned but not yet paid was $6.7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as of December 31,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1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3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4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270,136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 (Note 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1,033,865</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270,136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of December 31, 2017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9"/>
              </w:rPr>
              <w:t>Fair Value Measurement at Reporting Date Using: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1"/>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2"/>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22"/>
              <w:spacing w:after="0"/>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as of</w:t>
            </w:r>
          </w:p>
        </w:tc>
      </w:tr>
      <w:tr>
        <w:trPr>
          <w:trHeight w:val="201"/>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7"/>
        </w:trPr>
        <w:tc>
          <w:tcPr>
            <w:tcW w:w="41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is a summary of our marketable security portfolio as of March 31, 2018 and December 31, 2017,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3"/>
                <w:szCs w:val="13"/>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3"/>
                <w:szCs w:val="13"/>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Net</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6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740" w:type="dxa"/>
            <w:vAlign w:val="bottom"/>
          </w:tcPr>
          <w:p>
            <w:pPr>
              <w:jc w:val="center"/>
              <w:ind w:right="179"/>
              <w:spacing w:after="0"/>
              <w:rPr>
                <w:sz w:val="20"/>
                <w:szCs w:val="20"/>
                <w:color w:val="auto"/>
              </w:rPr>
            </w:pPr>
            <w:r>
              <w:rPr>
                <w:rFonts w:ascii="Arial" w:cs="Arial" w:eastAsia="Arial" w:hAnsi="Arial"/>
                <w:sz w:val="14"/>
                <w:szCs w:val="14"/>
                <w:b w:val="1"/>
                <w:bCs w:val="1"/>
                <w:color w:val="auto"/>
                <w:w w:val="82"/>
              </w:rPr>
              <w:t>Losses</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March 31, 2018</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1840" w:type="dxa"/>
            <w:vAlign w:val="bottom"/>
            <w:gridSpan w:val="2"/>
          </w:tcPr>
          <w:p>
            <w:pPr>
              <w:jc w:val="right"/>
              <w:ind w:right="48"/>
              <w:spacing w:after="0"/>
              <w:rPr>
                <w:sz w:val="20"/>
                <w:szCs w:val="20"/>
                <w:color w:val="auto"/>
              </w:rPr>
            </w:pPr>
            <w:r>
              <w:rPr>
                <w:rFonts w:ascii="Arial" w:cs="Arial" w:eastAsia="Arial" w:hAnsi="Arial"/>
                <w:sz w:val="18"/>
                <w:szCs w:val="18"/>
                <w:color w:val="auto"/>
              </w:rPr>
              <w:t>$ 278,402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20"/>
              <w:spacing w:after="0"/>
              <w:rPr>
                <w:sz w:val="20"/>
                <w:szCs w:val="20"/>
                <w:color w:val="auto"/>
              </w:rPr>
            </w:pPr>
            <w:r>
              <w:rPr>
                <w:rFonts w:ascii="Arial" w:cs="Arial" w:eastAsia="Arial" w:hAnsi="Arial"/>
                <w:sz w:val="18"/>
                <w:szCs w:val="18"/>
                <w:color w:val="auto"/>
              </w:rPr>
              <w:t>(1,770)</w:t>
            </w:r>
          </w:p>
        </w:tc>
        <w:tc>
          <w:tcPr>
            <w:tcW w:w="880" w:type="dxa"/>
            <w:vAlign w:val="bottom"/>
          </w:tcPr>
          <w:p>
            <w:pPr>
              <w:jc w:val="right"/>
              <w:spacing w:after="0"/>
              <w:rPr>
                <w:sz w:val="20"/>
                <w:szCs w:val="20"/>
                <w:color w:val="auto"/>
              </w:rPr>
            </w:pPr>
            <w:r>
              <w:rPr>
                <w:rFonts w:ascii="Arial" w:cs="Arial" w:eastAsia="Arial" w:hAnsi="Arial"/>
                <w:sz w:val="18"/>
                <w:szCs w:val="18"/>
                <w:color w:val="auto"/>
              </w:rPr>
              <w:t>$ 276,632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December 31, 2017</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(corporate and government)</w:t>
            </w:r>
          </w:p>
        </w:tc>
        <w:tc>
          <w:tcPr>
            <w:tcW w:w="18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$ 271,401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(1,265)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$ 270,136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debt securities generally have contractual maturity dates of between 12 to 18 months.</w:t>
      </w:r>
    </w:p>
    <w:p>
      <w:pPr>
        <w:spacing w:after="0" w:line="221" w:lineRule="exact"/>
        <w:rPr>
          <w:sz w:val="20"/>
          <w:szCs w:val="20"/>
          <w:color w:val="auto"/>
        </w:rPr>
      </w:pPr>
    </w:p>
    <w:p>
      <w:pPr>
        <w:ind w:left="360" w:hanging="357"/>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December 2009, we entered into a license, development and commercialization agreement with Lilly. In November 2009, we entered into a collaboration and license agreement with Novartis. The concentration of credit risk related to our collaborative partners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86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0"/>
              </w:rPr>
              <w:t>Percentage of Total</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6660" w:type="dxa"/>
            <w:vAlign w:val="bottom"/>
          </w:tcPr>
          <w:p>
            <w:pPr>
              <w:spacing w:after="0"/>
              <w:rPr>
                <w:sz w:val="12"/>
                <w:szCs w:val="12"/>
                <w:color w:val="auto"/>
              </w:rPr>
            </w:pPr>
          </w:p>
        </w:tc>
        <w:tc>
          <w:tcPr>
            <w:tcW w:w="2400" w:type="dxa"/>
            <w:vAlign w:val="bottom"/>
            <w:gridSpan w:val="7"/>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Milestone Revenues for the</w:t>
            </w:r>
          </w:p>
        </w:tc>
      </w:tr>
      <w:tr>
        <w:trPr>
          <w:trHeight w:val="171"/>
        </w:trPr>
        <w:tc>
          <w:tcPr>
            <w:tcW w:w="666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9"/>
              </w:rPr>
              <w:t>March 31,</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Partner A</w:t>
            </w: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Collaboration Partner B</w:t>
            </w:r>
          </w:p>
        </w:tc>
        <w:tc>
          <w:tcPr>
            <w:tcW w:w="1200" w:type="dxa"/>
            <w:vAlign w:val="bottom"/>
            <w:gridSpan w:val="3"/>
          </w:tcPr>
          <w:p>
            <w:pPr>
              <w:jc w:val="right"/>
              <w:ind w:right="780"/>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72 %</w:t>
            </w:r>
          </w:p>
        </w:tc>
        <w:tc>
          <w:tcPr>
            <w:tcW w:w="40" w:type="dxa"/>
            <w:vAlign w:val="bottom"/>
          </w:tcPr>
          <w:p>
            <w:pPr>
              <w:spacing w:after="0"/>
              <w:rPr>
                <w:sz w:val="20"/>
                <w:szCs w:val="20"/>
                <w:color w:val="auto"/>
              </w:rPr>
            </w:pPr>
          </w:p>
        </w:tc>
      </w:tr>
    </w:tbl>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Collaboration Partner A and Collaboration Partner B comprised, in aggregate, 22% and 47% of the accounts receivable balance as of March 31, 2018 and December 31, 2017, respectively.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2011, we began commercialization and distribution of JAKAFI to a number of customers. Our product revenues are concentrated in a number of these customers. The concentration of credit risk related to our JAKAFI product revenues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4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Percentage of Total Net</w:t>
            </w:r>
          </w:p>
        </w:tc>
      </w:tr>
      <w:tr>
        <w:trPr>
          <w:trHeight w:val="149"/>
        </w:trPr>
        <w:tc>
          <w:tcPr>
            <w:tcW w:w="6660" w:type="dxa"/>
            <w:vAlign w:val="bottom"/>
          </w:tcPr>
          <w:p>
            <w:pPr>
              <w:spacing w:after="0"/>
              <w:rPr>
                <w:sz w:val="12"/>
                <w:szCs w:val="12"/>
                <w:color w:val="auto"/>
              </w:rPr>
            </w:pPr>
          </w:p>
        </w:tc>
        <w:tc>
          <w:tcPr>
            <w:tcW w:w="240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Product Revenues for the</w:t>
            </w:r>
          </w:p>
        </w:tc>
      </w:tr>
      <w:tr>
        <w:trPr>
          <w:trHeight w:val="171"/>
        </w:trPr>
        <w:tc>
          <w:tcPr>
            <w:tcW w:w="666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9"/>
              </w:rPr>
              <w:t>March 31,</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13 %</w:t>
            </w:r>
          </w:p>
        </w:tc>
        <w:tc>
          <w:tcPr>
            <w:tcW w:w="680" w:type="dxa"/>
            <w:vAlign w:val="bottom"/>
          </w:tcPr>
          <w:p>
            <w:pPr>
              <w:spacing w:after="0"/>
              <w:rPr>
                <w:sz w:val="18"/>
                <w:szCs w:val="18"/>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16 %</w:t>
            </w:r>
          </w:p>
        </w:tc>
        <w:tc>
          <w:tcPr>
            <w:tcW w:w="4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14 %</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13 %</w:t>
            </w:r>
          </w:p>
        </w:tc>
        <w:tc>
          <w:tcPr>
            <w:tcW w:w="4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11 %</w:t>
            </w:r>
          </w:p>
        </w:tc>
        <w:tc>
          <w:tcPr>
            <w:tcW w:w="680" w:type="dxa"/>
            <w:vAlign w:val="bottom"/>
          </w:tcPr>
          <w:p>
            <w:pPr>
              <w:spacing w:after="0"/>
              <w:rPr>
                <w:sz w:val="20"/>
                <w:szCs w:val="20"/>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8 %</w:t>
            </w:r>
          </w:p>
        </w:tc>
        <w:tc>
          <w:tcPr>
            <w:tcW w:w="40" w:type="dxa"/>
            <w:vAlign w:val="bottom"/>
          </w:tcPr>
          <w:p>
            <w:pPr>
              <w:spacing w:after="0"/>
              <w:rPr>
                <w:sz w:val="20"/>
                <w:szCs w:val="20"/>
                <w:color w:val="auto"/>
              </w:rPr>
            </w:pPr>
          </w:p>
        </w:tc>
      </w:tr>
    </w:tbl>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 A, Customer B, Customer C and Customer D comprised, in aggregate, 39% and 25% of the accounts receivable balance as of March 31, 2018 and December 31, 2017,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concentration of credit risk relating to ICLUSIG product revenues or accounts receivable is not significant.</w:t>
      </w:r>
    </w:p>
    <w:p>
      <w:pPr>
        <w:spacing w:after="0" w:line="23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inventory balance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right"/>
              <w:ind w:right="43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Work-in-process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8,615</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20" w:type="dxa"/>
            <w:vAlign w:val="bottom"/>
            <w:shd w:val="clear" w:color="auto" w:fill="CCEEFF"/>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14,448</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2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120" w:type="dxa"/>
            <w:vAlign w:val="bottom"/>
            <w:shd w:val="clear" w:color="auto" w:fill="CCEEFF"/>
          </w:tcPr>
          <w:p>
            <w:pPr>
              <w:spacing w:after="0"/>
              <w:rPr>
                <w:sz w:val="18"/>
                <w:szCs w:val="18"/>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120" w:type="dxa"/>
            <w:vAlign w:val="bottom"/>
          </w:tcPr>
          <w:p>
            <w:pPr>
              <w:spacing w:after="0"/>
              <w:rPr>
                <w:sz w:val="18"/>
                <w:szCs w:val="18"/>
                <w:color w:val="auto"/>
              </w:rPr>
            </w:pPr>
          </w:p>
        </w:tc>
      </w:tr>
    </w:tbl>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Inventories, stated at the lower of cost and net realizable value, consist of raw materials, work in process and finished goods. The ICLUSIG inventories acquired on June 1, 2016 totaling $4.0 million were recorded at fair value less costs to sell, and therefore, resulted in a higher cost of ICLUSIG revenues over a one year period from the acquisition date. At March 31, 2018, $4.6 million of inventory was classified as current on the condensed consolidated balance sheet as we expect this inventory to be consumed for commercial use within the next twelve months. At March 31, 2018, $7.9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December 31,</w:t>
            </w:r>
          </w:p>
        </w:tc>
      </w:tr>
      <w:tr>
        <w:trPr>
          <w:trHeight w:val="201"/>
        </w:trPr>
        <w:tc>
          <w:tcPr>
            <w:tcW w:w="4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14,674</w:t>
            </w:r>
          </w:p>
        </w:tc>
        <w:tc>
          <w:tcPr>
            <w:tcW w:w="3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Laboratory equipment</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48,807</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51,351</w:t>
            </w:r>
          </w:p>
        </w:tc>
        <w:tc>
          <w:tcPr>
            <w:tcW w:w="3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Land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5,350</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218,413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214,245</w:t>
            </w:r>
          </w:p>
        </w:tc>
        <w:tc>
          <w:tcPr>
            <w:tcW w:w="340" w:type="dxa"/>
            <w:vAlign w:val="bottom"/>
            <w:shd w:val="clear" w:color="auto" w:fill="CCEEFF"/>
          </w:tcPr>
          <w:p>
            <w:pPr>
              <w:spacing w:after="0"/>
              <w:rPr>
                <w:sz w:val="18"/>
                <w:szCs w:val="18"/>
                <w:color w:val="auto"/>
              </w:rPr>
            </w:pPr>
          </w:p>
        </w:tc>
      </w:tr>
      <w:tr>
        <w:trPr>
          <w:trHeight w:val="210"/>
        </w:trPr>
        <w:tc>
          <w:tcPr>
            <w:tcW w:w="4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346,051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334,427</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(81,441)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(74,664)</w:t>
            </w: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264,610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259,763</w:t>
            </w:r>
          </w:p>
        </w:tc>
        <w:tc>
          <w:tcPr>
            <w:tcW w:w="340" w:type="dxa"/>
            <w:vAlign w:val="bottom"/>
          </w:tcPr>
          <w:p>
            <w:pPr>
              <w:spacing w:after="0"/>
              <w:rPr>
                <w:sz w:val="18"/>
                <w:szCs w:val="18"/>
                <w:color w:val="auto"/>
              </w:rPr>
            </w:pPr>
          </w:p>
        </w:tc>
      </w:tr>
    </w:tbl>
    <w:p>
      <w:pPr>
        <w:spacing w:after="0" w:line="161"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The new building will consist of approximately 100,000 square feet of office space and completion is estimated for November 2019. When complete, this building will allow for consolidation of our European operations that are currently located in Geneva and Lausanne, Switzerland.</w:t>
      </w:r>
    </w:p>
    <w:p>
      <w:pPr>
        <w:spacing w:after="0" w:line="189" w:lineRule="exact"/>
        <w:rPr>
          <w:sz w:val="20"/>
          <w:szCs w:val="20"/>
          <w:color w:val="auto"/>
        </w:rPr>
      </w:pPr>
    </w:p>
    <w:p>
      <w:pPr>
        <w:ind w:left="320" w:hanging="317"/>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 Net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 (in thousands, except for useful life):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rPr>
              <w:t>Balance at March 31, 2018</w:t>
            </w:r>
          </w:p>
        </w:tc>
        <w:tc>
          <w:tcPr>
            <w:tcW w:w="140" w:type="dxa"/>
            <w:vAlign w:val="bottom"/>
          </w:tcPr>
          <w:p>
            <w:pPr>
              <w:spacing w:after="0"/>
              <w:rPr>
                <w:sz w:val="14"/>
                <w:szCs w:val="14"/>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Balance at December 31, 2017</w:t>
            </w:r>
          </w:p>
        </w:tc>
        <w:tc>
          <w:tcPr>
            <w:tcW w:w="0" w:type="dxa"/>
            <w:vAlign w:val="bottom"/>
          </w:tcPr>
          <w:p>
            <w:pPr>
              <w:spacing w:after="0"/>
              <w:rPr>
                <w:sz w:val="1"/>
                <w:szCs w:val="1"/>
                <w:color w:val="auto"/>
              </w:rPr>
            </w:pPr>
          </w:p>
        </w:tc>
      </w:tr>
      <w:tr>
        <w:trPr>
          <w:trHeight w:val="254"/>
        </w:trPr>
        <w:tc>
          <w:tcPr>
            <w:tcW w:w="22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6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7"/>
              </w:rPr>
              <w:t>Finite-lived intangible assets: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20"/>
              <w:spacing w:after="0"/>
              <w:rPr>
                <w:sz w:val="20"/>
                <w:szCs w:val="20"/>
                <w:color w:val="auto"/>
              </w:rPr>
            </w:pPr>
            <w:r>
              <w:rPr>
                <w:rFonts w:ascii="Arial" w:cs="Arial" w:eastAsia="Arial" w:hAnsi="Arial"/>
                <w:sz w:val="18"/>
                <w:szCs w:val="18"/>
                <w:color w:val="auto"/>
              </w:rPr>
              <w:t>Licensed IP</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  39,483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$ 231,517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rPr>
              <w:t>$  34,099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$ 236,901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Estimated aggregate amortization expense based on the current carrying value of amortizable intangible assets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Remainder of</w:t>
            </w: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7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2018</w:t>
            </w: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16,152</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$ 21,536</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$ 21,536</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$ 21,536</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$ 21,536</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$ 129,221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changes to the carrying amount of goodwill for the three months ended March 31, 2018.</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our</w:t>
      </w:r>
    </w:p>
    <w:p>
      <w:pPr>
        <w:spacing w:after="0" w:line="34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commercialization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 Exclusive of the upfront payment of $150.0 million received in 2009 and the immediate milestone of $60.0 million earned in 2010, we have recognized and received, in aggregate, $132.0 million for the achievement of development milestones, $215.0 million for the achievement of regulatory milestones and $60.0 million for the achievement of sales milestones through March 31, 2018.</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During the year ended December 31, 2017, under this agreement, we recognized a $40.0 million sales milestone for Novartis achieving annual net sales of a JAK licensed product of $600.0 million and a $25.0 million development milestone based on the formal initiation by Novartis of a Phase III clinical trial evaluating ruxolitinib in GVHD. In 2016, we recognized a $5.0 million payment in exchange for the development and commercialization rights to ruxolitinib in GVHD outside of the United States and a $40.0 million regulatory milestone for the reimbursement of JAKAVI in Europe for the treatment of patients with polycythemia vera. In 2015, we recognized a $5.0 million development milestone based on the formal initiation by Novartis of a Phase II clinical trial evaluating capmatinib for a third indication, a $25.0 million regulatory milestone triggered by the Committee for Medicinal Products for Human Use of the European Medicines Agency adopting a positive opinion for JAKAVI (ruxolitinib) for the treatment of adult patients with polycythemia vera who are resistant to or intolerant of hydroxyurea, a $15.0 million regulatory milestone for the approval of JAKAVI in Japan for the treatment of patients with polycythemia vera, and a $20.0 million sales milestone for Novartis achieving annual net sales of a JAK licensed product of $300.0 million. In 2014, we recognized a $60.0 million regulatory milestone related to reimbursement of JAKAVI in Europe, a $25.0 million regulatory milestone for the approval of JAKAVI in Japan for the treatment of patients with myelofibrosis and a $7.0 million development milestone based on the formal initiation by Novartis of a Phase II clinical trial evaluating capmatinib in non-small cell lung cancer. In 2013, we recognized a $25.0 million development milestone based on the formal initiation by Novartis of a Phase II clinical trial evaluating capmatinib. In 2012, we recognized a $40.0 million regulatory milestone for the achievement of a predefined milestone for the European Union regulatory approval of JAKAVI. In 2011, we recognized a $15.0 million development milestone for the achievement of a predefined milestone in the Phase I dose-escalation trial for capmatinib in patients with solid tumors and a $10.0 million regulatory milestone for the approval of JAKAFI in the United States. In 2010, we recognized $50.0 million in development milestones for the initiation of the global Phase III trial, RESPONSE, in patients with polycythemia vera. We determined that each of these milestones were substantive as their achievement required substantive efforts by us and was at risk until the milestones were ultimately achieved.</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also are eligible to receive tiered, double-digit royalties ranging from the upper-teens to the mid-twenties on future JAKAVI net sales outside of the United States, and tiered, worldwide royalties on future capmatinib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months ended March 31, 2018 and 2017, such royalties payable to Novartis on net sales within the United States totaled $10.4 million and $7.8 million, respectively, and are reflected in cost of product revenues on the condensed consolidated statements of operations.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determined that there were two deliverables under the agreement: (i) the ex-U.S. license for ruxolitinib and (ii) our obligations in connection with our participation on the joint development committee for myelofibrosis and polycythemia vera/essential thrombocythemia. We concluded that these deliverables should be accounted for as a single unit of accounting and the $150.0 million upfront payment received in December 2009 and the immediate $60.0 million milestone payment received in January 2010 should be recognized on a straight-line basis through December 2013, when we estimated we would complete our obligations in connection with our participation on the joint development committee for myelofibrosis and polycythemia vera, our estimated performance period under the agreement. We completed this substantive performance obligation related to this arrangement in December 2013.</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December 31, 2009, we recorded $10.9 million of reimbursable costs incurred prior to the effective date of the agreement as deferred revenue on the consolidated balance sheet. These costs were recognized on a straight-line basis through December 2013 consistent with the aforementioned upfront and milestone payments. Future reimbursable costs incurred after the effective date of the agreement with Novartis are recorded net against the related research and development expenses. At March 31, 2018 and December 31, 2017, $1.4 million and $1.6 million, respectively, of reimbursable costs were included in accounts receivable on the condensed consolidated balance sheets. Research and development expenses for the three months ended March 31, 2018 and 2017 were net of $0.5 million and $0.7 million, respectively, of costs reimbursed by Novartis.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Milestone revenue under the Novartis agreement for the three months ended March 31, 2018 and 2017 was $0.0 million and $25.0 million, respectively. Product royalty revenue related to Novartis net sales of JAKAVI outside of the United States for the three months ended March 31, 2018 and 2017 was $41.3 million and $28.8 million, respectively. At March 31, 2018 and December 31, 2017, $41.3 million and $47.7 million, respectively, of product royalties were included in accounts receivable on the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commercialization milestones. Exclusive of the upfront payment of $90.0 million received in 2009, we have recognized and received, in aggregate, $129.0 million for the achievement of development milestones and $135.0 million for the achievement of regulatory milestones through March 31, 2018.</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2017, we and Lilly announced that the FDA had issued a complete response letter for the New Drug Application of baricitinib as a once-daily oral medication for the treatment of moderate-to-severe rheumatoid arthritis. The letter indicated that the FDA was unable to approve the application in its current form. Specifically, the FDA indicated that additional clinical data are needed to determine the most appropriate doses. The FDA also stated that additional data are necessary to further characterize safety concerns across treatment arms. In December 2017, Lilly announced that the NDA for baricitinib had been resubmitted and included new safety and efficacy data. The FDA classified the application as a Class II resubmission, which started a new six-month review cycle.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During the year ended December 31, 2017, under this agreement, we recognized a $30.0 million development milestone for the first patient treated in the atopic dermatitis Phase III program for baricitinib, $15.0 million regulatory milestone for the approval of baricitinib for the treatment of rheumatoid arthritis by Japan’s Ministry of Health, Labor and Welfare and a $65.0 million regulatory milestone for the approval of baricitinib for the treatment of moderate-to-severe rheumatoid arthritis in adult patients by the European Commission. In 2016, we recognized a $35.0 million regulatory milestone for the submission of an NDA to the FDA for the approval of oral once-daily baricitinib for the treatment of moderate-to-severe rheumatoid arthritis and a $20.0 million regulatory milestone for the submission of a Marketing Authorization Application to the European Medicines Agency for the approval of oral once-daily baricitinib for the treatment of moderate-to-severe rheumatoid arthritis. In 2012, we recognized a $50.0 million development milestone for the initiation of the rheumatoid arthritis Phase III program for baricitinib. In 2010, we recognized a $30.0 million development milestone based upon the initial three month data in the Phase IIa clinical trial of baricitinib for the treatment of rheumatoid arthritis and a $19.0 million development milestone for the Phase IIb clinical trial initiation of baricitinib for the treatment of rheumatoid arthritis. We determined that each of these milestones were substantive as their achievement required substantive efforts by us and was at risk until the milestones were ultimately achieved. In July 2010, we elected to co-develop baricitinib with Lilly in rheumatoid arthritis and we are responsible for funding 30% of the associated future global development costs for this indication from the initiation of the Phase IIb trial through regulatory approval, including post-launch studies required by a regulatory authority. In January 2017, we exercised our co-development options in psoriatic arthritis and atopic dermatitis to fund 30% of future global development costs through regulatory approval, including post-launch studies required by a regulatory authority. We have also exercised our co-development options in systemic lupus erythematosus and axial spondyloarthritis, should Lilly decide to progress into a pivotal program in these indications.</w:t>
      </w:r>
    </w:p>
    <w:p>
      <w:pPr>
        <w:spacing w:after="0" w:line="38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w:t>
      </w:r>
      <w:r>
        <w:rPr>
          <w:rFonts w:ascii="MS PGothic" w:cs="MS PGothic" w:eastAsia="MS PGothic" w:hAnsi="MS PGothic"/>
          <w:sz w:val="17"/>
          <w:szCs w:val="17"/>
          <w:color w:val="auto"/>
        </w:rPr>
        <w:t>‑</w:t>
      </w:r>
      <w:r>
        <w:rPr>
          <w:rFonts w:ascii="Arial" w:cs="Arial" w:eastAsia="Arial" w:hAnsi="Arial"/>
          <w:sz w:val="17"/>
          <w:szCs w:val="17"/>
          <w:color w:val="auto"/>
        </w:rPr>
        <w:t>develop, we would receive tiered, double</w:t>
      </w:r>
      <w:r>
        <w:rPr>
          <w:rFonts w:ascii="MS PGothic" w:cs="MS PGothic" w:eastAsia="MS PGothic" w:hAnsi="MS PGothic"/>
          <w:sz w:val="17"/>
          <w:szCs w:val="17"/>
          <w:color w:val="auto"/>
        </w:rPr>
        <w:t>‑</w:t>
      </w:r>
      <w:r>
        <w:rPr>
          <w:rFonts w:ascii="Arial" w:cs="Arial" w:eastAsia="Arial" w:hAnsi="Arial"/>
          <w:sz w:val="17"/>
          <w:szCs w:val="17"/>
          <w:color w:val="auto"/>
        </w:rPr>
        <w:t>digit royalty payments on future global net sales with rates ranging up to 20% if the product is successfully commercialized. We previously had retained an option to co-promote products in the United States but, in March 2016, we waived our co-promotion option as part of an amendment to the agreement. In February 2017, the European Commission approved baricitinib, which is marketed as OLUMIANT, for the treatment of moderate-to-severe rheumatoid arthritis in adult patients.</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Research and development expenses recorded under the Lilly agreement representing 30% of the global development costs for baricitinib for the treatment of rheumatoid arthritis, psoriatic arthritis and atopic dermatitis for the three months ended March 31, 2018 and 2017 were $12.5 million and $9.4 million, respectively. We have retained certain mechanisms to give us cost protection as baricitinib advances in clinical development. We can defer our portion of co-development study costs by indication if they exceed a predetermined level. This deferment would be credited against future milestones or royalties and we would still be eligible for the full incremental royalties related to the co-development option. In addition, even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determined that there were two deliverables under the agreement: (i) the worldwide license and (ii) our obligations in connection with a co-development option. We concluded that these deliverables should be accounted for as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single unit of accounting and the $90.0 million upfront payment should be recognized on a straight-line basis as revenue through December 2016, our estimated performance period under the agreement. We completed our substantive performance obligation related to this arrangement in December 2016.</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Milestone revenue under the Lilly agreement for the three months ended March 31, 2018 and 2017 was $0.0 million and $65.0 million, respectively. Product royalty revenue related to Lilly global net sales of OLUMIANT for the three months ended March 31, 2018 and 2017 was $6.4 million and $0.4 million, respectively. At March 31, 2018 and December 31, 2017, $6.4 million and $4.6 million, respectively, of product royalties were included in accounts receivable on the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we entered into an amendment to the agreement with Lilly that amended the non-compete provision of the agreement to allow us to engage in the development and commercialization of ruxolitinib in the GVHD field. We paid Lilly an upfront payment of $35.0 million and Lilly is eligible to receive up to $40.0 million in additional regulatory milestone payments relating to ruxolitinib in the GVHD field.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In February 2017, we and Agenus amended this agreement (the “Amended Agreement”).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Amended Agreement, we paid Agenus $20.0 million in accelerated milestones relating to the clinical development of the GITR and OX40 programs, which is recorded in research and development expense on the consolidated statement of operations during the year ended December 31, 2017.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on the condensed consolidated balance sheets and $20.5 million was allocated to research and development expense on the consolidated statement of operations during the three months ended March 31, 2017.</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concluded Agenus Inc. is not a VIE because it has sufficient equity to finance its activities without additional subordinated financial support and its at-risk equity holders have the characteristics of a controlling financial interest. From the date of our initial stock purchase in February 2015 and up to the date of our second stock purchase in February 2017, we owned between 9% and 11% of the outstanding shares of Agenus Inc. common stock. As a result of our February 2017 stock purchase, we owned approximately 17% of the outstanding shares of Agenus Inc. common stock as of March 31, 2018. We concluded that we have the ability to exercise significant influence, but not control, over Agenus Inc. based primarily on our ownership interest, the fact that we have been the largest Agenus stockholder since the date of our initial stock purchase, the level of intra-entity transactions between us and Agenus related to development expenses, as well as other qualitative factors. We have elected the fair value option to account for our long term investment in Agenus Inc. whereby the investment is marked to market through earnings in each reporting period. We believe the fair value option to be the most appropriate accounting method to account for securities in publicly held collaborators for which we have significant influence. For the three months ended March 31, 2018 and 2017, we recorded an unrealized gain of $25.8 million and an unrealized loss of $7.7 million, respectively, based on the change in market price of Agenus Inc.’s common stock during these periods. The fair market value of our long term investment in Agenus Inc. at March 31, 2018 and December 31, 2017 was $83.7 million and $57.9 million, respectively. For the three months ended December 31, 2017, Agenus Inc. reported total revenues of $8.4 million and net loss of $35.0 million within their consolidated financial statements.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2018 and 2017 also included $1.9 million and $7.7 million, respectively, of development costs incurred pursuant to the Agenus arrangement. At March 31, 2018 and December 31, 2017, a total of $2.8 million and $3.2 million, respectively, of such costs were included in accrued and other liabilities on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Hengrui</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September 2015, we entered into a License and Collaboration Agreement with Jiangsu Hengrui Medicine Co., Ltd. (“Hengrui”). Under the terms of this agreement, we received exclusive development and commercialization rights worldwide, with the exception of Mainland China, Hong Kong, Macau and Taiwan, to INCSHR1210, an investigational PD-1 monoclonal antibody, and certain back-up compounds. Under the terms of this agreement, we paid Hengrui an upfront payment of $25.0 million in 2015 which was recorded in research and development expense on the consolidated statement of operations. Hengrui was also eligible to receive potential milestone payments of up to $770.0 million, consisting of $90.0 million for regulatory approval milestones, $530.0 million for commercial performance milestones, and $150.0 million for a clinical superiority milestone. Also, Hengrui was eligible to receive tiered royalties in the high-single-digits to mid-double digits based on net sales in our territories. Each company was responsible for costs relating to the development and commercialization of the PD-1 monoclonal antibody in its respective territories. In February 2018, Incyte and Hengrui agreed to terminate the collaboration, pursuant to the terms of the License and Collaboration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 including two of Merus’ current preclinical immuno-oncology discovery programs. We received exclusive development and commercialization rights outside of the United States to products and product candidates resulting from one of Merus’ current preclinical discovery programs, referred to as “Program 1.” We also received worldwide exclusive development and commercialization rights to products and product candidates resulting from the other current Merus preclinical discovery program that is subject to the collaboration and to up to nine additional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programs. Merus retained exclusive development and commercialization rights in the United States to products and product candidates resulting from Program 1 and options, subject to certain conditions, to co-fund development of products resulting from two other programs in exchange for a share of profits in the United States. Should Program 1 fail to successfully complete IND-enabling toxicology studies, Merus would be granted an additional option to co-fund development of a program in exchange for a share of profits in the United States. All costs related to the collaboration are subject to joint research and development plans. Each party will share equally the costs of mutually agreed global development activities for Program 1, and fund itself any independent development activities in its territory. We will be responsible for all research, development and commercialization costs relating to all other programs, subject to Merus’ election to co-fund development and co-detail described above.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which is recorded in research and development expense on the condensed consolidated statement of operations. For each program as to which Merus does not have commercialization or co-development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non-co-developed programs and, depending on the stage at which Merus chose to cease co-funding development costs, additional royalties ranging up to 4% of net sales in the United States. For Program 1, we and Merus will each be eligible to receive tiered royalties on net sales in the other party’s territory at rates ranging from 6% to 10%.</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in December 2016, we entered into a Share Subscription Agreement with Merus, pursuant to which we agreed to purchase 3.2 million common shares of Merus for an aggregate purchase price of $80.0 million in cash, or $25.00 per share.</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agreed to certain standstill provisions whereby we are obligated to refrain from taking certain actions with respect to Merus or Merus’ common shares during a period ending on the earliest of (i) three years from the closing date of our share purchase, (ii) the date Merus publicly announces any merger or similar business combination or another party announces an intention to acquire a substantial portion of Merus’ securities, and (iii) the termination of the Collaboration and License Agreement. The standstill provisions are subject to certain exceptions, including an exception that allows us to maintain our percentage ownership following equity financings by Merus. We also agreed, subject to limited exceptions, not to sell or otherwise transfer any of our Merus shares for a period, referred to as the Lock-Up Period, ending on the earlier of 18 months after the closing date of the sale of the Shares or the end of the standstill period. In addition, if the standstill period has not been terminated earlier upon the occurrence of certain events, for a period of three years after the Lock-Up Period, we will be restricted from selling or otherwise transferring more than one-third of our Merus shares during any 12-month period or 10% of our Merus shares during any three-month period, unless Merus consents otherwise. We have further agreed that during the standstill period, we will vote all of our Merus shares in accordance with the recommendation of a majority of Merus’ supervisory board. However, we may vote our Merus shares at our own discretion for certain extraordinary matters, including a change in control of Merus. Merus has agreed to customary resale registration rights with respect to our Merus shares; however, any such resales will be subject to the Lock-Up Period and volume limitations on sale and transfer described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on the consolidated balance sheets and $7.2 million was allocated to research and development expense on the consolidated statement of operations during the three months ended March 31, 2017. The fair market value of our total long term investment in Merus at March 31, 2018 and December 31, 2017 was $59.3 million and $62.1 million, respectively.</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have concluded Merus is not a VIE because it has sufficient equity to finance its activities without additional subordinated financial support and its at-risk equity holders have the characteristics of a controlling financial interest. As of March 31, 2018, we owned approximately 16% of the outstanding shares of Merus common stock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months ended March 31, 2018 and 2017 we recorded an unrealized loss of $2.8 million and an unrealized gain of $1.9 million, respectively, based on the change in the market price of Merus’ common stock during these periods.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2018 and 2017 included $2.4 million and $1.1 million, respectively, of additional development costs incurred pursuant to the Merus agreement. At March 31, 2018 and December 31, 2017, a total of $4.5 million and $2.1 million, respectively, of such costs were included in accrued and other liabilities on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 inhibitors, including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March 2017, Calithera earned a $12.0 million milestone payment from us for the achievement of pharmacokinetic and pharmacodynamics goals for CB-1158 which was recorded in research and development expense on our consolidated statement of operations.</w:t>
      </w:r>
    </w:p>
    <w:p>
      <w:pPr>
        <w:spacing w:after="0" w:line="188"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on the consolidated balance sheets and $41.4 million was allocated to research and development expense on the consolidated statement of operations during the three months ended March 31, 2017. The fair market value of our long term investment in Calithera at March 31, 2018 and December 31, 2017 was $10.8 million and $14.4 million, respectively.</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concluded Calithera is not a VIE because it has sufficient equity to finance its activities without additional subordinated financial support and its at-risk equity holders have the characteristics of a controlling financial interest. As of March 31, 2018, we owned approximately 5% of the outstanding shares of Calithera common stock and there are several other stockholders who hold larger positions of Calithera. We intend to hold the investment in Calithera for the foreseeable future, and thereby have classified the investment within long term investments on the accompanying condensed consolidated balance sheets. Under guidance implemented by ASU No. 2016-01, the investment is marked to market through earnings in each reporting period. Prior to implementation, the unrealized gains and losses on our investment in Calithera were recorded in accumulated other comprehensive income (loss). To adopt ASU No. 2016-01, the January 1, 2018 accumulated deficit balance decreased by $2.8 million to reflect these prior period unrealized gains. For the three months ended March 31, 2018 and 2017 we recorded an unrealized loss of $3.5 million and an unrealized gain of $8.3 million, respectively, based on the change in market price of Calithera’s common stock during these periods.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Research and development expenses for the three months ended March 31, 2018 and 2017 also included $2.6 million and $1.6 million, respectively, of additional development costs incurred pursuant to the Calithera agreement. At March 31, 2018 and December 31, 2017, a total of $1.5 million and $0.9 million, respectively, of such costs were included in accrued and other liabilities on the condensed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1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October 2017, we entered into a Global Collaboration and License Agreement with MacroGenics, Inc.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which was recorded in research and development expense on our consolidated statement of operations. MacroGenics will be eligible to receive up to $420.0 million in future contingent development and regulatory milestones and up to $330.0 million in commercial milestones as well as tiered royalties ranging from 15% to 24% of global net sales.</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2018 also included $6.5 million of additional development costs incurred pursuant to the MacroGenics agreement. At March 31, 2018 and December 31, 2017, a total of $7.5 million and $1.1 million of such costs were included in accrued and other liabilities on the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 during the three months ended March 31, 2018.</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on the condensed consolidated balance sheet and $2.4 million, representing premium paid on the purchase, was allocated to research and development expense on the condensed consolidated statement of operations for the three months ended March 31, 2018.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 All acquired shares were subsequently registered under the Securities Act of 1933 in February 2018. The fair market value of our long term investment in Syros as of March 31, 2018 was $12.2 million.</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concluded Syros is not a VIE because it has sufficient equity to finance its activities without additional subordinated financial support and its at-risk equity holders have the characteristics of a controlling financial interest. As of March 31, 2018, we owned approximately 3%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under ASU No. 2016-01, and the investment is marked to market through earnings in each reporting period. Given our intent to hold the investment for the foreseeable future, we have classified the investment within long term investments on the accompanying condensed consolidated balance sheet. For the three months ended March 31, 2018, we recorded an unrealized gain of $3.2 million based on the change the market price of Syros’ common stock from the date of purchase.</w:t>
      </w:r>
    </w:p>
    <w:p>
      <w:pPr>
        <w:spacing w:after="0" w:line="179" w:lineRule="exact"/>
        <w:rPr>
          <w:sz w:val="20"/>
          <w:szCs w:val="20"/>
          <w:color w:val="auto"/>
        </w:rPr>
      </w:pPr>
    </w:p>
    <w:p>
      <w:pPr>
        <w:ind w:left="460" w:hanging="457"/>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recorded $36.2 million and $30.6 million of stock compensation expense on our condensed consolidated statements of operations for the three months ended March 31, 2018 and 2017, respectively. Stock compensation expense included within our condensed consolidated statements of operations included research and development expense of $24.2 million and $21.5 million for the three months ended March 31, 2018 and 2017, respectively. Stock compensation expense included within our condensed consolidated statements of operations also included selling, general and administrative expense of $12.0 million and $9.1 million for the three months ended March 31, 2018 and 2017,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Employee Stock Options</w:t>
            </w:r>
          </w:p>
        </w:tc>
        <w:tc>
          <w:tcPr>
            <w:tcW w:w="18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Employee Stock Purchase</w:t>
            </w:r>
          </w:p>
        </w:tc>
      </w:tr>
      <w:tr>
        <w:trPr>
          <w:trHeight w:val="149"/>
        </w:trPr>
        <w:tc>
          <w:tcPr>
            <w:tcW w:w="5360" w:type="dxa"/>
            <w:vAlign w:val="bottom"/>
          </w:tcPr>
          <w:p>
            <w:pPr>
              <w:spacing w:after="0"/>
              <w:rPr>
                <w:sz w:val="12"/>
                <w:szCs w:val="12"/>
                <w:color w:val="auto"/>
              </w:rPr>
            </w:pPr>
          </w:p>
        </w:tc>
        <w:tc>
          <w:tcPr>
            <w:tcW w:w="18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For the Three</w:t>
            </w:r>
          </w:p>
        </w:tc>
        <w:tc>
          <w:tcPr>
            <w:tcW w:w="18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 For the Three</w:t>
            </w:r>
          </w:p>
        </w:tc>
      </w:tr>
      <w:tr>
        <w:trPr>
          <w:trHeight w:val="149"/>
        </w:trPr>
        <w:tc>
          <w:tcPr>
            <w:tcW w:w="5360" w:type="dxa"/>
            <w:vAlign w:val="bottom"/>
          </w:tcPr>
          <w:p>
            <w:pPr>
              <w:spacing w:after="0"/>
              <w:rPr>
                <w:sz w:val="12"/>
                <w:szCs w:val="12"/>
                <w:color w:val="auto"/>
              </w:rPr>
            </w:pPr>
          </w:p>
        </w:tc>
        <w:tc>
          <w:tcPr>
            <w:tcW w:w="18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8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Months Ended</w:t>
            </w:r>
          </w:p>
        </w:tc>
      </w:tr>
      <w:tr>
        <w:trPr>
          <w:trHeight w:val="17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9"/>
              </w:rPr>
              <w:t>March 31,</w:t>
            </w:r>
          </w:p>
        </w:tc>
        <w:tc>
          <w:tcPr>
            <w:tcW w:w="520" w:type="dxa"/>
            <w:vAlign w:val="bottom"/>
          </w:tcPr>
          <w:p>
            <w:pPr>
              <w:spacing w:after="0"/>
              <w:rPr>
                <w:sz w:val="14"/>
                <w:szCs w:val="14"/>
                <w:color w:val="auto"/>
              </w:rPr>
            </w:pPr>
          </w:p>
        </w:tc>
        <w:tc>
          <w:tcPr>
            <w:tcW w:w="13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3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Average expected life (in years)</w:t>
            </w:r>
          </w:p>
        </w:tc>
        <w:tc>
          <w:tcPr>
            <w:tcW w:w="540" w:type="dxa"/>
            <w:vAlign w:val="bottom"/>
          </w:tcPr>
          <w:p>
            <w:pPr>
              <w:jc w:val="right"/>
              <w:spacing w:after="0"/>
              <w:rPr>
                <w:sz w:val="20"/>
                <w:szCs w:val="20"/>
                <w:color w:val="auto"/>
              </w:rPr>
            </w:pPr>
            <w:r>
              <w:rPr>
                <w:rFonts w:ascii="Arial" w:cs="Arial" w:eastAsia="Arial" w:hAnsi="Arial"/>
                <w:sz w:val="18"/>
                <w:szCs w:val="18"/>
                <w:color w:val="auto"/>
              </w:rPr>
              <w:t>5.53</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5.36</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45 %</w:t>
            </w: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49 %</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36 %</w:t>
            </w: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Weighted-average fair value (in dollars)</w:t>
            </w:r>
          </w:p>
        </w:tc>
        <w:tc>
          <w:tcPr>
            <w:tcW w:w="540" w:type="dxa"/>
            <w:vAlign w:val="bottom"/>
          </w:tcPr>
          <w:p>
            <w:pPr>
              <w:jc w:val="right"/>
              <w:spacing w:after="0"/>
              <w:rPr>
                <w:sz w:val="20"/>
                <w:szCs w:val="20"/>
                <w:color w:val="auto"/>
              </w:rPr>
            </w:pPr>
            <w:r>
              <w:rPr>
                <w:rFonts w:ascii="Arial" w:cs="Arial" w:eastAsia="Arial" w:hAnsi="Arial"/>
                <w:sz w:val="18"/>
                <w:szCs w:val="18"/>
                <w:color w:val="auto"/>
              </w:rPr>
              <w:t>41.59</w:t>
            </w: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51.93</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18.17</w:t>
            </w:r>
          </w:p>
        </w:tc>
        <w:tc>
          <w:tcPr>
            <w:tcW w:w="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activity under the 2010 Stock Plan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Shares Subject to</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 Available</w:t>
            </w:r>
          </w:p>
        </w:tc>
        <w:tc>
          <w:tcPr>
            <w:tcW w:w="23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Outstanding Options</w:t>
            </w: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8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 Grant</w:t>
            </w: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3,909,701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11,206,553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(1,308,438)</w:t>
            </w:r>
          </w:p>
        </w:tc>
        <w:tc>
          <w:tcPr>
            <w:tcW w:w="940" w:type="dxa"/>
            <w:vAlign w:val="bottom"/>
          </w:tcPr>
          <w:p>
            <w:pPr>
              <w:jc w:val="right"/>
              <w:spacing w:after="0"/>
              <w:rPr>
                <w:sz w:val="20"/>
                <w:szCs w:val="20"/>
                <w:color w:val="auto"/>
              </w:rPr>
            </w:pPr>
            <w:r>
              <w:rPr>
                <w:rFonts w:ascii="Arial" w:cs="Arial" w:eastAsia="Arial" w:hAnsi="Arial"/>
                <w:sz w:val="18"/>
                <w:szCs w:val="18"/>
                <w:color w:val="auto"/>
              </w:rPr>
              <w:t>1,308,438</w:t>
            </w:r>
          </w:p>
        </w:tc>
        <w:tc>
          <w:tcPr>
            <w:tcW w:w="14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(486,605)</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tcPr>
          <w:p>
            <w:pPr>
              <w:jc w:val="right"/>
              <w:spacing w:after="0"/>
              <w:rPr>
                <w:sz w:val="20"/>
                <w:szCs w:val="20"/>
                <w:color w:val="auto"/>
              </w:rPr>
            </w:pPr>
            <w:r>
              <w:rPr>
                <w:rFonts w:ascii="Arial" w:cs="Arial" w:eastAsia="Arial" w:hAnsi="Arial"/>
                <w:sz w:val="18"/>
                <w:szCs w:val="18"/>
                <w:color w:val="auto"/>
              </w:rPr>
              <w:t>139,853</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(139,853)</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2,741,116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11,888,533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RSU award activity under the 2010 Stock Plan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Shares Available</w:t>
            </w:r>
          </w:p>
        </w:tc>
        <w:tc>
          <w:tcPr>
            <w:tcW w:w="21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Shares Subject to</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1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Outstanding Awards</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2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for Grant</w:t>
            </w:r>
          </w:p>
        </w:tc>
        <w:tc>
          <w:tcPr>
            <w:tcW w:w="9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Grant Date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769,202</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1,178,660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RSUs granted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(92,290)</w:t>
            </w:r>
          </w:p>
        </w:tc>
        <w:tc>
          <w:tcPr>
            <w:tcW w:w="840" w:type="dxa"/>
            <w:vAlign w:val="bottom"/>
          </w:tcPr>
          <w:p>
            <w:pPr>
              <w:jc w:val="right"/>
              <w:spacing w:after="0"/>
              <w:rPr>
                <w:sz w:val="20"/>
                <w:szCs w:val="20"/>
                <w:color w:val="auto"/>
              </w:rPr>
            </w:pPr>
            <w:r>
              <w:rPr>
                <w:rFonts w:ascii="Arial" w:cs="Arial" w:eastAsia="Arial" w:hAnsi="Arial"/>
                <w:sz w:val="18"/>
                <w:szCs w:val="18"/>
                <w:color w:val="auto"/>
              </w:rPr>
              <w:t>92,290</w:t>
            </w:r>
          </w:p>
        </w:tc>
        <w:tc>
          <w:tcPr>
            <w:tcW w:w="80" w:type="dxa"/>
            <w:vAlign w:val="bottom"/>
          </w:tcPr>
          <w:p>
            <w:pPr>
              <w:spacing w:after="0"/>
              <w:rPr>
                <w:sz w:val="18"/>
                <w:szCs w:val="18"/>
                <w:color w:val="auto"/>
              </w:rPr>
            </w:pP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RSUs cancelled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(27,982)</w:t>
            </w: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RSUs released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(160,123)</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1,082,845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 We did not grant any PSUs after 2014 and as of December 31, 2017, all PSUs had vested and were released.</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Also, in January 2014, Hervé Hoppenot, our President and Chief Executive Officer, was granted a one-time grant of 400,000 RSUs outside of our 2010 Stock Incentive Plan. Vesting of the RSUs will be subject to Mr. Hoppenot’s continued employment on the applicable vesting dates, with one-sixth of the RSUs vesting at the end of each of the calendar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years 2014 through 2019, subject to earlier acceleration of vesting upon the occurrence of certain events in accordance with the terms of his employment agreement. As of March 31, 2018, a cumulative total of 266,667 RSUs granted to Mr. Hoppenot had vested and were released, leaving 133,333 RSUs outstanding.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and RSUs.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compensation cost of options granted but not yet vested, as of March 31, 2018, was $118.1 million, which is expected to be recognized over the weighted average period of approximately 1.7 years. Total compensation cost of RSUs granted but not yet vested, as of March 31, 2018, was $52.2 million, which is expected to be recognized over the weighted average period of approximately 1.4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share activity: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Issued</w:t>
            </w:r>
          </w:p>
        </w:tc>
      </w:tr>
      <w:tr>
        <w:trPr>
          <w:trHeight w:val="171"/>
        </w:trPr>
        <w:tc>
          <w:tcPr>
            <w:tcW w:w="756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and Outstanding</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211,262,906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Exercise of stock options and issuance under ESPP</w:t>
            </w:r>
          </w:p>
        </w:tc>
        <w:tc>
          <w:tcPr>
            <w:tcW w:w="1360" w:type="dxa"/>
            <w:vAlign w:val="bottom"/>
          </w:tcPr>
          <w:p>
            <w:pPr>
              <w:jc w:val="right"/>
              <w:spacing w:after="0"/>
              <w:rPr>
                <w:sz w:val="20"/>
                <w:szCs w:val="20"/>
                <w:color w:val="auto"/>
              </w:rPr>
            </w:pPr>
            <w:r>
              <w:rPr>
                <w:rFonts w:ascii="Arial" w:cs="Arial" w:eastAsia="Arial" w:hAnsi="Arial"/>
                <w:sz w:val="18"/>
                <w:szCs w:val="18"/>
                <w:color w:val="auto"/>
              </w:rPr>
              <w:t>487,637</w:t>
            </w:r>
          </w:p>
        </w:tc>
        <w:tc>
          <w:tcPr>
            <w:tcW w:w="14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employee restricted stock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137,104</w:t>
            </w:r>
          </w:p>
        </w:tc>
        <w:tc>
          <w:tcPr>
            <w:tcW w:w="140" w:type="dxa"/>
            <w:vAlign w:val="bottom"/>
            <w:shd w:val="clear" w:color="auto" w:fill="CCEEFF"/>
          </w:tcPr>
          <w:p>
            <w:pPr>
              <w:spacing w:after="0"/>
              <w:rPr>
                <w:sz w:val="18"/>
                <w:szCs w:val="18"/>
                <w:color w:val="auto"/>
              </w:rPr>
            </w:pPr>
          </w:p>
        </w:tc>
      </w:tr>
      <w:tr>
        <w:trPr>
          <w:trHeight w:val="216"/>
        </w:trPr>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of convertible senior notes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Borders>
              <w:bottom w:val="single" w:sz="8" w:color="CCEEFF"/>
            </w:tcBorders>
          </w:tcPr>
          <w:p>
            <w:pPr>
              <w:spacing w:after="0"/>
              <w:rPr>
                <w:sz w:val="18"/>
                <w:szCs w:val="18"/>
                <w:color w:val="auto"/>
              </w:rPr>
            </w:pPr>
          </w:p>
        </w:tc>
      </w:tr>
      <w:tr>
        <w:trPr>
          <w:trHeight w:val="217"/>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211,888,186</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ind w:left="440" w:hanging="437"/>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convertible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w w:val="97"/>
              </w:rPr>
              <w:t>Interest Rates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1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1220" w:type="dxa"/>
            <w:vAlign w:val="bottom"/>
            <w:gridSpan w:val="2"/>
            <w:vMerge w:val="continue"/>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Maturities</w:t>
            </w:r>
          </w:p>
        </w:tc>
        <w:tc>
          <w:tcPr>
            <w:tcW w:w="86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March 31,</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4"/>
              </w:rPr>
              <w:t>March 31, 2018</w:t>
            </w: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0.375% Convertible Senior Notes due 2018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1.25% Convertible Senior Notes due 2020</w:t>
            </w:r>
          </w:p>
        </w:tc>
        <w:tc>
          <w:tcPr>
            <w:tcW w:w="12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1.25 %</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16,811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current portion</w:t>
            </w:r>
          </w:p>
        </w:tc>
        <w:tc>
          <w:tcPr>
            <w:tcW w:w="9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16,811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and fair value of our convertible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24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162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Carrying</w:t>
            </w: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0.375% Convertible Senior Notes due 2018</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14,129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1.25% Convertible Senior Notes due 2020</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31,219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35,431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43,608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49,560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values of the 0.375% Convertible Senior Notes due 2018 (the “2018 Notes”) and the 1.25% Convertible Senior Notes due 2020 (the “2020 Notes”) are based on data from readily available pricing sources which utilize market observable inputs and other characteristics for similar types of instruments, and, therefore, these convertible senior notes are classified within Level 2 in the fair value hierarchy.</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Prior to May 14, 2014, the 2018 and 2020 Notes were not convertible except in connection with a make-whole fundamental change, as defined in the respective indentures. Beginning on, and including, May 15, 2014, the 2018 and 2020 Notes are convertible prior to the close of business on the business day immediately preceding May 15, 2018, in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case of the 2018 Notes, and May 15, 2020, in the case of the 2020 Notes, only under the following circumstances: (i)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2018 Notes or 2020 Notes, as applicable, on each applicable trading day; (ii) during the five business day period after any five consecutive trading day period (the “measurement period”) in which the trading price per $1,000 principal amount of 2018 Notes or 2020 Notes, as applicable, for each trading day of the measurement period was less than 98% of the product of the last reported sale price of our common stock and the conversion rate for the 2018 Notes or 2020 Notes, as applicable, on each such trading day; or (iii) upon the occurrence of specified corporate events. On or after May 15, 2018, in the case of the 2018 Notes, and May 15, 2020, in the case of the 2020 Notes, until the close of business on the second scheduled trading day immediately preceding the relevant maturity date, the Notes are convertible at any time, regardless of the foregoing circumstances. Upon conversion we will pay or deliver, as the case may be, cash, shares of common stock or a combination of cash and shares of common stock, at our election.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1, 2018, the 2018 Notes and 2020 Notes became convertible through at least June 30, 2018, based on meeting the conversion criteria related to the sale price of our common stock during the calendar quarter ended March 31, 2018 as described in (i) above. The 2018 Notes will mature in November 2018, and accordingly, are classified in short term liabilities on the condensed consolidated balance sheet at March 31, 2018. The 2020 Notes are reflected in long term liabilities on the condensed consolidated balance sheet at March 31, 2018 as management’s intent is to settle any conversions of the 2020 Notes during this period in shares of our common stock.</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three months ended March 31, 2017, we entered into separately negotiated agreements with certain holders of the 2018 Notes pursuant to which such holders agreed to exchange a total of $348.9 million in aggregate principal amount of the 2018 Notes for the shares of our common stock into which the 2018 Notes were originally convertible, aggregating 6.7 million shares, an additional 0.1 million of premium shares (equivalent to $12.6 million in value) and $1.3 million in cash. Similarly we entered into separately negotiated agreements with certain holders of the 2020 Notes pursuant to which such holders agreed to exchange a total of $353.7 million in aggregate principal amount of the 2020 Notes for the shares of our common stock into which the 2020 Notes were originally convertible, aggregating 6.8 million shares, an additional 0.2 million of premium shares (equivalent to $26.8 million in value) and $6.8 million in cash. Included in the agreements were those with entities affiliated with Julian C. Baker, one of our directors, which agreed to exchange $259.0 million in aggregate principal amount of the 2018 Notes and $274.5 million in aggregate principal amount of the 2020 Notes for an aggregate of 10.6 million shares.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guidance within ASC 470-20-40-20, we measured the difference between the fair value and carrying value of the liability portions of the 2018 Notes and 2020 Notes, which resulted in recording expense related to senior note conversions of $1.5 million related to the 2018 Notes and $5.1 million related to the 2020 Notes. The estimated fair value of the debt component was determined using a valuation model which is subject to judgement. Assumptions used within the valuation model include an estimated credit rating and an estimated market-based cost of debt. These assumptions were used to perform a discounted cash flow analysis on the future interest and principal payments to determine the estimated fair value of the debt at inducement.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the fair value of the premium shares issued pursuant to these agreements as well as the cash paid in connection with the agreements totaled $47.5 million and is also included within expense related to senior note conversions on the condensed consolidated statement of operations during the three months ended March 31, 2017.</w:t>
      </w:r>
    </w:p>
    <w:p>
      <w:pPr>
        <w:spacing w:after="0" w:line="162" w:lineRule="exact"/>
        <w:rPr>
          <w:sz w:val="20"/>
          <w:szCs w:val="20"/>
          <w:color w:val="auto"/>
        </w:rPr>
      </w:pPr>
    </w:p>
    <w:p>
      <w:pPr>
        <w:ind w:left="460" w:hanging="457"/>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defined contribution plan qualified under Section 401(k) of the Internal Revenue Code covering all U.S. employees. Employees may contribute a portion of their compensation, which is then matched by us, subject to certain limitations. Defined contribution expense for the three months ended March 31, 2018 and 2017 was $2.7 million and $2.2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defined benefit pension plans for our employees in Europe which provide benefits to employees upon retirement, death or disability.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net periodic benefit cost for the three months ended March 31, 2018 and 2017 was as follows (in thousands):</w:t>
      </w:r>
    </w:p>
    <w:p>
      <w:pPr>
        <w:spacing w:after="0" w:line="253"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Three Months Ended</w:t>
      </w:r>
    </w:p>
    <w:p>
      <w:pPr>
        <w:jc w:val="center"/>
        <w:ind w:left="54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16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60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other income (expense), net on the condensed consolidated statements of operations. We expect to contribute a total of $3.2 million to the plans in 2018 inclusive of the amounts contributed to the plan during the current period. As of March 31, 2018 and December 31, 2017, $14.0 million and $13.4 million, respectively, of accrued pension obligation is recorded in other long term liabilities on the condensed consolidated balance sheets.</w:t>
      </w:r>
    </w:p>
    <w:p>
      <w:pPr>
        <w:spacing w:after="0" w:line="184" w:lineRule="exact"/>
        <w:rPr>
          <w:sz w:val="20"/>
          <w:szCs w:val="20"/>
          <w:color w:val="auto"/>
        </w:rPr>
      </w:pPr>
    </w:p>
    <w:p>
      <w:pPr>
        <w:ind w:left="460" w:hanging="457"/>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2"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For the three months ended March 31, 2018 and 2017, we recorded income tax expense of approximately $0.8 million and an income tax benefit of approximately $10.9 million, respectively. The change in tax expense for the three months ended March 31, 2018 was primarily driven by the difference in projected annual operating income or loss compared to our actual results as well as the recognition of certain discrete items in the current period.</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March 31, 2018, a full valuation allowance continues to be recorded against our U.S. and Swiss net deferred tax assets. This position is based on an analysis of positive and negative evidence, including analyzing three-year cumulative pre-tax income or loss, projections of future taxable income as well as other quantitative and qualitative information.</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liability for unrecognized tax benefits (including penalties and interest) increased by approximately $1.3 million during the three months ended March 31, 2018, of which only $0.2 million was recorded as an increase to noncurrent other liabilities on the condensed consolidated balance sheet. The increase is primarily driven by unrecognized tax benefits related to current year operations.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22, 2017, the Tax Cuts and Jobs Act of 2017 was signed into law, making significant changes to the Internal Revenue Code. The Act contains numerous provisions impacting corporate taxpayers. Changes include a federal corporate tax rate decrease from 35% to 21% effective for tax years beginning after December 31, 2017, the transition of U.S. international taxation from a worldwide tax system to a territorial system and temporary full expensing of certain business assets. We recorded provisional tax impacts related to the revaluation of deferred tax assets and liabilities as well as the temporary full expensing of certain business assets in our consolidated financial statements for the year ended December 31, 2017. We continue to monitor and analyze further issued guidance, however no additional tax effects of the Act were required to be recorded for the three months ended March 31, 2018. The financial statement impact is expected to be complete when the 2017 U.S. corporate income tax return is filed in 2018.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Net loss per share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all periods presented, both basic and diluted net loss per common share are computed by dividing the net loss by the number of weighted average common shares outstanding during the period. Stock options, awards and potential common shares issuable upon conversion of the 2018 Notes and 2020 Notes were excluded from the computation of diluted net loss per share, as their share effect was anti-dilutive for all periods presented.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potential common shares were excluded from the calculations as their effect would be anti-dilutive:</w:t>
      </w:r>
    </w:p>
    <w:p>
      <w:pPr>
        <w:spacing w:after="0" w:line="253"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Three Months Ended</w:t>
      </w:r>
    </w:p>
    <w:p>
      <w:pPr>
        <w:jc w:val="center"/>
        <w:ind w:left="55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6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13,104,711</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12,598,407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Common shares issuable upon conversion of the 2018 Notes</w:t>
            </w:r>
          </w:p>
        </w:tc>
        <w:tc>
          <w:tcPr>
            <w:tcW w:w="1440" w:type="dxa"/>
            <w:vAlign w:val="bottom"/>
          </w:tcPr>
          <w:p>
            <w:pPr>
              <w:jc w:val="right"/>
              <w:spacing w:after="0"/>
              <w:rPr>
                <w:sz w:val="20"/>
                <w:szCs w:val="20"/>
                <w:color w:val="auto"/>
              </w:rPr>
            </w:pPr>
            <w:r>
              <w:rPr>
                <w:rFonts w:ascii="Arial" w:cs="Arial" w:eastAsia="Arial" w:hAnsi="Arial"/>
                <w:sz w:val="18"/>
                <w:szCs w:val="18"/>
                <w:color w:val="auto"/>
              </w:rPr>
              <w:t>148,836</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505,004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issuable upon conversion of the 2020 Notes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24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760" w:type="dxa"/>
            <w:vAlign w:val="bottom"/>
          </w:tcPr>
          <w:p>
            <w:pPr>
              <w:spacing w:after="0" w:line="182" w:lineRule="exact"/>
              <w:rPr>
                <w:sz w:val="20"/>
                <w:szCs w:val="20"/>
                <w:color w:val="auto"/>
              </w:rPr>
            </w:pPr>
            <w:r>
              <w:rPr>
                <w:rFonts w:ascii="Arial" w:cs="Arial" w:eastAsia="Arial" w:hAnsi="Arial"/>
                <w:sz w:val="18"/>
                <w:szCs w:val="18"/>
                <w:color w:val="auto"/>
              </w:rPr>
              <w:t>Total potential common shares excluded from diluted net loss per share</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13,622,486</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13,510,411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computation</w:t>
            </w:r>
          </w:p>
        </w:tc>
        <w:tc>
          <w:tcPr>
            <w:tcW w:w="144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2018, under our Option and License Agreement with Bristol-Myers Squibb, E.R. Squibb &amp; Sons, L.L.C. and Ono Pharmaceutical Co., Ltd (collectively, “BMS”), we exercised our option to purchase a license for a non-exclusive, worldwide, perpetual, sublicensable right and license to research, develop, make, distribute, use, offer for sale, export, import and sell licensed products utilizing a PD-1 antibody. We paid BMS an option exercise fee of $15.0 million which will be recorded in research and development expense on the condensed consolidated statement of operations in the second quarter of 2018.</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April 2018, the FDA convened its Arthritis Advisory Committee to discuss the resubmission of the baricitinib NDA, which recommended approval of the 2mg dose of baricitinib as a once-daily oral medication for the treatment of moderately-to-severely active rheumatoid arthritis for adult patients who have had an inadequate response or intolerance to methotrexate. While the Advisory Committee unanimously supported the efficacy of the 4mg dose of baricitinib, it did not recommend approval of the 4mg dose of baricitinib for the proposed indication based on the adequacy of the safety and benefit-risk profiles. The FDA action date for baricitinib is in June 2018.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as of and for the three months ended March 31, 2018 should be read in conjunction with the unaudited condensed consolidated financial statements and notes to those statements included elsewhere in this Quarterly Report on Form 10-Q and our audited consolidated financial statements as of and for the year ended December 31, 2017 included in our Annual Report on Form 10-K for the year ended December 31, 2017 previously filed with the SEC.</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59" w:lineRule="exact"/>
        <w:rPr>
          <w:sz w:val="20"/>
          <w:szCs w:val="20"/>
          <w:color w:val="auto"/>
        </w:rPr>
      </w:pPr>
    </w:p>
    <w:p>
      <w:pPr>
        <w:ind w:left="980" w:hanging="329"/>
        <w:spacing w:after="0" w:line="235"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18"/>
          <w:szCs w:val="18"/>
          <w:color w:val="auto"/>
        </w:rPr>
        <w:t>®</w:t>
      </w:r>
      <w:r>
        <w:rPr>
          <w:rFonts w:ascii="Arial" w:cs="Arial" w:eastAsia="Arial" w:hAnsi="Arial"/>
          <w:sz w:val="18"/>
          <w:szCs w:val="18"/>
          <w:i w:val="1"/>
          <w:iCs w:val="1"/>
          <w:color w:val="auto"/>
        </w:rPr>
        <w:t>/JAKAVI</w:t>
      </w:r>
      <w:r>
        <w:rPr>
          <w:rFonts w:ascii="Arial" w:cs="Arial" w:eastAsia="Arial" w:hAnsi="Arial"/>
          <w:sz w:val="18"/>
          <w:szCs w:val="18"/>
          <w:color w:val="auto"/>
        </w:rPr>
        <w:t>®</w:t>
      </w:r>
      <w:r>
        <w:rPr>
          <w:rFonts w:ascii="Arial" w:cs="Arial" w:eastAsia="Arial" w:hAnsi="Arial"/>
          <w:sz w:val="18"/>
          <w:szCs w:val="18"/>
          <w:i w:val="1"/>
          <w:iCs w:val="1"/>
          <w:color w:val="auto"/>
        </w:rPr>
        <w:t xml:space="preserve"> (ruxolitinib) and ICLUSIG</w:t>
      </w:r>
      <w:r>
        <w:rPr>
          <w:rFonts w:ascii="Arial" w:cs="Arial" w:eastAsia="Arial" w:hAnsi="Arial"/>
          <w:sz w:val="18"/>
          <w:szCs w:val="18"/>
          <w:color w:val="auto"/>
        </w:rPr>
        <w:t>®</w:t>
      </w:r>
      <w:r>
        <w:rPr>
          <w:rFonts w:ascii="Arial" w:cs="Arial" w:eastAsia="Arial" w:hAnsi="Arial"/>
          <w:sz w:val="18"/>
          <w:szCs w:val="18"/>
          <w:i w:val="1"/>
          <w:iCs w:val="1"/>
          <w:color w:val="auto"/>
        </w:rPr>
        <w:t xml:space="preserve"> (ponatinib);</w:t>
      </w:r>
    </w:p>
    <w:p>
      <w:pPr>
        <w:spacing w:after="0" w:line="12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expected benefits from our acquisition of ARIAD Pharmaceuticals (Luxembourg) S.à.r.l. and our plans to further develop our European operations;</w:t>
      </w:r>
    </w:p>
    <w:p>
      <w:pPr>
        <w:spacing w:after="0" w:line="134"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anticipated benefits and disadvantages of entering into collaboration agreements;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our licensing, investment and commercialization strategies, including our plans to commercialize JAKAFI and</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i w:val="1"/>
          <w:iCs w:val="1"/>
          <w:color w:val="auto"/>
        </w:rPr>
        <w:t>ICLUSIG;</w:t>
      </w:r>
    </w:p>
    <w:p>
      <w:pPr>
        <w:spacing w:after="0" w:line="210"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21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U.S. tax laws;</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w:t>
      </w:r>
    </w:p>
    <w:p>
      <w:pPr>
        <w:spacing w:after="0" w:line="225"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i w:val="1"/>
          <w:iCs w:val="1"/>
          <w:color w:val="auto"/>
        </w:rPr>
        <w:t>These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202" w:lineRule="exact"/>
        <w:rPr>
          <w:sz w:val="20"/>
          <w:szCs w:val="20"/>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JAKAFI and ICLUSIG;</w:t>
      </w:r>
    </w:p>
    <w:p>
      <w:pPr>
        <w:spacing w:after="0" w:line="21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14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14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134"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risks relating to our reliance on third-party manufacturers, collaborators, and clinical research organizations;</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170"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licensed compounds or drug candidates;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license drug candidates or other technology;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analyze the effects of new accounting pronouncements and apply new accounting rules;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history of operating losses;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Incyte and JAKAFI are our registered trademarks. We also refer to trademarks of other corporations and organizations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Incyte is a biopharmaceutical company focused on the discovery, development and commercialization of proprietary therapeutics. Our global headquarters is located in Wilmington, Delaware. We conduct our European clinical development operations from our offices in Geneva, Switzerland, and Lausanne, Switzerland; our Japanese office is in Tokyo.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Indications - JAKAFI (ruxolitinib)</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JAKAFI (ruxolitinib) is our first product to be approved for sale in the United States. It was approved by the U.S. Food and Drug Administration (FDA) in November 2011 for the treatment of patients with intermediate or high</w:t>
      </w:r>
      <w:r>
        <w:rPr>
          <w:rFonts w:ascii="MS PGothic" w:cs="MS PGothic" w:eastAsia="MS PGothic" w:hAnsi="MS PGothic"/>
          <w:sz w:val="18"/>
          <w:szCs w:val="18"/>
          <w:color w:val="auto"/>
        </w:rPr>
        <w:t>‑</w:t>
      </w:r>
      <w:r>
        <w:rPr>
          <w:rFonts w:ascii="Arial" w:cs="Arial" w:eastAsia="Arial" w:hAnsi="Arial"/>
          <w:sz w:val="18"/>
          <w:szCs w:val="18"/>
          <w:color w:val="auto"/>
        </w:rPr>
        <w:t>risk myelofibrosis and in December 2014 for the treatment of patients with polycythemia vera who have had an inadequate response to or are intolerant of hydroxyurea. Myelofibrosis and polycythemia vera are both rare blood cancers. Under our collaboration agreement with Novartis International Pharmaceutical Ltd., Novartis received exclusive development and commercialization rights to ruxolitinib outside of the United States for all hematologic and oncologic indications and sells ruxolitinib outside of the United States under the name JAKAVI.</w:t>
      </w:r>
    </w:p>
    <w:p>
      <w:pPr>
        <w:spacing w:after="0" w:line="20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w:t>
      </w:r>
      <w:r>
        <w:rPr>
          <w:rFonts w:ascii="MS PGothic" w:cs="MS PGothic" w:eastAsia="MS PGothic" w:hAnsi="MS PGothic"/>
          <w:sz w:val="18"/>
          <w:szCs w:val="18"/>
          <w:color w:val="auto"/>
        </w:rPr>
        <w:t>‑</w:t>
      </w:r>
      <w:r>
        <w:rPr>
          <w:rFonts w:ascii="Arial" w:cs="Arial" w:eastAsia="Arial" w:hAnsi="Arial"/>
          <w:sz w:val="18"/>
          <w:szCs w:val="18"/>
          <w:color w:val="auto"/>
        </w:rPr>
        <w:t>STAT signaling pathway has been associated with a number of diseases, including myeloproliferative neoplasms, other hematological malignancies, rheumatoid arthritis and other chronic inflammatory diseases. Myeloproliferative neoplasms are a closely related group of blood diseases in which blood cells, specifically platelets, white blood cells, and red blood cells, grow or act abnormally. These diseases include myelofibrosis (MF), polycythemia vera (PV) and essential thrombocythemia (ET).</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4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w:t>
      </w:r>
      <w:r>
        <w:rPr>
          <w:rFonts w:ascii="MS PGothic" w:cs="MS PGothic" w:eastAsia="MS PGothic" w:hAnsi="MS PGothic"/>
          <w:sz w:val="18"/>
          <w:szCs w:val="18"/>
          <w:color w:val="auto"/>
        </w:rPr>
        <w:t>‑</w:t>
      </w:r>
      <w:r>
        <w:rPr>
          <w:rFonts w:ascii="Arial" w:cs="Arial" w:eastAsia="Arial" w:hAnsi="Arial"/>
          <w:sz w:val="18"/>
          <w:szCs w:val="18"/>
          <w:color w:val="auto"/>
        </w:rPr>
        <w:t>approved JAK inhibitor for any indication and was the first and remains the only product approved by the FDA for use in MF and PV. The FDA has granted JAKAFI orphan drug status for MF, PV, ET, acute lymphoblastic leukemia (ALL) and graft-versus-host-disease (GVHD).</w:t>
      </w:r>
    </w:p>
    <w:p>
      <w:pPr>
        <w:spacing w:after="0" w:line="204"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To help ensure that all eligible MF and PV patients have access to JAKAFI, we have established a patient assistance program called IncyteCARES (CARES stands for Connecting to Access, Reimbursement, Education and Support). IncyteCARES helps ensure that any patient with intermediate or high</w:t>
      </w:r>
      <w:r>
        <w:rPr>
          <w:rFonts w:ascii="MS PGothic" w:cs="MS PGothic" w:eastAsia="MS PGothic" w:hAnsi="MS PGothic"/>
          <w:sz w:val="18"/>
          <w:szCs w:val="18"/>
          <w:color w:val="auto"/>
        </w:rPr>
        <w:t>‑</w:t>
      </w:r>
      <w:r>
        <w:rPr>
          <w:rFonts w:ascii="Arial" w:cs="Arial" w:eastAsia="Arial" w:hAnsi="Arial"/>
          <w:sz w:val="18"/>
          <w:szCs w:val="18"/>
          <w:color w:val="auto"/>
        </w:rPr>
        <w:t>risk MF or uncontrolled PV who meets certain eligibility criteria and is prescribed JAKAFI has access to the product regardless of ability to pay and has access to ongoing support and educational resources during treatment. In addition, IncyteCARES works closely with payers to help facilitate insurance coverage of JAKAFI.</w:t>
      </w:r>
    </w:p>
    <w:p>
      <w:pPr>
        <w:spacing w:after="0" w:line="203"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w:t>
      </w:r>
      <w:r>
        <w:rPr>
          <w:rFonts w:ascii="MS PGothic" w:cs="MS PGothic" w:eastAsia="MS PGothic" w:hAnsi="MS PGothic"/>
          <w:sz w:val="17"/>
          <w:szCs w:val="17"/>
          <w:color w:val="auto"/>
        </w:rPr>
        <w:t>‑</w:t>
      </w:r>
      <w:r>
        <w:rPr>
          <w:rFonts w:ascii="Arial" w:cs="Arial" w:eastAsia="Arial" w:hAnsi="Arial"/>
          <w:sz w:val="17"/>
          <w:szCs w:val="17"/>
          <w:color w:val="auto"/>
        </w:rPr>
        <w:t>established and familiar to physicians who practice within the oncology field.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6"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Myelofibrosis is a rare,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 MF, considered the most serious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w:t>
      </w:r>
      <w:r>
        <w:rPr>
          <w:rFonts w:ascii="MS PGothic" w:cs="MS PGothic" w:eastAsia="MS PGothic" w:hAnsi="MS PGothic"/>
          <w:sz w:val="17"/>
          <w:szCs w:val="17"/>
          <w:color w:val="auto"/>
        </w:rPr>
        <w:t>‑</w:t>
      </w:r>
      <w:r>
        <w:rPr>
          <w:rFonts w:ascii="Arial" w:cs="Arial" w:eastAsia="Arial" w:hAnsi="Arial"/>
          <w:sz w:val="17"/>
          <w:szCs w:val="17"/>
          <w:color w:val="auto"/>
        </w:rPr>
        <w:t>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The FDA approval was based on results from two randomized Phase III trials (COMFORT</w:t>
      </w:r>
      <w:r>
        <w:rPr>
          <w:rFonts w:ascii="MS PGothic" w:cs="MS PGothic" w:eastAsia="MS PGothic" w:hAnsi="MS PGothic"/>
          <w:sz w:val="17"/>
          <w:szCs w:val="17"/>
          <w:color w:val="auto"/>
        </w:rPr>
        <w:t>‑</w:t>
      </w:r>
      <w:r>
        <w:rPr>
          <w:rFonts w:ascii="Arial" w:cs="Arial" w:eastAsia="Arial" w:hAnsi="Arial"/>
          <w:sz w:val="17"/>
          <w:szCs w:val="17"/>
          <w:color w:val="auto"/>
        </w:rPr>
        <w:t>I and COMFORT</w:t>
      </w:r>
      <w:r>
        <w:rPr>
          <w:rFonts w:ascii="MS PGothic" w:cs="MS PGothic" w:eastAsia="MS PGothic" w:hAnsi="MS PGothic"/>
          <w:sz w:val="17"/>
          <w:szCs w:val="17"/>
          <w:color w:val="auto"/>
        </w:rPr>
        <w:t>‑</w:t>
      </w:r>
      <w:r>
        <w:rPr>
          <w:rFonts w:ascii="Arial" w:cs="Arial" w:eastAsia="Arial" w:hAnsi="Arial"/>
          <w:sz w:val="17"/>
          <w:szCs w:val="17"/>
          <w:color w:val="auto"/>
        </w:rPr>
        <w:t>II), which demonstrated that patients treated with JAKAFI experienced significant reductions in splenomegaly (enlarged spleen). COMFORT</w:t>
      </w:r>
      <w:r>
        <w:rPr>
          <w:rFonts w:ascii="MS PGothic" w:cs="MS PGothic" w:eastAsia="MS PGothic" w:hAnsi="MS PGothic"/>
          <w:sz w:val="17"/>
          <w:szCs w:val="17"/>
          <w:color w:val="auto"/>
        </w:rPr>
        <w:t>‑</w:t>
      </w:r>
      <w:r>
        <w:rPr>
          <w:rFonts w:ascii="Arial" w:cs="Arial" w:eastAsia="Arial" w:hAnsi="Arial"/>
          <w:sz w:val="17"/>
          <w:szCs w:val="17"/>
          <w:color w:val="auto"/>
        </w:rPr>
        <w:t>I also demonstrated improvements in symptoms. The most common hematologic adverse reactions in both trials were thrombocytopenia and anemia. These events rarely led to discontinuation of JAKAFI treatment. The most common non</w:t>
      </w:r>
      <w:r>
        <w:rPr>
          <w:rFonts w:ascii="MS PGothic" w:cs="MS PGothic" w:eastAsia="MS PGothic" w:hAnsi="MS PGothic"/>
          <w:sz w:val="17"/>
          <w:szCs w:val="17"/>
          <w:color w:val="auto"/>
        </w:rPr>
        <w:t>‑</w:t>
      </w:r>
      <w:r>
        <w:rPr>
          <w:rFonts w:ascii="Arial" w:cs="Arial" w:eastAsia="Arial" w:hAnsi="Arial"/>
          <w:sz w:val="17"/>
          <w:szCs w:val="17"/>
          <w:color w:val="auto"/>
        </w:rPr>
        <w:t>hematologic adverse reactions were bruising, dizziness and headache.</w:t>
      </w:r>
    </w:p>
    <w:p>
      <w:pPr>
        <w:spacing w:after="0" w:line="20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In August 2014, the FDA approved supplemental labeling for JAKAFI to include Kaplan</w:t>
      </w:r>
      <w:r>
        <w:rPr>
          <w:rFonts w:ascii="MS PGothic" w:cs="MS PGothic" w:eastAsia="MS PGothic" w:hAnsi="MS PGothic"/>
          <w:sz w:val="18"/>
          <w:szCs w:val="18"/>
          <w:color w:val="auto"/>
        </w:rPr>
        <w:t>‑</w:t>
      </w:r>
      <w:r>
        <w:rPr>
          <w:rFonts w:ascii="Arial" w:cs="Arial" w:eastAsia="Arial" w:hAnsi="Arial"/>
          <w:sz w:val="18"/>
          <w:szCs w:val="18"/>
          <w:color w:val="auto"/>
        </w:rPr>
        <w:t>Meier overall survival curves as well as additional safety and dosing information. The overall survival information is based on three</w:t>
      </w:r>
      <w:r>
        <w:rPr>
          <w:rFonts w:ascii="MS PGothic" w:cs="MS PGothic" w:eastAsia="MS PGothic" w:hAnsi="MS PGothic"/>
          <w:sz w:val="18"/>
          <w:szCs w:val="18"/>
          <w:color w:val="auto"/>
        </w:rPr>
        <w:t>‑</w:t>
      </w:r>
      <w:r>
        <w:rPr>
          <w:rFonts w:ascii="Arial" w:cs="Arial" w:eastAsia="Arial" w:hAnsi="Arial"/>
          <w:sz w:val="18"/>
          <w:szCs w:val="18"/>
          <w:color w:val="auto"/>
        </w:rPr>
        <w:t>year data from COMFORT</w:t>
      </w:r>
      <w:r>
        <w:rPr>
          <w:rFonts w:ascii="MS PGothic" w:cs="MS PGothic" w:eastAsia="MS PGothic" w:hAnsi="MS PGothic"/>
          <w:sz w:val="18"/>
          <w:szCs w:val="18"/>
          <w:color w:val="auto"/>
        </w:rPr>
        <w:t>‑</w:t>
      </w:r>
      <w:r>
        <w:rPr>
          <w:rFonts w:ascii="Arial" w:cs="Arial" w:eastAsia="Arial" w:hAnsi="Arial"/>
          <w:sz w:val="18"/>
          <w:szCs w:val="18"/>
          <w:color w:val="auto"/>
        </w:rPr>
        <w:t>I and II, and shows that at three years the probability of survival for patients treated with JAKAFI in COMFORT</w:t>
      </w:r>
      <w:r>
        <w:rPr>
          <w:rFonts w:ascii="MS PGothic" w:cs="MS PGothic" w:eastAsia="MS PGothic" w:hAnsi="MS PGothic"/>
          <w:sz w:val="18"/>
          <w:szCs w:val="18"/>
          <w:color w:val="auto"/>
        </w:rPr>
        <w:t>‑</w:t>
      </w:r>
      <w:r>
        <w:rPr>
          <w:rFonts w:ascii="Arial" w:cs="Arial" w:eastAsia="Arial" w:hAnsi="Arial"/>
          <w:sz w:val="18"/>
          <w:szCs w:val="18"/>
          <w:color w:val="auto"/>
        </w:rPr>
        <w:t>I was 70% and for those patients originally randomized to placebo it was 61%. In COMFORT</w:t>
      </w:r>
      <w:r>
        <w:rPr>
          <w:rFonts w:ascii="MS PGothic" w:cs="MS PGothic" w:eastAsia="MS PGothic" w:hAnsi="MS PGothic"/>
          <w:sz w:val="18"/>
          <w:szCs w:val="18"/>
          <w:color w:val="auto"/>
        </w:rPr>
        <w:t>‑</w:t>
      </w:r>
      <w:r>
        <w:rPr>
          <w:rFonts w:ascii="Arial" w:cs="Arial" w:eastAsia="Arial" w:hAnsi="Arial"/>
          <w:sz w:val="18"/>
          <w:szCs w:val="18"/>
          <w:color w:val="auto"/>
        </w:rPr>
        <w: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 Fatigue total score) was reported in 35% of patients treated with JAKAFI versus 14% of the patients treated with placebo.</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achieved complete hematologic remission—which was defined as achieving hematocrit control, and lowering platelet and white blood cell counts. In the RESPONSE trial, the most common hematologic adverse reactions (incidence &gt; 20%) were thrombocytopenia and anemia. The most common non</w:t>
      </w:r>
      <w:r>
        <w:rPr>
          <w:rFonts w:ascii="MS PGothic" w:cs="MS PGothic" w:eastAsia="MS PGothic" w:hAnsi="MS PGothic"/>
          <w:sz w:val="17"/>
          <w:szCs w:val="17"/>
          <w:color w:val="auto"/>
        </w:rPr>
        <w:t>‑</w:t>
      </w:r>
      <w:r>
        <w:rPr>
          <w:rFonts w:ascii="Arial" w:cs="Arial" w:eastAsia="Arial" w:hAnsi="Arial"/>
          <w:sz w:val="17"/>
          <w:szCs w:val="17"/>
          <w:color w:val="auto"/>
        </w:rPr>
        <w:t>hematologic adverse events (incidence &gt;10%) were headache, abdominal pain, diarrhea, dizziness, fatigue, pruritus, dyspnea and muscle spasms.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commercial milestones as well as royalties from product sales outside the United States. We hold patents that cover the composition of matter and use of ruxolitinib which patents, including applicable extensions, expire in late 2027.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Indications - ICLUSIG (ponatinib)</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in Oncology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future of cancer treatment lies in the use of immune therapies, which seek to recruit the patient’s own immune system to tackle cancer, and targeted therapies, which aim to block, directly or indirectly, the effects of cancer-causing mutations. Our most advanced programs are detailed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JAK Inhibition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Building upon positive, independently published third-party data of ruxolitinib in GVHD, we initiated the REACH clinical program to evaluate ruxolitinib in patients with steroid-refractory GVHD. REACH1, a pivotal Phase II trial in steroid-refractory acute GVHD was initiated in December 2016 and is fully-recruited. REACH2, the Novartis-sponsored Phase III trial in steroid-refractory acute GVHD, and REACH3, the Phase III trial in steroid-refractory chronic GVHD that is co-sponsored by Incyte and Novartis, are both underway. In June 2016, we announced that the FDA granted Breakthrough Therapy Designation for ruxolitinib in patients with acute GVHD. In April 2016, we announced an agreement with Eli Lilly and Company enabling us to develop and commercialize ruxolitinib in the United States for the treatment of GVHD. We also announced an agreement with Novartis granting Novartis exclusive research, development and commercialization rights for ruxolitinib in GVHD outside the United States.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proof-of-concept trial of itacitinib, a selective JAK1 inhibitor, is ongoing for the treatment of patients with acute GVHD. Based on preliminary data from this trial, a pivotal program investigating itacitinib for the treatment of patients with treatment-naïve acute GVHD was initiated in July 2017. The FDA has granted itacitinib orphan drug status for GVHD.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GVHD is a condition that can occur after an allogeneic transplant (the transfer of genetically dissimilar stem cells or tissue). In GVHD, the donated bone marrow or peripheral blood stem cells view the recipient’s body as foreign and attack the body. We estimate that the long-term survival in patients with corticosteroid-refractory GVHD is approximately 5% to 30% and that the diagnosed incidence of acute and chronic GVHD is approximately 17,000 per year across the United States and Europe.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Following positive proof-of-concept data, we initiated a pivotal program investigating ruxolitinib for the treatment of patients with essential thrombocythemia. ET is a Philadelphia chromosome negative myeloproliferative neoplasm, characterized by the overproduction of platelets in the bone marrow. The pivotal RESET trial is enrolling ET patients that are refractory to or intolerant of hydroxyurea, the current standard of care for first-line treatment of these patients.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clinical program to evaluate itacitinib in solid tumors includes a clinical trial in combination with AstraZeneca/MedImmune’s EGFR inhibitor osimertinib.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IDO1 Inhibition</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Epacadostat is a novel, potent and selective inhibitor of the enzyme indoleamine 2, 3</w:t>
      </w:r>
      <w:r>
        <w:rPr>
          <w:rFonts w:ascii="MS PGothic" w:cs="MS PGothic" w:eastAsia="MS PGothic" w:hAnsi="MS PGothic"/>
          <w:sz w:val="16"/>
          <w:szCs w:val="16"/>
          <w:color w:val="auto"/>
        </w:rPr>
        <w:t>‑</w:t>
      </w:r>
      <w:r>
        <w:rPr>
          <w:rFonts w:ascii="Arial" w:cs="Arial" w:eastAsia="Arial" w:hAnsi="Arial"/>
          <w:sz w:val="16"/>
          <w:szCs w:val="16"/>
          <w:color w:val="auto"/>
        </w:rPr>
        <w:t>dioxygenase</w:t>
      </w:r>
      <w:r>
        <w:rPr>
          <w:rFonts w:ascii="MS PGothic" w:cs="MS PGothic" w:eastAsia="MS PGothic" w:hAnsi="MS PGothic"/>
          <w:sz w:val="16"/>
          <w:szCs w:val="16"/>
          <w:color w:val="auto"/>
        </w:rPr>
        <w:t>‑</w:t>
      </w:r>
      <w:r>
        <w:rPr>
          <w:rFonts w:ascii="Arial" w:cs="Arial" w:eastAsia="Arial" w:hAnsi="Arial"/>
          <w:sz w:val="16"/>
          <w:szCs w:val="16"/>
          <w:color w:val="auto"/>
        </w:rPr>
        <w:t>1 (IDO1), which is believed to be a key regulator of the mechanisms that are responsible for allowing tumors to escape from a patient’s immune surveillance. IDO1 expression by tumor cells, or by antigen presenting cells such as macrophages and dendritic cells in tumors, is believed to create an environment in which tumor specific cytotoxic T lymphocytes are rendered functionally inactive or are no longer able to attack a patient’s cancer cells. By inhibiting IDO1, it is proposed that this “brake” on the anti</w:t>
      </w:r>
      <w:r>
        <w:rPr>
          <w:rFonts w:ascii="MS PGothic" w:cs="MS PGothic" w:eastAsia="MS PGothic" w:hAnsi="MS PGothic"/>
          <w:sz w:val="16"/>
          <w:szCs w:val="16"/>
          <w:color w:val="auto"/>
        </w:rPr>
        <w:t>‑</w:t>
      </w:r>
      <w:r>
        <w:rPr>
          <w:rFonts w:ascii="Arial" w:cs="Arial" w:eastAsia="Arial" w:hAnsi="Arial"/>
          <w:sz w:val="16"/>
          <w:szCs w:val="16"/>
          <w:color w:val="auto"/>
        </w:rPr>
        <w:t>tumor immune response is removed, allowing anti</w:t>
      </w:r>
      <w:r>
        <w:rPr>
          <w:rFonts w:ascii="MS PGothic" w:cs="MS PGothic" w:eastAsia="MS PGothic" w:hAnsi="MS PGothic"/>
          <w:sz w:val="16"/>
          <w:szCs w:val="16"/>
          <w:color w:val="auto"/>
        </w:rPr>
        <w:t>‑</w:t>
      </w:r>
      <w:r>
        <w:rPr>
          <w:rFonts w:ascii="Arial" w:cs="Arial" w:eastAsia="Arial" w:hAnsi="Arial"/>
          <w:sz w:val="16"/>
          <w:szCs w:val="16"/>
          <w:color w:val="auto"/>
        </w:rPr>
        <w:t>tumor specific cytotoxic T cells, generated in a patient spontaneously in response to the tumor, or through a therapy designed to stimulate the immune response, to have greater anti</w:t>
      </w:r>
      <w:r>
        <w:rPr>
          <w:rFonts w:ascii="MS PGothic" w:cs="MS PGothic" w:eastAsia="MS PGothic" w:hAnsi="MS PGothic"/>
          <w:sz w:val="16"/>
          <w:szCs w:val="16"/>
          <w:color w:val="auto"/>
        </w:rPr>
        <w:t>‑</w:t>
      </w:r>
      <w:r>
        <w:rPr>
          <w:rFonts w:ascii="Arial" w:cs="Arial" w:eastAsia="Arial" w:hAnsi="Arial"/>
          <w:sz w:val="16"/>
          <w:szCs w:val="16"/>
          <w:color w:val="auto"/>
        </w:rPr>
        <w:t>tumor efficacy.</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ECHO clinical development program has been investigating the development of epacadostat in combination with other therapeutic agents, including checkpoint inhibitors, vaccines, epigenetic therapies, and chemotherapies. During 2014, we signed clinical trial collaboration agreements with Merck, Bristol-Myers Squibb, AstraZeneca/MedImmune and Roche/Genentech to evaluate epacadostat with their respective anti-PD-1 and anti-PD-L1 agents, pembrolizumab, nivolumab, durvalumab and atezolizumab, respectively, in Phase I/II trials. We have global development and commercialization rights to epacadostat for all indications.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October 2015, we and Merck announced an expansion of the companies’ ongoing clinical trial collaboration to include ECHO-301, a Phase III study evaluating the combination of epacadostat with pembrolizumab as a first-line treatment for patients with advanced or metastatic melanoma. In July 2017, the FDA granted Fast Track designation to the ECHO-301 trial to demonstrate a statistically robust and clinically meaningful improvement in progression free survival and/or overall survival compared to patients treated with pembrolizumab alone.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2018, we along with Merck announced that the external Data Monitoring Committee (eDMC) review of ECHO-301 determined that the study did not meet the primary endpoint of improving progression-free survival in the overall population compared to pembrolizumab monotherapy. The study’s second primary endpoint of overall survival also was not expected to reach statistical significance. Based on these results, and at the recommendation of the eDMC, the study has been stopped to enable patients and their physicians to consider alternative therapeutic options, and we are also significantly downsizing the epacadostat development program.</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consultation with our collaboration partners, and after the results of ECHO-301, the two pivotal trials of epacadostat in combination with pembrolizumab in lung cancer (ECHO-305 and ECHO-306) will be converted into randomized Phase II trials. Enrollment will be discontinued in the four additional pivotal trials of epacadostat in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combination with pembrolizumab, and in the two pivotal trials of epacadostat in combination with nivolumab; each of these studies will be amended to enable patients and their physicians to consider alternative therapeutic options. The pivotal trial in combination with durvalumab in Stage 3 lung cancer will not be initiated.</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intend to continue to investigate epacadostat’s potential as a component of combination immunotherapy in proof-of-concept trials, which will include hypotheses distinct from combinations with PD-1 and PD-L1 antagonists.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PD-1 Antagonism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2017, we and MacroGenics, Inc. announced an exclusive global collaboration and license agreement for MacroGenics’ INCMGA0012 (formerly MGA012), an investigational monoclonal antibody that inhibits PD-1. Under this collaboration, we obtained exclusive worldwide rights for the development and commercialization of INCMGA0012 in all indications. Enrollment in the dose escalation portion of the Phase I study of INCMGA0012 has been completed and the molecule is currently being evaluated as monotherapy across four solid tumor types in the dose expansion portion of the study.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PI3K-delta Inhibition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PI3K-delta pathway mediates oncogenic signaling in B cell malignancies. INCB50465 is a PI3K-delta inhibitor that has demonstrated potency and selectivity in preclinical studies and has potential therapeutic utility in the treatment of patients with lymphoma. We initiated the CITADEL clinical program to evaluate INCB50465 in non-Hodgkin lymphomas, including patients with diffuse large b-cell lymphoma (DLBCL), follicular lymphoma, marginal zone lymphoma and mantle cell lymphoma.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 1/2/3 Inhibition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INCB54828 is an inhibitor of the FGFR isoforms 1, 2 and 3 that has demonstrated potency and selectivity in preclinical studies. The FGFR family of receptor tyrosine kinases can act as oncogenic drivers in a number of liquid and solid tumor types. We initiated the FIGHT clinical program to evaluate INCB54828 across a spectrum of cancers that are driven by FGF/FGFR mutations. The program has three Phase II trials enrolling – FIGHT-201 in patients with bladder cancer, FIGHT-202 in patients with cholangiocarcinoma, and FIGHT-203 in patients with 8p11 myeloproliferative syndrome (8p11 MPN).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Indication</w:t>
            </w:r>
          </w:p>
        </w:tc>
        <w:tc>
          <w:tcPr>
            <w:tcW w:w="4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Status Update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56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Steroid-refractory acute GVHD</w:t>
            </w:r>
          </w:p>
        </w:tc>
        <w:tc>
          <w:tcPr>
            <w:tcW w:w="4700" w:type="dxa"/>
            <w:vAlign w:val="bottom"/>
            <w:shd w:val="clear" w:color="auto" w:fill="CCEEFF"/>
          </w:tcPr>
          <w:p>
            <w:pPr>
              <w:ind w:left="320"/>
              <w:spacing w:after="0" w:line="149" w:lineRule="exact"/>
              <w:rPr>
                <w:sz w:val="20"/>
                <w:szCs w:val="20"/>
                <w:color w:val="auto"/>
              </w:rPr>
            </w:pPr>
            <w:r>
              <w:rPr>
                <w:rFonts w:ascii="Arial" w:cs="Arial" w:eastAsia="Arial" w:hAnsi="Arial"/>
                <w:sz w:val="17"/>
                <w:szCs w:val="17"/>
                <w:color w:val="auto"/>
              </w:rPr>
              <w:t>Pivotal Phase II (REACH1); Phase III (REACH2)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5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560" w:type="dxa"/>
            <w:vAlign w:val="bottom"/>
          </w:tcPr>
          <w:p>
            <w:pPr>
              <w:ind w:left="60"/>
              <w:spacing w:after="0" w:line="149" w:lineRule="exact"/>
              <w:rPr>
                <w:sz w:val="20"/>
                <w:szCs w:val="20"/>
                <w:color w:val="auto"/>
              </w:rPr>
            </w:pPr>
            <w:r>
              <w:rPr>
                <w:rFonts w:ascii="Arial" w:cs="Arial" w:eastAsia="Arial" w:hAnsi="Arial"/>
                <w:sz w:val="17"/>
                <w:szCs w:val="17"/>
                <w:color w:val="auto"/>
              </w:rPr>
              <w:t>Steroid-refractory chronic GVHD</w:t>
            </w:r>
          </w:p>
        </w:tc>
        <w:tc>
          <w:tcPr>
            <w:tcW w:w="4700" w:type="dxa"/>
            <w:vAlign w:val="bottom"/>
          </w:tcPr>
          <w:p>
            <w:pPr>
              <w:ind w:left="320"/>
              <w:spacing w:after="0" w:line="149" w:lineRule="exact"/>
              <w:rPr>
                <w:sz w:val="20"/>
                <w:szCs w:val="20"/>
                <w:color w:val="auto"/>
              </w:rPr>
            </w:pPr>
            <w:r>
              <w:rPr>
                <w:rFonts w:ascii="Arial" w:cs="Arial" w:eastAsia="Arial" w:hAnsi="Arial"/>
                <w:sz w:val="17"/>
                <w:szCs w:val="17"/>
                <w:color w:val="auto"/>
              </w:rPr>
              <w:t>Phase III (REACH3)</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(JAK1/JAK2)</w:t>
            </w:r>
          </w:p>
        </w:tc>
        <w:tc>
          <w:tcPr>
            <w:tcW w:w="25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56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Essential thrombocythemia</w:t>
            </w:r>
          </w:p>
        </w:tc>
        <w:tc>
          <w:tcPr>
            <w:tcW w:w="4700" w:type="dxa"/>
            <w:vAlign w:val="bottom"/>
            <w:shd w:val="clear" w:color="auto" w:fill="CCEEFF"/>
          </w:tcPr>
          <w:p>
            <w:pPr>
              <w:ind w:left="320"/>
              <w:spacing w:after="0" w:line="149" w:lineRule="exact"/>
              <w:rPr>
                <w:sz w:val="20"/>
                <w:szCs w:val="20"/>
                <w:color w:val="auto"/>
              </w:rPr>
            </w:pPr>
            <w:r>
              <w:rPr>
                <w:rFonts w:ascii="Arial" w:cs="Arial" w:eastAsia="Arial" w:hAnsi="Arial"/>
                <w:sz w:val="17"/>
                <w:szCs w:val="17"/>
                <w:color w:val="auto"/>
              </w:rPr>
              <w:t>Phase II (RESET)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5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Itacitinib (JAK1)</w:t>
            </w:r>
          </w:p>
        </w:tc>
        <w:tc>
          <w:tcPr>
            <w:tcW w:w="2560" w:type="dxa"/>
            <w:vAlign w:val="bottom"/>
          </w:tcPr>
          <w:p>
            <w:pPr>
              <w:ind w:left="60"/>
              <w:spacing w:after="0"/>
              <w:rPr>
                <w:sz w:val="20"/>
                <w:szCs w:val="20"/>
                <w:color w:val="auto"/>
              </w:rPr>
            </w:pPr>
            <w:r>
              <w:rPr>
                <w:rFonts w:ascii="Arial" w:cs="Arial" w:eastAsia="Arial" w:hAnsi="Arial"/>
                <w:sz w:val="18"/>
                <w:szCs w:val="18"/>
                <w:color w:val="auto"/>
              </w:rPr>
              <w:t>Treatment-naïve acute GVHD</w:t>
            </w:r>
          </w:p>
        </w:tc>
        <w:tc>
          <w:tcPr>
            <w:tcW w:w="4700" w:type="dxa"/>
            <w:vAlign w:val="bottom"/>
          </w:tcPr>
          <w:p>
            <w:pPr>
              <w:ind w:left="320"/>
              <w:spacing w:after="0"/>
              <w:rPr>
                <w:sz w:val="20"/>
                <w:szCs w:val="20"/>
                <w:color w:val="auto"/>
              </w:rPr>
            </w:pPr>
            <w:r>
              <w:rPr>
                <w:rFonts w:ascii="Arial" w:cs="Arial" w:eastAsia="Arial" w:hAnsi="Arial"/>
                <w:sz w:val="18"/>
                <w:szCs w:val="18"/>
                <w:color w:val="auto"/>
              </w:rPr>
              <w:t>Phase III (GRAVITAS-301)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Itacitinib (JAK1)</w:t>
            </w:r>
          </w:p>
        </w:tc>
        <w:tc>
          <w:tcPr>
            <w:tcW w:w="2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NSCLC</w:t>
            </w:r>
          </w:p>
        </w:tc>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Phase I/II in combination with osimertinib (EGFR)</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Epacadostat (IDO1)</w:t>
            </w:r>
          </w:p>
        </w:tc>
        <w:tc>
          <w:tcPr>
            <w:tcW w:w="2560" w:type="dxa"/>
            <w:vAlign w:val="bottom"/>
          </w:tcPr>
          <w:p>
            <w:pPr>
              <w:ind w:left="60"/>
              <w:spacing w:after="0" w:line="149" w:lineRule="exact"/>
              <w:rPr>
                <w:sz w:val="20"/>
                <w:szCs w:val="20"/>
                <w:color w:val="auto"/>
              </w:rPr>
            </w:pPr>
            <w:r>
              <w:rPr>
                <w:rFonts w:ascii="Arial" w:cs="Arial" w:eastAsia="Arial" w:hAnsi="Arial"/>
                <w:sz w:val="17"/>
                <w:szCs w:val="17"/>
                <w:color w:val="auto"/>
              </w:rPr>
              <w:t>Lung cancer</w:t>
            </w:r>
          </w:p>
        </w:tc>
        <w:tc>
          <w:tcPr>
            <w:tcW w:w="4700" w:type="dxa"/>
            <w:vAlign w:val="bottom"/>
          </w:tcPr>
          <w:p>
            <w:pPr>
              <w:ind w:left="320"/>
              <w:spacing w:after="0" w:line="149" w:lineRule="exact"/>
              <w:rPr>
                <w:sz w:val="20"/>
                <w:szCs w:val="20"/>
                <w:color w:val="auto"/>
              </w:rPr>
            </w:pPr>
            <w:r>
              <w:rPr>
                <w:rFonts w:ascii="Arial" w:cs="Arial" w:eastAsia="Arial" w:hAnsi="Arial"/>
                <w:sz w:val="17"/>
                <w:szCs w:val="17"/>
                <w:color w:val="auto"/>
              </w:rPr>
              <w:t>Phase II (ECHO-305; ECHO-306) in combination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pembrolizumab (PD-1)</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7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4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INCMGA0012 (PD-1)</w:t>
            </w:r>
            <w:r>
              <w:rPr>
                <w:rFonts w:ascii="Arial" w:cs="Arial" w:eastAsia="Arial" w:hAnsi="Arial"/>
                <w:sz w:val="8"/>
                <w:szCs w:val="8"/>
                <w:b w:val="1"/>
                <w:bCs w:val="1"/>
                <w:color w:val="auto"/>
              </w:rPr>
              <w:t>1</w:t>
            </w:r>
          </w:p>
        </w:tc>
        <w:tc>
          <w:tcPr>
            <w:tcW w:w="256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Solid tumors</w:t>
            </w:r>
          </w:p>
        </w:tc>
        <w:tc>
          <w:tcPr>
            <w:tcW w:w="4700" w:type="dxa"/>
            <w:vAlign w:val="bottom"/>
            <w:shd w:val="clear" w:color="auto" w:fill="CCEEFF"/>
          </w:tcPr>
          <w:p>
            <w:pPr>
              <w:ind w:left="320"/>
              <w:spacing w:after="0" w:line="149" w:lineRule="exact"/>
              <w:rPr>
                <w:sz w:val="20"/>
                <w:szCs w:val="20"/>
                <w:color w:val="auto"/>
              </w:rPr>
            </w:pPr>
            <w:r>
              <w:rPr>
                <w:rFonts w:ascii="Arial" w:cs="Arial" w:eastAsia="Arial" w:hAnsi="Arial"/>
                <w:sz w:val="17"/>
                <w:szCs w:val="17"/>
                <w:color w:val="auto"/>
                <w:w w:val="95"/>
              </w:rPr>
              <w:t>Phase I dose-escalation completed, monotherapy expansion</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cohorts ongoing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INCB50465 (PI3Kδ)</w:t>
            </w:r>
          </w:p>
        </w:tc>
        <w:tc>
          <w:tcPr>
            <w:tcW w:w="2560" w:type="dxa"/>
            <w:vAlign w:val="bottom"/>
          </w:tcPr>
          <w:p>
            <w:pPr>
              <w:ind w:left="60"/>
              <w:spacing w:after="0"/>
              <w:rPr>
                <w:sz w:val="20"/>
                <w:szCs w:val="20"/>
                <w:color w:val="auto"/>
              </w:rPr>
            </w:pPr>
            <w:r>
              <w:rPr>
                <w:rFonts w:ascii="Arial" w:cs="Arial" w:eastAsia="Arial" w:hAnsi="Arial"/>
                <w:sz w:val="18"/>
                <w:szCs w:val="18"/>
                <w:color w:val="auto"/>
              </w:rPr>
              <w:t>DLBCL</w:t>
            </w:r>
          </w:p>
        </w:tc>
        <w:tc>
          <w:tcPr>
            <w:tcW w:w="4700" w:type="dxa"/>
            <w:vAlign w:val="bottom"/>
          </w:tcPr>
          <w:p>
            <w:pPr>
              <w:ind w:left="320"/>
              <w:spacing w:after="0"/>
              <w:rPr>
                <w:sz w:val="20"/>
                <w:szCs w:val="20"/>
                <w:color w:val="auto"/>
              </w:rPr>
            </w:pPr>
            <w:r>
              <w:rPr>
                <w:rFonts w:ascii="Arial" w:cs="Arial" w:eastAsia="Arial" w:hAnsi="Arial"/>
                <w:sz w:val="18"/>
                <w:szCs w:val="18"/>
                <w:color w:val="auto"/>
              </w:rPr>
              <w:t>Phase II (CITADEL-202)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INCB50465 (PI3Kδ)</w:t>
            </w:r>
          </w:p>
        </w:tc>
        <w:tc>
          <w:tcPr>
            <w:tcW w:w="2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Follicular lymphoma</w:t>
            </w:r>
          </w:p>
        </w:tc>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Phase II (CITADEL-203)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INCB50465 (PI3Kδ)</w:t>
            </w:r>
          </w:p>
        </w:tc>
        <w:tc>
          <w:tcPr>
            <w:tcW w:w="2560" w:type="dxa"/>
            <w:vAlign w:val="bottom"/>
          </w:tcPr>
          <w:p>
            <w:pPr>
              <w:ind w:left="60"/>
              <w:spacing w:after="0"/>
              <w:rPr>
                <w:sz w:val="20"/>
                <w:szCs w:val="20"/>
                <w:color w:val="auto"/>
              </w:rPr>
            </w:pPr>
            <w:r>
              <w:rPr>
                <w:rFonts w:ascii="Arial" w:cs="Arial" w:eastAsia="Arial" w:hAnsi="Arial"/>
                <w:sz w:val="18"/>
                <w:szCs w:val="18"/>
                <w:color w:val="auto"/>
              </w:rPr>
              <w:t>Marginal zone lymphoma</w:t>
            </w:r>
          </w:p>
        </w:tc>
        <w:tc>
          <w:tcPr>
            <w:tcW w:w="4700" w:type="dxa"/>
            <w:vAlign w:val="bottom"/>
          </w:tcPr>
          <w:p>
            <w:pPr>
              <w:ind w:left="320"/>
              <w:spacing w:after="0"/>
              <w:rPr>
                <w:sz w:val="20"/>
                <w:szCs w:val="20"/>
                <w:color w:val="auto"/>
              </w:rPr>
            </w:pPr>
            <w:r>
              <w:rPr>
                <w:rFonts w:ascii="Arial" w:cs="Arial" w:eastAsia="Arial" w:hAnsi="Arial"/>
                <w:sz w:val="18"/>
                <w:szCs w:val="18"/>
                <w:color w:val="auto"/>
              </w:rPr>
              <w:t>Phase II (CITADEL-204)</w:t>
            </w:r>
          </w:p>
        </w:tc>
        <w:tc>
          <w:tcPr>
            <w:tcW w:w="0" w:type="dxa"/>
            <w:vAlign w:val="bottom"/>
          </w:tcPr>
          <w:p>
            <w:pPr>
              <w:spacing w:after="0"/>
              <w:rPr>
                <w:sz w:val="1"/>
                <w:szCs w:val="1"/>
                <w:color w:val="auto"/>
              </w:rPr>
            </w:pPr>
          </w:p>
        </w:tc>
      </w:tr>
      <w:tr>
        <w:trPr>
          <w:trHeight w:val="83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3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Borders>
              <w:top w:val="single" w:sz="8" w:color="0563C1"/>
            </w:tcBorders>
            <w:vMerge w:val="restart"/>
          </w:tcPr>
          <w:p>
            <w:pPr>
              <w:spacing w:after="0"/>
              <w:rPr>
                <w:sz w:val="24"/>
                <w:szCs w:val="24"/>
                <w:color w:val="auto"/>
              </w:rPr>
            </w:pPr>
          </w:p>
        </w:tc>
        <w:tc>
          <w:tcPr>
            <w:tcW w:w="1260" w:type="dxa"/>
            <w:vAlign w:val="bottom"/>
            <w:tcBorders>
              <w:top w:val="single" w:sz="8" w:color="0563C1"/>
            </w:tcBorders>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INCB50465 (PI3Kδ)</w:t>
            </w:r>
          </w:p>
        </w:tc>
        <w:tc>
          <w:tcPr>
            <w:tcW w:w="2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Mantel cell lymphoma</w:t>
            </w:r>
          </w:p>
        </w:tc>
        <w:tc>
          <w:tcPr>
            <w:tcW w:w="4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Phase II (CITADEL-205)</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4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7"/>
                <w:szCs w:val="17"/>
                <w:b w:val="1"/>
                <w:bCs w:val="1"/>
                <w:color w:val="auto"/>
              </w:rPr>
              <w:t>INCB54828</w:t>
            </w:r>
          </w:p>
        </w:tc>
        <w:tc>
          <w:tcPr>
            <w:tcW w:w="2360" w:type="dxa"/>
            <w:vAlign w:val="bottom"/>
          </w:tcPr>
          <w:p>
            <w:pPr>
              <w:ind w:left="140"/>
              <w:spacing w:after="0" w:line="149" w:lineRule="exact"/>
              <w:rPr>
                <w:sz w:val="20"/>
                <w:szCs w:val="20"/>
                <w:color w:val="auto"/>
              </w:rPr>
            </w:pPr>
            <w:r>
              <w:rPr>
                <w:rFonts w:ascii="Arial" w:cs="Arial" w:eastAsia="Arial" w:hAnsi="Arial"/>
                <w:sz w:val="17"/>
                <w:szCs w:val="17"/>
                <w:color w:val="auto"/>
              </w:rPr>
              <w:t>Bladder cancer</w:t>
            </w:r>
          </w:p>
        </w:tc>
        <w:tc>
          <w:tcPr>
            <w:tcW w:w="4980" w:type="dxa"/>
            <w:vAlign w:val="bottom"/>
          </w:tcPr>
          <w:p>
            <w:pPr>
              <w:ind w:left="600"/>
              <w:spacing w:after="0" w:line="149" w:lineRule="exact"/>
              <w:rPr>
                <w:sz w:val="20"/>
                <w:szCs w:val="20"/>
                <w:color w:val="auto"/>
              </w:rPr>
            </w:pPr>
            <w:r>
              <w:rPr>
                <w:rFonts w:ascii="Arial" w:cs="Arial" w:eastAsia="Arial" w:hAnsi="Arial"/>
                <w:sz w:val="17"/>
                <w:szCs w:val="17"/>
                <w:color w:val="auto"/>
              </w:rPr>
              <w:t>Phase II (FIGHT-201)</w:t>
            </w:r>
          </w:p>
        </w:tc>
        <w:tc>
          <w:tcPr>
            <w:tcW w:w="0" w:type="dxa"/>
            <w:vAlign w:val="bottom"/>
          </w:tcPr>
          <w:p>
            <w:pPr>
              <w:spacing w:after="0"/>
              <w:rPr>
                <w:sz w:val="1"/>
                <w:szCs w:val="1"/>
                <w:color w:val="auto"/>
              </w:rPr>
            </w:pPr>
          </w:p>
        </w:tc>
      </w:tr>
      <w:tr>
        <w:trPr>
          <w:trHeight w:val="234"/>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(FGFR1/2/3)</w:t>
            </w:r>
          </w:p>
        </w:tc>
        <w:tc>
          <w:tcPr>
            <w:tcW w:w="23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INCB54828</w:t>
            </w:r>
          </w:p>
        </w:tc>
        <w:tc>
          <w:tcPr>
            <w:tcW w:w="236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Cholangiocarcinoma</w:t>
            </w:r>
          </w:p>
        </w:tc>
        <w:tc>
          <w:tcPr>
            <w:tcW w:w="4980" w:type="dxa"/>
            <w:vAlign w:val="bottom"/>
            <w:shd w:val="clear" w:color="auto" w:fill="CCEEFF"/>
          </w:tcPr>
          <w:p>
            <w:pPr>
              <w:ind w:left="600"/>
              <w:spacing w:after="0" w:line="149" w:lineRule="exact"/>
              <w:rPr>
                <w:sz w:val="20"/>
                <w:szCs w:val="20"/>
                <w:color w:val="auto"/>
              </w:rPr>
            </w:pPr>
            <w:r>
              <w:rPr>
                <w:rFonts w:ascii="Arial" w:cs="Arial" w:eastAsia="Arial" w:hAnsi="Arial"/>
                <w:sz w:val="17"/>
                <w:szCs w:val="17"/>
                <w:color w:val="auto"/>
              </w:rPr>
              <w:t>Phase II (FIGHT-202)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(FGFR1/2/3)</w:t>
            </w:r>
          </w:p>
        </w:tc>
        <w:tc>
          <w:tcPr>
            <w:tcW w:w="236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7"/>
                <w:szCs w:val="17"/>
                <w:b w:val="1"/>
                <w:bCs w:val="1"/>
                <w:color w:val="auto"/>
              </w:rPr>
              <w:t>INCB54828</w:t>
            </w:r>
          </w:p>
        </w:tc>
        <w:tc>
          <w:tcPr>
            <w:tcW w:w="2360" w:type="dxa"/>
            <w:vAlign w:val="bottom"/>
          </w:tcPr>
          <w:p>
            <w:pPr>
              <w:ind w:left="140"/>
              <w:spacing w:after="0" w:line="149" w:lineRule="exact"/>
              <w:rPr>
                <w:sz w:val="20"/>
                <w:szCs w:val="20"/>
                <w:color w:val="auto"/>
              </w:rPr>
            </w:pPr>
            <w:r>
              <w:rPr>
                <w:rFonts w:ascii="Arial" w:cs="Arial" w:eastAsia="Arial" w:hAnsi="Arial"/>
                <w:sz w:val="17"/>
                <w:szCs w:val="17"/>
                <w:color w:val="auto"/>
              </w:rPr>
              <w:t>8p11 MPN</w:t>
            </w:r>
          </w:p>
        </w:tc>
        <w:tc>
          <w:tcPr>
            <w:tcW w:w="4980" w:type="dxa"/>
            <w:vAlign w:val="bottom"/>
          </w:tcPr>
          <w:p>
            <w:pPr>
              <w:ind w:left="600"/>
              <w:spacing w:after="0" w:line="149" w:lineRule="exact"/>
              <w:rPr>
                <w:sz w:val="20"/>
                <w:szCs w:val="20"/>
                <w:color w:val="auto"/>
              </w:rPr>
            </w:pPr>
            <w:r>
              <w:rPr>
                <w:rFonts w:ascii="Arial" w:cs="Arial" w:eastAsia="Arial" w:hAnsi="Arial"/>
                <w:sz w:val="17"/>
                <w:szCs w:val="17"/>
                <w:color w:val="auto"/>
              </w:rPr>
              <w:t>Phase II (FIGHT-203)</w:t>
            </w:r>
          </w:p>
        </w:tc>
        <w:tc>
          <w:tcPr>
            <w:tcW w:w="0" w:type="dxa"/>
            <w:vAlign w:val="bottom"/>
          </w:tcPr>
          <w:p>
            <w:pPr>
              <w:spacing w:after="0"/>
              <w:rPr>
                <w:sz w:val="1"/>
                <w:szCs w:val="1"/>
                <w:color w:val="auto"/>
              </w:rPr>
            </w:pPr>
          </w:p>
        </w:tc>
      </w:tr>
      <w:tr>
        <w:trPr>
          <w:trHeight w:val="234"/>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(FGFR1/2/3)</w:t>
            </w:r>
          </w:p>
        </w:tc>
        <w:tc>
          <w:tcPr>
            <w:tcW w:w="23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hanging="117"/>
        <w:spacing w:after="0"/>
        <w:tabs>
          <w:tab w:leader="none" w:pos="120" w:val="left"/>
        </w:tabs>
        <w:numPr>
          <w:ilvl w:val="0"/>
          <w:numId w:val="19"/>
        </w:numPr>
        <w:rPr>
          <w:rFonts w:ascii="Arial" w:cs="Arial" w:eastAsia="Arial" w:hAnsi="Arial"/>
          <w:sz w:val="9"/>
          <w:szCs w:val="9"/>
          <w:color w:val="auto"/>
        </w:rPr>
      </w:pPr>
      <w:r>
        <w:rPr>
          <w:rFonts w:ascii="Arial" w:cs="Arial" w:eastAsia="Arial" w:hAnsi="Arial"/>
          <w:sz w:val="18"/>
          <w:szCs w:val="18"/>
          <w:color w:val="auto"/>
        </w:rPr>
        <w:t>INCMGA0012 licensed from MacroGenics.</w:t>
      </w:r>
    </w:p>
    <w:p>
      <w:pPr>
        <w:spacing w:after="0" w:line="225"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We also have a number of other earlier-stage clinical programs. We intend to describe these programs more fully once we have obtained clinical proof</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concept and established that the program warrants further development in a specific indication or group of indications.</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D0D0D"/>
        </w:rPr>
        <w:t xml:space="preserve">INCB57643 is a BRD inhibitor. </w:t>
      </w:r>
      <w:r>
        <w:rPr>
          <w:rFonts w:ascii="Arial" w:cs="Arial" w:eastAsia="Arial" w:hAnsi="Arial"/>
          <w:sz w:val="18"/>
          <w:szCs w:val="18"/>
          <w:color w:val="000000"/>
        </w:rPr>
        <w:t>BRDs are a family of proteins which play important roles in mediating gene</w:t>
      </w:r>
      <w:r>
        <w:rPr>
          <w:rFonts w:ascii="Arial" w:cs="Arial" w:eastAsia="Arial" w:hAnsi="Arial"/>
          <w:sz w:val="18"/>
          <w:szCs w:val="18"/>
          <w:color w:val="0D0D0D"/>
        </w:rPr>
        <w:t xml:space="preserve"> </w:t>
      </w:r>
      <w:r>
        <w:rPr>
          <w:rFonts w:ascii="Arial" w:cs="Arial" w:eastAsia="Arial" w:hAnsi="Arial"/>
          <w:sz w:val="18"/>
          <w:szCs w:val="18"/>
          <w:color w:val="000000"/>
        </w:rPr>
        <w:t xml:space="preserve">transcription, most notably by facilitating the </w:t>
      </w:r>
      <w:r>
        <w:rPr>
          <w:rFonts w:ascii="Arial" w:cs="Arial" w:eastAsia="Arial" w:hAnsi="Arial"/>
          <w:sz w:val="18"/>
          <w:szCs w:val="18"/>
          <w:color w:val="0D0D0D"/>
        </w:rPr>
        <w:t>expression of oncogenes such as MYC, one of the most frequently dysregulated</w:t>
      </w:r>
      <w:r>
        <w:rPr>
          <w:rFonts w:ascii="Arial" w:cs="Arial" w:eastAsia="Arial" w:hAnsi="Arial"/>
          <w:sz w:val="18"/>
          <w:szCs w:val="18"/>
          <w:color w:val="000000"/>
        </w:rPr>
        <w:t xml:space="preserve"> </w:t>
      </w:r>
      <w:r>
        <w:rPr>
          <w:rFonts w:ascii="Arial" w:cs="Arial" w:eastAsia="Arial" w:hAnsi="Arial"/>
          <w:sz w:val="18"/>
          <w:szCs w:val="18"/>
          <w:color w:val="0D0D0D"/>
        </w:rPr>
        <w:t>oncogenes in all human cancer.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INCB53914 is a pan-PIM kinase inhibitor that has demonstrated potency and selectivity in preclinical studies. PIM kinases integrate signals from multiple pathways important for the survival and proliferation of malignant cells. Over expression of PIM kinases has been reported in human hematological cancers with each isoform showing a distinct expression pattern among the various malignancy subtypes.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Development of INCB52793, a selective JAK1 inhibitor, is to be discontinued in AML due to lack of efficacy.</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INCB59872 is an LSD1 inhibitor. LSD1 is a key enzyme that is involved in epigenetic regulation of gene transcription. Dysregulated LSD1 activity can perturb normal gene expression, leading to cellular transformation. In particular, the function of LSD1 has been reported to maintain stem cell-like gene expression patterns in various cancers, including acute myeloid leukemia and small cell lung cancer.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INCB62079 is a selective, irreversible inhibitor of FGFR4 that has exhibited 250 times greater selectivity for FGFR4 than other FGFR isoforms in preclinical studies. Preclinical data has also demonstrated the compound’s selective activity against cancer cell lines with FGF19-FGFR4 pathway activation, and dose-dependent activity in murine models of FGF19-driven hepatocellular carcinoma.</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INCB01158 is a first-in-class, small molecule arginase inhibitor in hematology and oncology licensed from Calithera Biosciences, Inc. In preclinical models, arginase inhibition has been shown to enhance anti-tumor immunity both as a single agent and in combination with other immuno-modulatory therapeutics.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INCAGN1876 is an anti-GITR agonist antibody and INCAGN1949 is an anti-OX40 agonist antibody. Both are programs within our antibody discovery alliance with Agenus Inc. GITR and OX40 are costimulatory receptors that are expressed on effector T cells and are important for T cell survival and enhanced cytokine production. Both are also expressed on regulatory T cells and can abrogate their suppressive function. Preclinical data demonstrate that anti-GITR and anti-OX40 agonist antibodies inhibit tumor growth by enhancing the levels and function of effector T cells and by decreasing regulatory T cells.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outside Oncology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2017, we initiated a Phase II trial of ruxolitinib cream for the topical treatment of atopic dermatitis. Atopic dermatitis is a skin disorder that causes the skin to become red, scaly, and itchy. Onset can occur at any age, but is much more common in infants and children. United States and European prevalence are estimated at 10.3 million patients and 6.5 million patients,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Phase II trial of topical ruxolitinib in patients with vitiligo, a long term skin condition characterized by patches of the skin losing their pigment, was initiated in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5754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Indication</w:t>
            </w:r>
          </w:p>
        </w:tc>
        <w:tc>
          <w:tcPr>
            <w:tcW w:w="48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Status Update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Topical ruxolitinib</w:t>
            </w:r>
          </w:p>
        </w:tc>
        <w:tc>
          <w:tcPr>
            <w:tcW w:w="2260" w:type="dxa"/>
            <w:vAlign w:val="bottom"/>
            <w:shd w:val="clear" w:color="auto" w:fill="CCEEFF"/>
          </w:tcPr>
          <w:p>
            <w:pPr>
              <w:ind w:left="500"/>
              <w:spacing w:after="0" w:line="149" w:lineRule="exact"/>
              <w:rPr>
                <w:sz w:val="20"/>
                <w:szCs w:val="20"/>
                <w:color w:val="auto"/>
              </w:rPr>
            </w:pPr>
            <w:r>
              <w:rPr>
                <w:rFonts w:ascii="Arial" w:cs="Arial" w:eastAsia="Arial" w:hAnsi="Arial"/>
                <w:sz w:val="17"/>
                <w:szCs w:val="17"/>
                <w:color w:val="auto"/>
              </w:rPr>
              <w:t>Atopic dermatitis</w:t>
            </w:r>
          </w:p>
        </w:tc>
        <w:tc>
          <w:tcPr>
            <w:tcW w:w="4860" w:type="dxa"/>
            <w:vAlign w:val="bottom"/>
            <w:shd w:val="clear" w:color="auto" w:fill="CCEEFF"/>
          </w:tcPr>
          <w:p>
            <w:pPr>
              <w:ind w:left="500"/>
              <w:spacing w:after="0" w:line="149" w:lineRule="exact"/>
              <w:rPr>
                <w:sz w:val="20"/>
                <w:szCs w:val="20"/>
                <w:color w:val="auto"/>
              </w:rPr>
            </w:pPr>
            <w:r>
              <w:rPr>
                <w:rFonts w:ascii="Arial" w:cs="Arial" w:eastAsia="Arial" w:hAnsi="Arial"/>
                <w:sz w:val="17"/>
                <w:szCs w:val="17"/>
                <w:color w:val="auto"/>
              </w:rPr>
              <w:t>Phase II (topical formulation</w:t>
            </w:r>
            <w:r>
              <w:rPr>
                <w:rFonts w:ascii="Arial" w:cs="Arial" w:eastAsia="Arial" w:hAnsi="Arial"/>
                <w:sz w:val="8"/>
                <w:szCs w:val="8"/>
                <w:color w:val="auto"/>
              </w:rPr>
              <w:t>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26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4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7"/>
                <w:szCs w:val="17"/>
                <w:b w:val="1"/>
                <w:bCs w:val="1"/>
                <w:color w:val="auto"/>
              </w:rPr>
              <w:t>Topical ruxolitinib</w:t>
            </w:r>
          </w:p>
        </w:tc>
        <w:tc>
          <w:tcPr>
            <w:tcW w:w="2260" w:type="dxa"/>
            <w:vAlign w:val="bottom"/>
          </w:tcPr>
          <w:p>
            <w:pPr>
              <w:ind w:left="500"/>
              <w:spacing w:after="0" w:line="149" w:lineRule="exact"/>
              <w:rPr>
                <w:sz w:val="20"/>
                <w:szCs w:val="20"/>
                <w:color w:val="auto"/>
              </w:rPr>
            </w:pPr>
            <w:r>
              <w:rPr>
                <w:rFonts w:ascii="Arial" w:cs="Arial" w:eastAsia="Arial" w:hAnsi="Arial"/>
                <w:sz w:val="17"/>
                <w:szCs w:val="17"/>
                <w:color w:val="auto"/>
              </w:rPr>
              <w:t>Vitiligo</w:t>
            </w:r>
          </w:p>
        </w:tc>
        <w:tc>
          <w:tcPr>
            <w:tcW w:w="4860" w:type="dxa"/>
            <w:vAlign w:val="bottom"/>
          </w:tcPr>
          <w:p>
            <w:pPr>
              <w:ind w:left="500"/>
              <w:spacing w:after="0" w:line="149" w:lineRule="exact"/>
              <w:rPr>
                <w:sz w:val="20"/>
                <w:szCs w:val="20"/>
                <w:color w:val="auto"/>
              </w:rPr>
            </w:pPr>
            <w:r>
              <w:rPr>
                <w:rFonts w:ascii="Arial" w:cs="Arial" w:eastAsia="Arial" w:hAnsi="Arial"/>
                <w:sz w:val="17"/>
                <w:szCs w:val="17"/>
                <w:color w:val="auto"/>
              </w:rPr>
              <w:t>Phase II (topical formulation</w:t>
            </w:r>
            <w:r>
              <w:rPr>
                <w:rFonts w:ascii="Arial" w:cs="Arial" w:eastAsia="Arial" w:hAnsi="Arial"/>
                <w:sz w:val="8"/>
                <w:szCs w:val="8"/>
                <w:color w:val="auto"/>
              </w:rPr>
              <w:t>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(JAK1/JAK2)</w:t>
            </w:r>
          </w:p>
        </w:tc>
        <w:tc>
          <w:tcPr>
            <w:tcW w:w="22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4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3"/>
        <w:spacing w:after="0" w:line="277" w:lineRule="auto"/>
        <w:tabs>
          <w:tab w:leader="none" w:pos="122" w:val="left"/>
        </w:tabs>
        <w:numPr>
          <w:ilvl w:val="0"/>
          <w:numId w:val="20"/>
        </w:numPr>
        <w:rPr>
          <w:rFonts w:ascii="Arial" w:cs="Arial" w:eastAsia="Arial" w:hAnsi="Arial"/>
          <w:sz w:val="9"/>
          <w:szCs w:val="9"/>
          <w:color w:val="auto"/>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Eli Lilly and Company, in which Lilly received exclusive worldwide development and commercialization rights to the compound for inflammatory and autoimmune diseases. 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2016, Lilly submitted a New Drug Application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Japan's Ministry of Health, Labor and Welfare (MHLW) granted marketing approval for OLUMIANTfor the treatment of rheumatoid arthritis (including the prevention of structural injury of joints) in patients with inadequate response to standard-of-care therapies.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2017, we and Lilly announced that the FDA had issued a complete response letter for the New Drug Application of baricitinib as a once-daily oral medication for the treatment of moderate-to-severe rheumatoid arthritis. The letter indicated that the FDA was unable to approve the application in its current form. Specifically, the FDA indicated that additional clinical data are needed to determine the most appropriate doses. The FDA also stated that additional data are necessary to further characterize safety concerns across treatment arms. In December 2017, Lilly announced that the NDA for baricitinib had been resubmitted and included new safety and efficacy data. The FDA classified the application as a Class II resubmission, which started a new six-month review cycle.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2018, the FDA convened its Arthritis Advisory Committee to discuss the resubmission of the baricitinib NDA, which recommended approval of the 2mg dose of baricitinib as a once-daily oral medication for the treatment of moderately-to-severely active rheumatoid arthritis for adult patients who have had an inadequate response or intolerance to methotrexate. While the Advisory Committee unanimously supported the efficacy of the 4mg dose of baricitinib, it did not recommend approval of the 4mg dose of baricitinib for the proposed indication based on the adequacy of the safety and benefit-risk profiles. The FDA action date for baricitinib is in June 2018.</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Rheumatoid Arthritis. </w:t>
      </w:r>
      <w:r>
        <w:rPr>
          <w:rFonts w:ascii="Arial" w:cs="Arial" w:eastAsia="Arial" w:hAnsi="Arial"/>
          <w:sz w:val="18"/>
          <w:szCs w:val="18"/>
          <w:color w:val="auto"/>
        </w:rPr>
        <w:t>Rheumatoid arthritis is an autoimmune disease characterized by aberrant or abnormal</w:t>
      </w:r>
      <w:r>
        <w:rPr>
          <w:rFonts w:ascii="Arial" w:cs="Arial" w:eastAsia="Arial" w:hAnsi="Arial"/>
          <w:sz w:val="18"/>
          <w:szCs w:val="18"/>
          <w:i w:val="1"/>
          <w:iCs w:val="1"/>
          <w:color w:val="auto"/>
        </w:rPr>
        <w:t xml:space="preserve"> </w:t>
      </w:r>
      <w:r>
        <w:rPr>
          <w:rFonts w:ascii="Arial" w:cs="Arial" w:eastAsia="Arial" w:hAnsi="Arial"/>
          <w:sz w:val="18"/>
          <w:szCs w:val="18"/>
          <w:color w:val="auto"/>
        </w:rPr>
        <w:t>immune mechanisms that lead to joint inflammation and swelling and, in some patients, the progressive destruction of joints. Rheumatoid arthritis can also affect connective tissue in the skin and organs of the body.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Current rheumatoid arthritis treatments include the use of non</w:t>
      </w:r>
      <w:r>
        <w:rPr>
          <w:rFonts w:ascii="MS PGothic" w:cs="MS PGothic" w:eastAsia="MS PGothic" w:hAnsi="MS PGothic"/>
          <w:sz w:val="17"/>
          <w:szCs w:val="17"/>
          <w:color w:val="auto"/>
        </w:rPr>
        <w:t>‑</w:t>
      </w:r>
      <w:r>
        <w:rPr>
          <w:rFonts w:ascii="Arial" w:cs="Arial" w:eastAsia="Arial" w:hAnsi="Arial"/>
          <w:sz w:val="17"/>
          <w:szCs w:val="17"/>
          <w:color w:val="auto"/>
        </w:rPr>
        <w:t>steroidal anti</w:t>
      </w:r>
      <w:r>
        <w:rPr>
          <w:rFonts w:ascii="MS PGothic" w:cs="MS PGothic" w:eastAsia="MS PGothic" w:hAnsi="MS PGothic"/>
          <w:sz w:val="17"/>
          <w:szCs w:val="17"/>
          <w:color w:val="auto"/>
        </w:rPr>
        <w:t>‑</w:t>
      </w:r>
      <w:r>
        <w:rPr>
          <w:rFonts w:ascii="Arial" w:cs="Arial" w:eastAsia="Arial" w:hAnsi="Arial"/>
          <w:sz w:val="17"/>
          <w:szCs w:val="17"/>
          <w:color w:val="auto"/>
        </w:rPr>
        <w:t>inflammatory drugs, disease</w:t>
      </w:r>
      <w:r>
        <w:rPr>
          <w:rFonts w:ascii="MS PGothic" w:cs="MS PGothic" w:eastAsia="MS PGothic" w:hAnsi="MS PGothic"/>
          <w:sz w:val="17"/>
          <w:szCs w:val="17"/>
          <w:color w:val="auto"/>
        </w:rPr>
        <w:t>‑</w:t>
      </w:r>
      <w:r>
        <w:rPr>
          <w:rFonts w:ascii="Arial" w:cs="Arial" w:eastAsia="Arial" w:hAnsi="Arial"/>
          <w:sz w:val="17"/>
          <w:szCs w:val="17"/>
          <w:color w:val="auto"/>
        </w:rPr>
        <w:t>modifying anti</w:t>
      </w:r>
      <w:r>
        <w:rPr>
          <w:rFonts w:ascii="MS PGothic" w:cs="MS PGothic" w:eastAsia="MS PGothic" w:hAnsi="MS PGothic"/>
          <w:sz w:val="17"/>
          <w:szCs w:val="17"/>
          <w:color w:val="auto"/>
        </w:rPr>
        <w:t>‑</w:t>
      </w:r>
      <w:r>
        <w:rPr>
          <w:rFonts w:ascii="Arial" w:cs="Arial" w:eastAsia="Arial" w:hAnsi="Arial"/>
          <w:sz w:val="17"/>
          <w:szCs w:val="17"/>
          <w:color w:val="auto"/>
        </w:rPr>
        <w:t>rheumatic drugs, such as methotrexate, and the newer biological response modifiers that target pro</w:t>
      </w:r>
      <w:r>
        <w:rPr>
          <w:rFonts w:ascii="MS PGothic" w:cs="MS PGothic" w:eastAsia="MS PGothic" w:hAnsi="MS PGothic"/>
          <w:sz w:val="17"/>
          <w:szCs w:val="17"/>
          <w:color w:val="auto"/>
        </w:rPr>
        <w:t>‑</w:t>
      </w:r>
      <w:r>
        <w:rPr>
          <w:rFonts w:ascii="Arial" w:cs="Arial" w:eastAsia="Arial" w:hAnsi="Arial"/>
          <w:sz w:val="17"/>
          <w:szCs w:val="17"/>
          <w:color w:val="auto"/>
        </w:rPr>
        <w:t>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Psoriatic Arthritis</w:t>
      </w:r>
      <w:r>
        <w:rPr>
          <w:rFonts w:ascii="Arial" w:cs="Arial" w:eastAsia="Arial" w:hAnsi="Arial"/>
          <w:sz w:val="18"/>
          <w:szCs w:val="18"/>
          <w:color w:val="auto"/>
        </w:rPr>
        <w:t>. Psoriatic arthritis (PsA) is an inflammatory arthritis that is seen in association with skin</w:t>
      </w:r>
      <w:r>
        <w:rPr>
          <w:rFonts w:ascii="Arial" w:cs="Arial" w:eastAsia="Arial" w:hAnsi="Arial"/>
          <w:sz w:val="18"/>
          <w:szCs w:val="18"/>
          <w:i w:val="1"/>
          <w:iCs w:val="1"/>
          <w:color w:val="auto"/>
        </w:rPr>
        <w:t xml:space="preserve"> </w:t>
      </w:r>
      <w:r>
        <w:rPr>
          <w:rFonts w:ascii="Arial" w:cs="Arial" w:eastAsia="Arial" w:hAnsi="Arial"/>
          <w:sz w:val="18"/>
          <w:szCs w:val="18"/>
          <w:color w:val="auto"/>
        </w:rPr>
        <w:t>psoriasis. It causes joint pain and swelling that can lead to damage of the joint if the inflammation is not controlled. Baricitinib has been shown to inhibit the JAK-STAT pathway in related conditions such as psoriasis in Phase II trials, and based on its activity profile, baricitinib also has the potential to demonstrate positive clinical outcomes in PsA. Lilly expects to initiate a Phase III program to evaluate the safety and efficacy of baricitinib in patients with PsA during 2018.</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Atopic dermatitis (AtD) is a condition that makes the skin red and itchy and which is common in</w:t>
      </w:r>
      <w:r>
        <w:rPr>
          <w:rFonts w:ascii="Arial" w:cs="Arial" w:eastAsia="Arial" w:hAnsi="Arial"/>
          <w:sz w:val="17"/>
          <w:szCs w:val="17"/>
          <w:i w:val="1"/>
          <w:iCs w:val="1"/>
          <w:color w:val="auto"/>
        </w:rPr>
        <w:t xml:space="preserve"> </w:t>
      </w:r>
      <w:r>
        <w:rPr>
          <w:rFonts w:ascii="Arial" w:cs="Arial" w:eastAsia="Arial" w:hAnsi="Arial"/>
          <w:sz w:val="17"/>
          <w:szCs w:val="17"/>
          <w:color w:val="auto"/>
        </w:rPr>
        <w:t>children but can occur at any age. Atopic dermatitis is long lasting and tends to flare periodically and then subside. Lilly has conducted a Phase IIa trial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atopic dermatitis. In December 2017, Lilly announced that a Phase III program to evaluate the safety and efficacy of baricitinib in patients with moderate to severe AtD was initiated.</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Systemic Lupus Erythematosus. </w:t>
      </w:r>
      <w:r>
        <w:rPr>
          <w:rFonts w:ascii="Arial" w:cs="Arial" w:eastAsia="Arial" w:hAnsi="Arial"/>
          <w:sz w:val="16"/>
          <w:szCs w:val="16"/>
          <w:color w:val="auto"/>
        </w:rPr>
        <w:t>Systemic lupus erythematosus (SLE) is a chronic disease that causes inflammation.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exercised our co-development options in rheumatoid arthritis, atopic dermatitis, and psoriatic arthritis to fund 30% of future global development costs through regulatory approval, including post-launch studies required by a regulatory authority, in exchange for increased tiered royalties ranging up to the high twenties on potential future sales. We have also exercised our co-development options in systemic lupus erythematosus and axial spondyloarthritis, should Lilly decide to progress into a pivotal program in these indications.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w:t>
      </w:r>
      <w:r>
        <w:rPr>
          <w:rFonts w:ascii="MS PGothic" w:cs="MS PGothic" w:eastAsia="MS PGothic" w:hAnsi="MS PGothic"/>
          <w:sz w:val="18"/>
          <w:szCs w:val="18"/>
          <w:color w:val="auto"/>
        </w:rPr>
        <w:t>‑</w:t>
      </w:r>
      <w:r>
        <w:rPr>
          <w:rFonts w:ascii="Arial" w:cs="Arial" w:eastAsia="Arial" w:hAnsi="Arial"/>
          <w:sz w:val="18"/>
          <w:szCs w:val="18"/>
          <w:color w:val="auto"/>
        </w:rPr>
        <w:t>up compounds in all indications. Capmatinib is being evaluated in patients with hepatocellular carcinoma, non</w:t>
      </w:r>
      <w:r>
        <w:rPr>
          <w:rFonts w:ascii="MS PGothic" w:cs="MS PGothic" w:eastAsia="MS PGothic" w:hAnsi="MS PGothic"/>
          <w:sz w:val="18"/>
          <w:szCs w:val="18"/>
          <w:color w:val="auto"/>
        </w:rPr>
        <w:t>‑</w:t>
      </w:r>
      <w:r>
        <w:rPr>
          <w:rFonts w:ascii="Arial" w:cs="Arial" w:eastAsia="Arial" w:hAnsi="Arial"/>
          <w:sz w:val="18"/>
          <w:szCs w:val="18"/>
          <w:color w:val="auto"/>
        </w:rPr>
        <w:t>small cell lung cancer and other solid tumors, and may have potential utility as a combination agent.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Indication</w:t>
            </w:r>
          </w:p>
        </w:tc>
        <w:tc>
          <w:tcPr>
            <w:tcW w:w="45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Status Update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Baricitinib (JAK1/JAK2)</w:t>
            </w:r>
            <w:r>
              <w:rPr>
                <w:rFonts w:ascii="Arial" w:cs="Arial" w:eastAsia="Arial" w:hAnsi="Arial"/>
                <w:sz w:val="8"/>
                <w:szCs w:val="8"/>
                <w:b w:val="1"/>
                <w:bCs w:val="1"/>
                <w:color w:val="auto"/>
              </w:rPr>
              <w:t>1</w:t>
            </w:r>
          </w:p>
        </w:tc>
        <w:tc>
          <w:tcPr>
            <w:tcW w:w="242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Rheumatoid arthritis</w:t>
            </w:r>
          </w:p>
        </w:tc>
        <w:tc>
          <w:tcPr>
            <w:tcW w:w="458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5"/>
              </w:rPr>
              <w:t>Approved in Europe and Japan at 2mg and 4mg doses; NDA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resubmitted to FDA</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4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w w:val="97"/>
              </w:rPr>
              <w:t>Baricitinib (JAK1/JAK2)</w:t>
            </w:r>
            <w:r>
              <w:rPr>
                <w:rFonts w:ascii="Arial" w:cs="Arial" w:eastAsia="Arial" w:hAnsi="Arial"/>
                <w:sz w:val="8"/>
                <w:szCs w:val="8"/>
                <w:b w:val="1"/>
                <w:bCs w:val="1"/>
                <w:color w:val="auto"/>
                <w:w w:val="97"/>
              </w:rPr>
              <w:t>1</w:t>
            </w:r>
          </w:p>
        </w:tc>
        <w:tc>
          <w:tcPr>
            <w:tcW w:w="2420" w:type="dxa"/>
            <w:vAlign w:val="bottom"/>
          </w:tcPr>
          <w:p>
            <w:pPr>
              <w:ind w:left="80"/>
              <w:spacing w:after="0"/>
              <w:rPr>
                <w:sz w:val="20"/>
                <w:szCs w:val="20"/>
                <w:color w:val="auto"/>
              </w:rPr>
            </w:pPr>
            <w:r>
              <w:rPr>
                <w:rFonts w:ascii="Arial" w:cs="Arial" w:eastAsia="Arial" w:hAnsi="Arial"/>
                <w:sz w:val="18"/>
                <w:szCs w:val="18"/>
                <w:color w:val="auto"/>
              </w:rPr>
              <w:t>Psoriatic arthritis</w:t>
            </w:r>
          </w:p>
        </w:tc>
        <w:tc>
          <w:tcPr>
            <w:tcW w:w="4580" w:type="dxa"/>
            <w:vAlign w:val="bottom"/>
          </w:tcPr>
          <w:p>
            <w:pPr>
              <w:ind w:left="180"/>
              <w:spacing w:after="0"/>
              <w:rPr>
                <w:sz w:val="20"/>
                <w:szCs w:val="20"/>
                <w:color w:val="auto"/>
              </w:rPr>
            </w:pPr>
            <w:r>
              <w:rPr>
                <w:rFonts w:ascii="Arial" w:cs="Arial" w:eastAsia="Arial" w:hAnsi="Arial"/>
                <w:sz w:val="18"/>
                <w:szCs w:val="18"/>
                <w:color w:val="auto"/>
              </w:rPr>
              <w:t>Lilly expects the Phase III program to start in 2018</w:t>
            </w:r>
          </w:p>
        </w:tc>
        <w:tc>
          <w:tcPr>
            <w:tcW w:w="0" w:type="dxa"/>
            <w:vAlign w:val="bottom"/>
          </w:tcPr>
          <w:p>
            <w:pPr>
              <w:spacing w:after="0"/>
              <w:rPr>
                <w:sz w:val="1"/>
                <w:szCs w:val="1"/>
                <w:color w:val="auto"/>
              </w:rPr>
            </w:pPr>
          </w:p>
        </w:tc>
      </w:tr>
      <w:tr>
        <w:trPr>
          <w:trHeight w:val="279"/>
        </w:trPr>
        <w:tc>
          <w:tcPr>
            <w:tcW w:w="20" w:type="dxa"/>
            <w:vAlign w:val="bottom"/>
            <w:vMerge w:val="restart"/>
          </w:tcPr>
          <w:p>
            <w:pPr>
              <w:spacing w:after="0"/>
              <w:rPr>
                <w:sz w:val="24"/>
                <w:szCs w:val="24"/>
                <w:color w:val="auto"/>
              </w:rPr>
            </w:pPr>
          </w:p>
        </w:tc>
        <w:tc>
          <w:tcPr>
            <w:tcW w:w="2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Baricitinib (JAK1/JAK2)</w:t>
            </w:r>
            <w:r>
              <w:rPr>
                <w:rFonts w:ascii="Arial" w:cs="Arial" w:eastAsia="Arial" w:hAnsi="Arial"/>
                <w:sz w:val="8"/>
                <w:szCs w:val="8"/>
                <w:b w:val="1"/>
                <w:bCs w:val="1"/>
                <w:color w:val="auto"/>
                <w:w w:val="97"/>
              </w:rPr>
              <w:t>1</w:t>
            </w:r>
          </w:p>
        </w:tc>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Atopic dermatitis</w:t>
            </w: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Phase III</w:t>
            </w:r>
          </w:p>
        </w:tc>
        <w:tc>
          <w:tcPr>
            <w:tcW w:w="0" w:type="dxa"/>
            <w:vAlign w:val="bottom"/>
          </w:tcPr>
          <w:p>
            <w:pPr>
              <w:spacing w:after="0"/>
              <w:rPr>
                <w:sz w:val="1"/>
                <w:szCs w:val="1"/>
                <w:color w:val="auto"/>
              </w:rPr>
            </w:pPr>
          </w:p>
        </w:tc>
      </w:tr>
      <w:tr>
        <w:trPr>
          <w:trHeight w:val="279"/>
        </w:trPr>
        <w:tc>
          <w:tcPr>
            <w:tcW w:w="20" w:type="dxa"/>
            <w:vAlign w:val="bottom"/>
            <w:vMerge w:val="restart"/>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w w:val="97"/>
              </w:rPr>
              <w:t>Baricitinib (JAK1/JAK2)</w:t>
            </w:r>
            <w:r>
              <w:rPr>
                <w:rFonts w:ascii="Arial" w:cs="Arial" w:eastAsia="Arial" w:hAnsi="Arial"/>
                <w:sz w:val="8"/>
                <w:szCs w:val="8"/>
                <w:b w:val="1"/>
                <w:bCs w:val="1"/>
                <w:color w:val="auto"/>
                <w:w w:val="97"/>
              </w:rPr>
              <w:t>1</w:t>
            </w:r>
          </w:p>
        </w:tc>
        <w:tc>
          <w:tcPr>
            <w:tcW w:w="2420" w:type="dxa"/>
            <w:vAlign w:val="bottom"/>
          </w:tcPr>
          <w:p>
            <w:pPr>
              <w:ind w:left="80"/>
              <w:spacing w:after="0"/>
              <w:rPr>
                <w:sz w:val="20"/>
                <w:szCs w:val="20"/>
                <w:color w:val="auto"/>
              </w:rPr>
            </w:pPr>
            <w:r>
              <w:rPr>
                <w:rFonts w:ascii="Arial" w:cs="Arial" w:eastAsia="Arial" w:hAnsi="Arial"/>
                <w:sz w:val="18"/>
                <w:szCs w:val="18"/>
                <w:color w:val="auto"/>
                <w:w w:val="95"/>
              </w:rPr>
              <w:t>Systemic lupus erythematosus</w:t>
            </w:r>
          </w:p>
        </w:tc>
        <w:tc>
          <w:tcPr>
            <w:tcW w:w="4580" w:type="dxa"/>
            <w:vAlign w:val="bottom"/>
          </w:tcPr>
          <w:p>
            <w:pPr>
              <w:ind w:left="180"/>
              <w:spacing w:after="0"/>
              <w:rPr>
                <w:sz w:val="20"/>
                <w:szCs w:val="20"/>
                <w:color w:val="auto"/>
              </w:rPr>
            </w:pPr>
            <w:r>
              <w:rPr>
                <w:rFonts w:ascii="Arial" w:cs="Arial" w:eastAsia="Arial" w:hAnsi="Arial"/>
                <w:sz w:val="18"/>
                <w:szCs w:val="18"/>
                <w:color w:val="auto"/>
              </w:rPr>
              <w:t>Phase II</w:t>
            </w:r>
          </w:p>
        </w:tc>
        <w:tc>
          <w:tcPr>
            <w:tcW w:w="0" w:type="dxa"/>
            <w:vAlign w:val="bottom"/>
          </w:tcPr>
          <w:p>
            <w:pPr>
              <w:spacing w:after="0"/>
              <w:rPr>
                <w:sz w:val="1"/>
                <w:szCs w:val="1"/>
                <w:color w:val="auto"/>
              </w:rPr>
            </w:pPr>
          </w:p>
        </w:tc>
      </w:tr>
      <w:tr>
        <w:trPr>
          <w:trHeight w:val="279"/>
        </w:trPr>
        <w:tc>
          <w:tcPr>
            <w:tcW w:w="20" w:type="dxa"/>
            <w:vAlign w:val="bottom"/>
            <w:vMerge w:val="restart"/>
          </w:tcPr>
          <w:p>
            <w:pPr>
              <w:spacing w:after="0"/>
              <w:rPr>
                <w:sz w:val="24"/>
                <w:szCs w:val="24"/>
                <w:color w:val="auto"/>
              </w:rPr>
            </w:pPr>
          </w:p>
        </w:tc>
        <w:tc>
          <w:tcPr>
            <w:tcW w:w="2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4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Capmatinib (MET)</w:t>
            </w:r>
            <w:r>
              <w:rPr>
                <w:rFonts w:ascii="Arial" w:cs="Arial" w:eastAsia="Arial" w:hAnsi="Arial"/>
                <w:sz w:val="8"/>
                <w:szCs w:val="8"/>
                <w:b w:val="1"/>
                <w:bCs w:val="1"/>
                <w:color w:val="auto"/>
              </w:rPr>
              <w:t>2</w:t>
            </w:r>
          </w:p>
        </w:tc>
        <w:tc>
          <w:tcPr>
            <w:tcW w:w="2420" w:type="dxa"/>
            <w:vAlign w:val="bottom"/>
            <w:shd w:val="clear" w:color="auto" w:fill="CCEEFF"/>
          </w:tcPr>
          <w:p>
            <w:pPr>
              <w:ind w:left="80"/>
              <w:spacing w:after="0" w:line="162" w:lineRule="exact"/>
              <w:rPr>
                <w:sz w:val="20"/>
                <w:szCs w:val="20"/>
                <w:color w:val="auto"/>
              </w:rPr>
            </w:pPr>
            <w:r>
              <w:rPr>
                <w:rFonts w:ascii="Arial" w:cs="Arial" w:eastAsia="Arial" w:hAnsi="Arial"/>
                <w:sz w:val="18"/>
                <w:szCs w:val="18"/>
                <w:color w:val="auto"/>
              </w:rPr>
              <w:t>NSCLC, liver cancer</w:t>
            </w:r>
          </w:p>
        </w:tc>
        <w:tc>
          <w:tcPr>
            <w:tcW w:w="458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w w:val="94"/>
              </w:rPr>
              <w:t>Phase II in EGFR wild-type ALK negative NSCLC patients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MET amplification and mutation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Borders>
              <w:bottom w:val="single" w:sz="8" w:color="auto"/>
            </w:tcBorders>
            <w:shd w:val="clear" w:color="auto" w:fill="CCEEFF"/>
          </w:tcPr>
          <w:p>
            <w:pPr>
              <w:spacing w:after="0"/>
              <w:rPr>
                <w:sz w:val="10"/>
                <w:szCs w:val="10"/>
                <w:color w:val="auto"/>
              </w:rPr>
            </w:pPr>
          </w:p>
        </w:tc>
        <w:tc>
          <w:tcPr>
            <w:tcW w:w="2420" w:type="dxa"/>
            <w:vAlign w:val="bottom"/>
            <w:tcBorders>
              <w:bottom w:val="single" w:sz="8" w:color="auto"/>
            </w:tcBorders>
            <w:shd w:val="clear" w:color="auto" w:fill="CCEEFF"/>
          </w:tcPr>
          <w:p>
            <w:pPr>
              <w:spacing w:after="0"/>
              <w:rPr>
                <w:sz w:val="10"/>
                <w:szCs w:val="10"/>
                <w:color w:val="auto"/>
              </w:rPr>
            </w:pPr>
          </w:p>
        </w:tc>
        <w:tc>
          <w:tcPr>
            <w:tcW w:w="45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hanging="117"/>
        <w:spacing w:after="0"/>
        <w:tabs>
          <w:tab w:leader="none" w:pos="120" w:val="left"/>
        </w:tabs>
        <w:numPr>
          <w:ilvl w:val="0"/>
          <w:numId w:val="21"/>
        </w:numPr>
        <w:rPr>
          <w:rFonts w:ascii="Arial" w:cs="Arial" w:eastAsia="Arial" w:hAnsi="Arial"/>
          <w:sz w:val="9"/>
          <w:szCs w:val="9"/>
          <w:color w:val="auto"/>
        </w:rPr>
      </w:pPr>
      <w:r>
        <w:rPr>
          <w:rFonts w:ascii="Arial" w:cs="Arial" w:eastAsia="Arial" w:hAnsi="Arial"/>
          <w:sz w:val="18"/>
          <w:szCs w:val="18"/>
          <w:color w:val="auto"/>
        </w:rPr>
        <w:t>Baricitinib licensed to Lilly</w:t>
      </w:r>
    </w:p>
    <w:p>
      <w:pPr>
        <w:spacing w:after="0" w:line="117" w:lineRule="exact"/>
        <w:rPr>
          <w:rFonts w:ascii="Arial" w:cs="Arial" w:eastAsia="Arial" w:hAnsi="Arial"/>
          <w:sz w:val="9"/>
          <w:szCs w:val="9"/>
          <w:color w:val="auto"/>
        </w:rPr>
      </w:pPr>
    </w:p>
    <w:p>
      <w:pPr>
        <w:ind w:left="120" w:hanging="117"/>
        <w:spacing w:after="0"/>
        <w:tabs>
          <w:tab w:leader="none" w:pos="120" w:val="left"/>
        </w:tabs>
        <w:numPr>
          <w:ilvl w:val="0"/>
          <w:numId w:val="21"/>
        </w:numPr>
        <w:rPr>
          <w:rFonts w:ascii="Arial" w:cs="Arial" w:eastAsia="Arial" w:hAnsi="Arial"/>
          <w:sz w:val="9"/>
          <w:szCs w:val="9"/>
          <w:color w:val="auto"/>
        </w:rPr>
      </w:pPr>
      <w:r>
        <w:rPr>
          <w:rFonts w:ascii="Arial" w:cs="Arial" w:eastAsia="Arial" w:hAnsi="Arial"/>
          <w:sz w:val="18"/>
          <w:szCs w:val="18"/>
          <w:color w:val="auto"/>
        </w:rPr>
        <w:t>Capmatinib licensed to Novartis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firstLine="767"/>
        <w:spacing w:after="0" w:line="257" w:lineRule="auto"/>
        <w:rPr>
          <w:sz w:val="20"/>
          <w:szCs w:val="20"/>
          <w:color w:val="auto"/>
        </w:rPr>
      </w:pPr>
      <w:r>
        <w:rPr>
          <w:rFonts w:ascii="Arial" w:cs="Arial" w:eastAsia="Arial" w:hAnsi="Arial"/>
          <w:sz w:val="18"/>
          <w:szCs w:val="18"/>
          <w:color w:val="auto"/>
        </w:rPr>
        <w:t>As part of our business strategy, 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 ruxolitinib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in all indications. We retained options to co</w:t>
      </w:r>
      <w:r>
        <w:rPr>
          <w:rFonts w:ascii="MS PGothic" w:cs="MS PGothic" w:eastAsia="MS PGothic" w:hAnsi="MS PGothic"/>
          <w:sz w:val="17"/>
          <w:szCs w:val="17"/>
          <w:color w:val="auto"/>
        </w:rPr>
        <w:t>‑</w:t>
      </w:r>
      <w:r>
        <w:rPr>
          <w:rFonts w:ascii="Arial" w:cs="Arial" w:eastAsia="Arial" w:hAnsi="Arial"/>
          <w:sz w:val="17"/>
          <w:szCs w:val="17"/>
          <w:color w:val="auto"/>
        </w:rPr>
        <w:t>develop and to co</w:t>
      </w:r>
      <w:r>
        <w:rPr>
          <w:rFonts w:ascii="MS PGothic" w:cs="MS PGothic" w:eastAsia="MS PGothic" w:hAnsi="MS PGothic"/>
          <w:sz w:val="17"/>
          <w:szCs w:val="17"/>
          <w:color w:val="auto"/>
        </w:rPr>
        <w:t>‑</w:t>
      </w:r>
      <w:r>
        <w:rPr>
          <w:rFonts w:ascii="Arial" w:cs="Arial" w:eastAsia="Arial" w:hAnsi="Arial"/>
          <w:sz w:val="17"/>
          <w:szCs w:val="17"/>
          <w:color w:val="auto"/>
        </w:rPr>
        <w:t>promote capmatinib in the United States.</w:t>
      </w:r>
    </w:p>
    <w:p>
      <w:pPr>
        <w:spacing w:after="0" w:line="206"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Under this agreement, we received an upfront payment and immediate milestone payment totaling $210.0 million and were initially eligible to receive additional payments of up to approximately $1.2 billion if defined development and commercialization milestones are achieved. We are also eligible to receive tiered, double</w:t>
      </w:r>
      <w:r>
        <w:rPr>
          <w:rFonts w:ascii="MS PGothic" w:cs="MS PGothic" w:eastAsia="MS PGothic" w:hAnsi="MS PGothic"/>
          <w:sz w:val="18"/>
          <w:szCs w:val="18"/>
          <w:color w:val="auto"/>
        </w:rPr>
        <w:t>‑</w:t>
      </w:r>
      <w:r>
        <w:rPr>
          <w:rFonts w:ascii="Arial" w:cs="Arial" w:eastAsia="Arial" w:hAnsi="Arial"/>
          <w:sz w:val="18"/>
          <w:szCs w:val="18"/>
          <w:color w:val="auto"/>
        </w:rPr>
        <w:t>digit royalties ranging from the upper</w:t>
      </w:r>
      <w:r>
        <w:rPr>
          <w:rFonts w:ascii="MS PGothic" w:cs="MS PGothic" w:eastAsia="MS PGothic" w:hAnsi="MS PGothic"/>
          <w:sz w:val="18"/>
          <w:szCs w:val="18"/>
          <w:color w:val="auto"/>
        </w:rPr>
        <w:t>‑</w:t>
      </w:r>
      <w:r>
        <w:rPr>
          <w:rFonts w:ascii="Arial" w:cs="Arial" w:eastAsia="Arial" w:hAnsi="Arial"/>
          <w:sz w:val="18"/>
          <w:szCs w:val="18"/>
          <w:color w:val="auto"/>
        </w:rPr>
        <w:t>teens to the mid</w:t>
      </w:r>
      <w:r>
        <w:rPr>
          <w:rFonts w:ascii="MS PGothic" w:cs="MS PGothic" w:eastAsia="MS PGothic" w:hAnsi="MS PGothic"/>
          <w:sz w:val="18"/>
          <w:szCs w:val="18"/>
          <w:color w:val="auto"/>
        </w:rPr>
        <w:t>‑</w:t>
      </w:r>
      <w:r>
        <w:rPr>
          <w:rFonts w:ascii="Arial" w:cs="Arial" w:eastAsia="Arial" w:hAnsi="Arial"/>
          <w:sz w:val="18"/>
          <w:szCs w:val="18"/>
          <w:color w:val="auto"/>
        </w:rPr>
        <w:t>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2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w:t>
      </w:r>
    </w:p>
    <w:p>
      <w:pPr>
        <w:spacing w:after="0" w:line="18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The Novartis agreement will continue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until Novartis has no royalty payment obligations with respect to such program or, if earlier, the termination of the agreement or any program in accordance with the terms of the agreement. Royalties are payable by Novartis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by Novartis for convenience. The agreement may also be terminated by either party under certain other circumstances, including material breach.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w:t>
      </w:r>
      <w:r>
        <w:rPr>
          <w:rFonts w:ascii="MS PGothic" w:cs="MS PGothic" w:eastAsia="MS PGothic" w:hAnsi="MS PGothic"/>
          <w:sz w:val="18"/>
          <w:szCs w:val="18"/>
          <w:color w:val="auto"/>
        </w:rPr>
        <w:t>‑</w:t>
      </w:r>
      <w:r>
        <w:rPr>
          <w:rFonts w:ascii="Arial" w:cs="Arial" w:eastAsia="Arial" w:hAnsi="Arial"/>
          <w:sz w:val="18"/>
          <w:szCs w:val="18"/>
          <w:color w:val="auto"/>
        </w:rPr>
        <w:t>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pacing w:after="0" w:line="2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We previously had retained an option to co-promote products in the United States but, in March 2016, we waived our co-promotion option as part of an amendment to the agreement.</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2010, we elected to co-develop baricitinib with Lilly in rheumatoid arthritis and we are responsible for funding 30% of the associated future global development costs for this indication from the initiation of the Phase IIb trial through regulatory approval, including post-launch studies required by a regulatory authority. In January 2017, we elected to co-develop baricitinib with Lilly in psoriatic arthritis and atopic dermatitis. We have also exercised our co-development options in systemic lupus erythematosus and axial spondyloarthritis, should Lilly decide to progress into a pivotal program in these indications.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we entered into an amendment to the agreement with Lilly that allows us to engage in the development and commercialization of ruxolitinib in the GVHD field. We paid Lilly an upfront payment of $35.0 million and Lilly is eligible to receive up to $40.0 million in additional regulatory milestone payments relating to ruxolitinib in the GVHD field.</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2017, the European Commission announced the approval of baricitinib as OLUMIANT, triggering a $65.0 million milestone payment from Lilly. In July 2017, Japan's MHLW granted marketing approval for OLUMIANT, triggering a $15.0 million milestone payment to Incyte from Lilly. In December 2017, we recognized a $30.0 million milestone payment for the first patient treated in the atopic dermatitis Phase III program for baricitinib.</w:t>
      </w:r>
    </w:p>
    <w:p>
      <w:pPr>
        <w:spacing w:after="0" w:line="171" w:lineRule="exact"/>
        <w:rPr>
          <w:sz w:val="20"/>
          <w:szCs w:val="20"/>
          <w:color w:val="auto"/>
        </w:rPr>
      </w:pPr>
    </w:p>
    <w:p>
      <w:pPr>
        <w:jc w:val="both"/>
        <w:ind w:firstLine="648"/>
        <w:spacing w:after="0" w:line="224" w:lineRule="exact"/>
        <w:rPr>
          <w:sz w:val="20"/>
          <w:szCs w:val="20"/>
          <w:color w:val="auto"/>
        </w:rPr>
      </w:pPr>
      <w:r>
        <w:rPr>
          <w:rFonts w:ascii="Arial" w:cs="Arial" w:eastAsia="Arial" w:hAnsi="Arial"/>
          <w:sz w:val="17"/>
          <w:szCs w:val="17"/>
          <w:color w:val="auto"/>
        </w:rPr>
        <w:t>The Lilly agreement will continue until Lilly no longer has any royalty payment obligations or, if earlier, the termination of the agreement in accordance with its terms. Royalties are payable by Lilly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Hengrui</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2015, we entered into a License and Collaboration Agreement with Hengrui. Under the terms of this agreement, we received exclusive development and commercialization rights worldwide, with the exception of Mainland China, Hong Kong, Macau and Taiwan, to INCSHR1210, an investigational PD-1 monoclonal antibody, and certain back-up compounds. In February 2018, Incyte and Hengrui agreed to terminate the collaboration, pursuant to the terms of the License and Collaboration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 including two of Merus’ current preclinical immuno-oncology discovery programs. We received exclusive development and commercialization rights outside of the United States to products and product candidates resulting from one of Merus’ current preclinical discovery programs, referred to as “Program 1.” We also received worldwide exclusive development and commercialization rights to products and product candidates resulting from the other current Merus preclinical discovery program that is subject to the collaboration and to up to nine additional programs. Merus retained exclusive development and commercialization rights in the United States to products and product candidates resulting from Program 1 and options, subject to certain conditions, to co-fund development of products resulting from two other programs in exchange for a share of profits in the United States. Merus will also have the right to participate in a specified proportion of detailing activities in the United States for one of those co-developed programs. Should Program 1 fail to successfully complete IND-enabling toxicology studies, Merus would be granted an additional option to co-fund development of a program in exchange for a share of profits in the United States. All costs related to the collaboration are subject to joint research and development plans. Each party will share equally the costs of mutually agreed global development activities for Program 1, and fund itself any independent development activities in its territory. We will be responsible for all research, development and commercialization costs relating to all other programs, subject to Merus’ election to co-fund development and co-detail described above.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All products as to which Merus has exercised its option to co-fund development would be subject to joint development plans and overseen by a joint development committee, but we will have final determination as to such plans in cases of dispute.</w:t>
      </w:r>
    </w:p>
    <w:p>
      <w:pPr>
        <w:spacing w:after="0" w:line="3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co-development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non-co-developed programs and, depending on the stage at which Merus chose to cease co-funding development costs, additional royalties ranging up to 4% of net sales in the United States. For Program 1, we and Merus will each be eligible to receive tiered royalties on net sales in the other party’s territory at rates ranging from 6% to 10%.</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8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MacroGenics will be eligible to receive up to $420.0 million in future contingent development and regulatory milestones, and up to $330.0 million in commercial milestones as well as tiered royalties ranging from 15% to 24% of global net sales.</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condensed consolidated financial statements:</w:t>
      </w:r>
    </w:p>
    <w:p>
      <w:pPr>
        <w:spacing w:after="0" w:line="170" w:lineRule="exact"/>
        <w:rPr>
          <w:sz w:val="20"/>
          <w:szCs w:val="20"/>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compensation;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Acquisition-related contingent consideration;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 term investments.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The new accounting standard for the recognition of revenue, ASC 606,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Revenue from</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 Overall, adoption of the new standard did not significantly alter our methodology for recognition of revenue.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revenues consist of U.S. sales of JAKAFI and European sales of ICLUSIG. Product revenues are recognized once we meet the revenue recognition criteria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recognize revenues for product received by our customers net of allowances for customer credits, including estimated rebates, chargebacks, discounts, returns, distribution service fees, patient assistance programs, and government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rebates, such as Medicare Part D coverage gap reimbursements in the U.S. Product shipping and handling costs are included in cost of product revenues.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 amounts are based upon contractual agreements or legal requirements with public sector benefit providers.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which currently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Medicare Part D Coverage Gap: </w:t>
      </w:r>
      <w:r>
        <w:rPr>
          <w:rFonts w:ascii="Arial" w:cs="Arial" w:eastAsia="Arial" w:hAnsi="Arial"/>
          <w:sz w:val="18"/>
          <w:szCs w:val="18"/>
          <w:color w:val="auto"/>
        </w:rPr>
        <w:t>Medicare Part D prescription drug benefit mandates manufacturers to fund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revenues on commercial sales for JAKAVI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in the period of adjustment.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Cost of product revenues includes all JAKAFI related product costs as well as ICLUSIG related product costs. The ICLUSIG inventories were recorded at fair value less costs to sell in connection with the Acquisition, which resulted in a higher cost of ICLUSIG product revenues over a one year period from the acquisition date. In addition, cost of product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include low single-digit royalties under our collaboration and license agreement to Novartis on all future sales of JAKAFI in the United States. Subsequent to the Acquisition on June 1, 2016, cost of product revenues also includes the amortization of our licensed intellectual property for ICLUSIG using the straight-line method over the estimated useful life of 12.5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Contract and License 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typical customer arrangements which fall within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include distinct drug compound out-licensing, collection of upfront payments, milestones or royalty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Some contracts form collaborative arrangements of various types with third-parties. We assess whether the nature of the arrangement is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in conjunction with the new revenue guidance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regulatory review and approval process, which includes preclinical testing and clinical trials of each drug candidate, is lengthy, expensive and uncertain. Securing approval by the U.S. Food and Drug Administration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Research and Development Costs. </w:t>
      </w:r>
      <w:r>
        <w:rPr>
          <w:rFonts w:ascii="Arial" w:cs="Arial" w:eastAsia="Arial" w:hAnsi="Arial"/>
          <w:sz w:val="17"/>
          <w:szCs w:val="17"/>
          <w:color w:val="auto"/>
        </w:rPr>
        <w:t>Our policy is to expense research and development costs as incurred. We often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clinical trial collaboration agreements, we may be reimbursed for certain development costs incurred. Such costs are recorded as a reduction of research and development expense in the period in which the related expense is incurred.</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over the remaining requisite service period.</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recognize a tax benefit for an uncertain tax position unless it is more-likely-than-not that the position will be sustained upon examination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22, 2017, the Tax Cuts and Jobs Act of 2017 was signed into law, making significant changes to the Internal Revenue Code. These changes include a federal corporate tax rate decrease from 35% to 21% for tax years beginning after December 31, 2017, the transition of U.S. international taxation from a worldwide tax system to a territorial system, and temporary full expensing of certain business assets. We recognized in our financial statements for the year ended December 31, 2017 the provisional tax impacts related to the revaluation of deferred tax assets and liabilities as well as the temporary full-expensing of certain business assets. We continue to monitor and analyze further issued guidance, however, no additional tax effects of the Act were required to be recorded for the quarter ended March 31, 2018. The financial statement impact is expected to be complete when the 2017 U.S. corporate income tax return is filed in 2018.</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royalty and certain potential milestone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Territory for the approved third line treatment. As the fair value measurement is based on significant inputs that are unobservable in the market, this represents a Level 3 measurement.</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fair value of the acquisition-related contingent consideration is remeasured each reporting period, with changes in fair value recorded in the consolidated statements of operations. Changes in the fair value of the acquisition-related contingent consideration can result from changes to one or multiple inputs including projected revenues and discount rates. These inputs are analyzed on a quarterly basis as changes to the inputs could have a material impact on the amount of acquisition-related contingent consideration recorded during the reporting period.</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Long term investments. </w:t>
      </w:r>
      <w:r>
        <w:rPr>
          <w:rFonts w:ascii="Arial" w:cs="Arial" w:eastAsia="Arial" w:hAnsi="Arial"/>
          <w:sz w:val="16"/>
          <w:szCs w:val="16"/>
          <w:color w:val="auto"/>
        </w:rPr>
        <w:t>Our long term equity investments consist of investments in common stock of publicly-held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with whom we have entered into collaboration and license agreements. We classify all of our equity investments in common stock of publicly-held companies as long term investments. Our equity investments are accounted for at fair value using readily determinable pricing available on a securities exchange on our condensed consolidated balance sheets as a long term investment. All changes in fair value are reported in our condensed consolidated statements of operations as an unrealized gain (loss) on long term investments, upon the adoption of ASU No. 2016-01 effective January 1, 2018.</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 In the event or circumstance in which we gain significant influence, but not control, of an equity investee, we will utilize the equity method of accounting, in which our share of income or loss of the equity investee will be reported within our results of operations.</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perform an initial and ongoing evaluation of the entities with which we have 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March 31, 2018, there were no entities in which we held a variable interest which we determined to be VIEs.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which replaced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performed an impact assessment which consisted of a review of a representative sample of contracts, discussions with key stakeholders, and cataloging of potential impacts on our financial statements, accounting policies, financial controls, and operations. The guidance did not have a material impact on our revenue recognition practices for product and royalty revenues. The adoption only impacted two areas in our recognition methodology for milestone and contract revenues generated by our collaborative research and license agreements:</w:t>
      </w:r>
    </w:p>
    <w:p>
      <w:pPr>
        <w:spacing w:after="0" w:line="173" w:lineRule="exact"/>
        <w:rPr>
          <w:sz w:val="20"/>
          <w:szCs w:val="20"/>
          <w:color w:val="auto"/>
        </w:rPr>
      </w:pPr>
    </w:p>
    <w:p>
      <w:pPr>
        <w:jc w:val="both"/>
        <w:ind w:left="660" w:hanging="9"/>
        <w:spacing w:after="0" w:line="302" w:lineRule="auto"/>
        <w:tabs>
          <w:tab w:leader="none" w:pos="14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the model for distinct licenses of functional intellectual property which may result in a timing difference of revenue recognition. Whereas revenue from these arrangements was previously recognized over a period of time pursuant to revenue recognition guidance that was in place for our arrangements at the time such arrangements commenced, revenue from new arrangements we enter into may now be recognized at a point in time.</w:t>
      </w:r>
    </w:p>
    <w:p>
      <w:pPr>
        <w:spacing w:after="0" w:line="154" w:lineRule="exact"/>
        <w:rPr>
          <w:rFonts w:ascii="Arial" w:cs="Arial" w:eastAsia="Arial" w:hAnsi="Arial"/>
          <w:sz w:val="16"/>
          <w:szCs w:val="16"/>
          <w:color w:val="auto"/>
        </w:rPr>
      </w:pPr>
    </w:p>
    <w:p>
      <w:pPr>
        <w:jc w:val="both"/>
        <w:ind w:left="660" w:hanging="9"/>
        <w:spacing w:after="0" w:line="264" w:lineRule="auto"/>
        <w:tabs>
          <w:tab w:leader="none" w:pos="15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Assessments of milestone payments linked to events that are in our control, may result in variable consideration that may be recognized at an earlier point in time, when it is probable that the milestone will be achieved without a significant future reversal of cumulative revenue expected.</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adopted the new standard for the fiscal period beginning January 1, 2018, utilizing the “modified retrospective” adoption methodology, and applied the guidance to report new disclosures surrounding our recognition of revenues. There was no cumulative effect of adopting the standard at the date of initial application in retained earnings. We have implemented a controls process to identify and evaluate new revenue-generating contracts with third-party customers on an on-going basis and have provided enhanced disclosures within this Form 10-Q to provide greater detail on our revenue-generating activities, see Notes 3 and 9 of the Condensed Consolidated Financial Statements.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The standard requires several changes including that equity investments (except those accounted for under the equity method of accounting, or those that result in consolidation of the investee) be measured at fair value with changes in fair value recognized in results of operations. These provisions will not impact the accounting for our investments in corporate debt and U.S. government securities. The new guidance also changes certain disclosure requirements and other aspects of current U.S. GAAP. Amendments are to be applied as a cumulative-effect adjustment to the balance sheet as of the beginning of the fiscal year of adoption. The adoption of this standard resulted in a $2.8 million decrease in our accumulated deficit as of January 1, 2018 related to our investment in Calithera Biosciences, Inc.</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2016, the FASB issued ASU No. 2016-02, “Leases,” that requires lessees to recognize assets and liabilities on the balance sheet for most leases including operating leases. Lessees will classify leases as either finance or operating leases and lessors classify all leases as sales-type, direct financing or operating leases. The statement of operations presentation and expense recognition for lessees for finance leases is similar to that of capital leases under Accounting Standards Codification (“ASC”) 840 with separate interest and amortization expense with higher periodic expense in the earlier periods of a lease. For operating leases, the statement of operations presentation and expense recognition is similar to that of operating leases under ASC 840 with single lease cost recognized on a straight-line basis.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guidance is to be applied using a modified retrospective approach at the beginning of the earliest comparative period presented in the financial statements and is effective for annual periods beginning after December 15, 2018 and interim periods therein. We are currently analyzing the impact of ASU No. 2016-02 and, at this time, are unable to determine the impact of the new standard, on our consolidated financial statements.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November 2016, the FASB issued ASU No. 2016-18, “Restricted Cash,” which requires entities to show the changes in total of cash, cash equivalents, restricted cash and restricted cash equivalents in the statement of cash flows. As a result, entities will no longer present transfers between cash and cash equivalents and restricted cash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on the balance sheet. The reconciliation can be presented either on the face of the statement of cash flows or in the notes to the financial statements. We adopted the new standard for the period beginning January 1, 2018. Due to the retrospective adoption of the standard, the cash flows from financing activities for the year ended December 31, 2017 and interim periods therein, no longer present the transfer of restricted investments to cash and cash equivalents. The change in total cash, cash equivalents, restricted cash and investments is now presented in the statement of cash flows and reconciles to the related captions on the balance sheet.</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which eliminates the requirement to calculate the implied fair value of goodwill to measure a goodwill impairment charge. Under the new standard, entities will record an impairment charge based on the excess of a reporting unit’s carrying amount over its fair value. The new standard is effective for public business entities that are SEC filers for annual or any interim goodwill impairment tests in fiscal years beginning after December 15, 2019. Early adoption is permitted for interim or annual goodwill impairment tests performed on testing dates after January 1, 2017. The standard is to be applied on a prospective basis. We are currently analyzing the impact of ASU No. 2017-04 on our consolidated financial statements.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2017, the FASB issued ASU No. 2017-07, “Compensation–Retirement Benefits,” which requires the service cost component of net periodic benefit cost to be presented in the same income statement line as other employee compensation costs arising from services rendered during the period and the other components of net periodic benefit cost to be presented separately from the income statement lines that include service cost and outside of any subtotal of operating income. We adopted the new standard for the period beginning January 1, 2018, resulting in no change in presentation of the service cost component of net periodic benefit cost, which has historically been reported in research and development and selling, general and administrative expenses along with other employee compensation costs. The retrospective adoption resulted in a change in presentation of the other components of net periodic benefit cost for the year ended December 31, 2017, and interim periods therein, which reclassed these costs out of operating income and into other income (expense), net on the consolidated statements of operations. The components of net periodic benefit cost are presented separately within our employee benefit plans footnote.</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2017, the SEC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Cuts and Jobs Act of 2017 (the “Act”). In accordance with SAB 118, we recorded provisional tax impacts related to the revaluation of deferred tax assets and liabilities as well as the temporary full expensing of certain business assets in our consolidated financial statements for the year ended December 31, 2017. We continue to monitor and analyze further issued guidance, however no additional tax effects of the Act were required to be recorded for the three months ended March 31, 2018. The financial statement impact is expected to be complete when the 2017 U.S. corporate income tax return is filed in 2018.</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2018, the FASB released guidance on the accounting for tax on the global intangible low-taxed income ("GILTI") provisions of the Act. The GILTI provisions impose a tax on foreign income in excess of a deemed return on tangible assets of foreign corporations. The guidance indicates that either accounting for deferred taxes related to GILTI inclusions or to treat any taxes on GILTI inclusions as period cost are both acceptable methods subject to an accounting policy election. Effective the first quarter of 2018, we have elected to treat any potential GILTI inclusions as a period charge in the future period in which it is incurred. We have determined there to be no impact associated with GILTI on our condensed consolidated financial statements for the three months ended March 31, 2018.</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2018, the FASB issued ASU No. 2018-02, “Income Statement – Reporting Comprehensive Income,” which allows reclassification of certain tax effects created as a result of changing methodologies, laws and tax rates legislated in the December 2017 Tax Cuts and Jobs Act. This new standard allows for stranded income tax effects resulting from the Tax Cuts and Jobs Act to be reclassified into retained earnings to allow for their tax effect to reflect the appropriate tax rate. Due to the full valuation allowance on our U.S. net deferred tax assets, a reclassification of stranded tax effects to retained earnings was not required.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recorded net loss of $41.1 million and basic and diluted net loss per share of $0.19 for the three months ended March 31, 2018, as compared to net loss of $187.1 million and basic and diluted net loss per share of $0.96 in the corresponding period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0"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For the Three Months Ended,</w:t>
      </w:r>
    </w:p>
    <w:p>
      <w:pPr>
        <w:jc w:val="center"/>
        <w:ind w:left="53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3"/>
          </w:tcPr>
          <w:p>
            <w:pPr>
              <w:jc w:val="right"/>
              <w:ind w:right="85"/>
              <w:spacing w:after="0" w:line="142" w:lineRule="exact"/>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revenues, net</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Product royalty revenues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Milestone revenues</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8"/>
                <w:szCs w:val="18"/>
                <w:color w:val="auto"/>
              </w:rPr>
            </w:pPr>
          </w:p>
        </w:tc>
      </w:tr>
      <w:tr>
        <w:trPr>
          <w:trHeight w:val="217"/>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240" w:type="dxa"/>
            <w:vAlign w:val="bottom"/>
            <w:tcBorders>
              <w:bottom w:val="single" w:sz="8" w:color="CCEEFF"/>
            </w:tcBorders>
            <w:shd w:val="clear" w:color="auto" w:fill="CCEEFF"/>
          </w:tcPr>
          <w:p>
            <w:pPr>
              <w:spacing w:after="0"/>
              <w:rPr>
                <w:sz w:val="18"/>
                <w:szCs w:val="18"/>
                <w:color w:val="auto"/>
              </w:rPr>
            </w:pPr>
          </w:p>
        </w:tc>
      </w:tr>
    </w:tbl>
    <w:p>
      <w:pPr>
        <w:spacing w:after="0" w:line="1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product revenues, net for the three months ended March 31, 2018 and 2017 were $334.5 million and $264.8 million, respectively. The increase in JAKAFI product revenues for the three months ended March 31, 2018 as compared to the corresponding period in 2017 was comprised of a volume increase of $31.9 million and a price increase of $30.7 million.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for the three months ended March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1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Discounts and</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Government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Co-Pay</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Assistance</w:t>
            </w:r>
          </w:p>
        </w:tc>
        <w:tc>
          <w:tcPr>
            <w:tcW w:w="8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Product</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1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Rebates and</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Other</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Fees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Chargebacks</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Discounts</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Returns</w:t>
            </w: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$ 37,048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Allowances for current period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2,712</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Credits/payments for current period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(7,844)</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(25,296)</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(2,434)</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(21)</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(35,595)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Credits/payments for prior period sales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(11,816)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(13,491)</w:t>
            </w:r>
          </w:p>
        </w:tc>
        <w:tc>
          <w:tcPr>
            <w:tcW w:w="0" w:type="dxa"/>
            <w:vAlign w:val="bottom"/>
          </w:tcPr>
          <w:p>
            <w:pPr>
              <w:spacing w:after="0"/>
              <w:rPr>
                <w:sz w:val="1"/>
                <w:szCs w:val="1"/>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$ 53,978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JAKAFI price increases greater than the rate of inflation, and any such increase in these government rebates and chargebacks will have a negative impact on our reported product revenues,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Product royalty revenues on commercial sales of JAKAVI by Novartis are based on net sales of licensed products in licensed territories as provided by Novartis. Our JAKAVI product royalty revenues for the three months ended March 31, 2018 and 2017 were $41.3 million and $28.8 million, respectively. Product royalty revenues on commercial sales of OLUMIANT by Lilly are based on net sales of licensed products in licensed territories as provided by Lilly. Our OLUMIANT product royalty revenues for the three months ended March 31, 2018 and 2017 were $6.4 million and $0.4 million, respectively.</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milestone revenues were $0.0 million and $90.0 million, respectively, for the three months ended March 31, 2018 and 2017, respectively. During the three months ended March 31, 2017, under the Lilly agreement, we recognized a $65.0 million regulatory milestone for the approval of baricitinib for the treatment of moderate-to-severe rheumatoid arthritis in adult patients by the European Commission and under the Novartis agreement, we recognized a $25.0 million development milestone based on the formal initiation by Novartis of a Phase III clinical trial evaluating ruxolitinib in the GVHD field.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30"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For the Three Months Ended,</w:t>
      </w:r>
    </w:p>
    <w:p>
      <w:pPr>
        <w:jc w:val="center"/>
        <w:ind w:left="5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4"/>
          </w:tcPr>
          <w:p>
            <w:pPr>
              <w:jc w:val="right"/>
              <w:ind w:right="105"/>
              <w:spacing w:after="0" w:line="142" w:lineRule="exact"/>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120" w:type="dxa"/>
            <w:vAlign w:val="bottom"/>
            <w:gridSpan w:val="2"/>
            <w:shd w:val="clear" w:color="auto" w:fill="CCEEFF"/>
          </w:tcPr>
          <w:p>
            <w:pPr>
              <w:jc w:val="right"/>
              <w:ind w:right="84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Royalty expense</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1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r>
      <w:tr>
        <w:trPr>
          <w:trHeight w:val="217"/>
        </w:trPr>
        <w:tc>
          <w:tcPr>
            <w:tcW w:w="452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1120" w:type="dxa"/>
            <w:vAlign w:val="bottom"/>
          </w:tcPr>
          <w:p>
            <w:pPr>
              <w:spacing w:after="0"/>
              <w:rPr>
                <w:sz w:val="18"/>
                <w:szCs w:val="18"/>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product revenues includes all JAKAFI related product costs, all ICLUSIG related product costs, low single-digit royalties to Novartis on all sales of JAKAFI in the United States and amortization of our licensed intellectual property for ICLUSIG using the straight-line method over the estimated useful life of 12.5 years. The ICLUSIG inventories were recorded at fair value less costs to sell in connection with the Acquisition, which resulted in a higher cost of ICLUSIG product revenues over a one year period from the acquisition date.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product revenues were $18.1 million and $14.8 million, respectively, for the three months ended March 31, 2018 and 2017, respectively. The increase in cost of product revenues for the three months ended March 31, 2018 as compared to the same period in 2017 is due primarily to increased royalties to Novartis on all JAKAFI sales in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For the Three Months Ended,</w:t>
      </w:r>
    </w:p>
    <w:p>
      <w:pPr>
        <w:jc w:val="center"/>
        <w:ind w:left="68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2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 compensation</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8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2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bottom w:val="single" w:sz="8" w:color="CCEEFF"/>
            </w:tcBorders>
          </w:tcPr>
          <w:p>
            <w:pPr>
              <w:spacing w:after="0"/>
              <w:rPr>
                <w:sz w:val="18"/>
                <w:szCs w:val="18"/>
                <w:color w:val="auto"/>
              </w:rPr>
            </w:pPr>
          </w:p>
        </w:tc>
      </w:tr>
      <w:tr>
        <w:trPr>
          <w:trHeight w:val="217"/>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2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r>
              <w:rPr>
                <w:rFonts w:ascii="Arial" w:cs="Arial" w:eastAsia="Arial" w:hAnsi="Arial"/>
                <w:sz w:val="18"/>
                <w:szCs w:val="18"/>
                <w:u w:val="single" w:color="auto"/>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r>
              <w:rPr>
                <w:rFonts w:ascii="Arial" w:cs="Arial" w:eastAsia="Arial" w:hAnsi="Arial"/>
                <w:sz w:val="18"/>
                <w:szCs w:val="18"/>
                <w:u w:val="single" w:color="auto"/>
                <w:color w:val="auto"/>
              </w:rPr>
              <w:t>9</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currently account for research and development costs by natural expense line and not costs by project. Salary and benefits related expense increased from the three months ended March 31, 2017 to the three months ended March 31, 2018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58"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The decrease in clinical research and outside services expense from the three months ended March 31, 2017 to the three months ended March 31, 2018 was primarily due to upfront and milestone expenses totaling $209.1 million related to our collaborative agreements with Agenus, Calithera and Merus recorded during the three months ended March 31, 2017, partially offset by upfront expenses totaling $12.4 million related to our collaborative agreement with Syros and an overall increase in development costs to advance our clinical pipeline. Research and development expenses for the three months ended March 31, 2018 and 2017 were net of $2.3 million and $4.3 million, respectively, of costs reimbursed by our collaborative partners. Research and development expenses may fluctuate from period to period depending upon the stage of certain projects and the level of pre</w:t>
      </w:r>
      <w:r>
        <w:rPr>
          <w:rFonts w:ascii="MS PGothic" w:cs="MS PGothic" w:eastAsia="MS PGothic" w:hAnsi="MS PGothic"/>
          <w:sz w:val="16"/>
          <w:szCs w:val="16"/>
          <w:color w:val="auto"/>
        </w:rPr>
        <w:t>‑</w:t>
      </w:r>
      <w:r>
        <w:rPr>
          <w:rFonts w:ascii="Arial" w:cs="Arial" w:eastAsia="Arial" w:hAnsi="Arial"/>
          <w:sz w:val="16"/>
          <w:szCs w:val="16"/>
          <w:color w:val="auto"/>
        </w:rPr>
        <w:t>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20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In July 2010, we elected to co</w:t>
      </w:r>
      <w:r>
        <w:rPr>
          <w:rFonts w:ascii="MS PGothic" w:cs="MS PGothic" w:eastAsia="MS PGothic" w:hAnsi="MS PGothic"/>
          <w:sz w:val="16"/>
          <w:szCs w:val="16"/>
          <w:color w:val="auto"/>
        </w:rPr>
        <w:t>‑</w:t>
      </w:r>
      <w:r>
        <w:rPr>
          <w:rFonts w:ascii="Arial" w:cs="Arial" w:eastAsia="Arial" w:hAnsi="Arial"/>
          <w:sz w:val="16"/>
          <w:szCs w:val="16"/>
          <w:color w:val="auto"/>
        </w:rPr>
        <w:t>develop baricitinib with Lilly in rheumatoid arthritis and we are responsible for funding 30% of the associated future global development costs for this indication from the initiation of the Phase IIb trial through regulatory approval. In January 2017, we exercised our co-development options in psoriatic arthritis and atopic dermatitis to fund 30% of future global development costs through regulatory approval, including post-launch studies required by a regulatory authority. We have also exercised our co-development options in systemic lupus erythematosus and axial spondyloarthritis, should Lilly decide to progress into a pivotal program in these indications. Research and development expenses recorded under the Lilly agreement representing 30% of the global development costs for baricitinib for the treatment of rheumatoid arthritis, psoriatic arthritis and atopic dermatitis were $12.5 million and $9.4 million, respectively, for the three months ended March 31, 2018 and 2017. We have retained certain mechanisms to give us cost protection as baricitinib advances in clinical development. We can defer our portion of co-development study costs by indication if they exceed a predetermined level. This deferment would be credited against future milestones or royalties and we would still be eligible for the full incremental royalties related to the co-development option. In addition, even if we have started co-development funding for any indication, we can at any time opt out, which will stop future co-development cost sharing. If we elect to do this we would still be eligible for our base royalties plus an incremental pro-rated royalty commensurate with our contribution to the total co-development cost for those indications for which we contributed funding.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For the Three Months Ended,</w:t>
      </w:r>
    </w:p>
    <w:p>
      <w:pPr>
        <w:jc w:val="center"/>
        <w:ind w:left="6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Stock compensation</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spacing w:after="0"/>
              <w:rPr>
                <w:sz w:val="18"/>
                <w:szCs w:val="18"/>
                <w:color w:val="auto"/>
              </w:rPr>
            </w:pP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6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r>
              <w:rPr>
                <w:rFonts w:ascii="Arial" w:cs="Arial" w:eastAsia="Arial" w:hAnsi="Arial"/>
                <w:sz w:val="18"/>
                <w:szCs w:val="18"/>
                <w:u w:val="single" w:color="auto"/>
                <w:color w:val="auto"/>
              </w:rPr>
              <w:t>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Salary and benefits related expense increased from the three months ended March 31, 2017 to the three months ended March 31, 2018 due to increased headcount. This increased headcount was due primarily to the ongoing commercialization efforts related to JAKAFI for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and uncontrolled polycythemia vera, as well as increased headcount related to our European operations. Stock compensation expense may fluctuate from period to period based on the number of awards granted, stock price volatility and expected award lives, as well as expected award forfeiture rates which are used to value equity</w:t>
      </w:r>
      <w:r>
        <w:rPr>
          <w:rFonts w:ascii="MS PGothic" w:cs="MS PGothic" w:eastAsia="MS PGothic" w:hAnsi="MS PGothic"/>
          <w:sz w:val="17"/>
          <w:szCs w:val="17"/>
          <w:color w:val="auto"/>
        </w:rPr>
        <w:t>‑</w:t>
      </w:r>
      <w:r>
        <w:rPr>
          <w:rFonts w:ascii="Arial" w:cs="Arial" w:eastAsia="Arial" w:hAnsi="Arial"/>
          <w:sz w:val="17"/>
          <w:szCs w:val="17"/>
          <w:color w:val="auto"/>
        </w:rPr>
        <w:t>based compensation. The increase in other contract services and outside costs was primarily the result of additional costs related to the commercialization of JAKAFI and an increase in donations to independent non-profit patient assistance organizations in the United States.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Acquisition-related contingent consideration, which consists of our future royalty and certain potential milestone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months ended March 31, 2018 and 2017 was $6.7 million and $7.4 million, respectively, which is recorded in change in fair value of acquisition-related contingent consideration on the condensed consolidated statements of operations. The change in fair value for the three months ended March 31, 2018 and 2017 was due primarily to the passage of time as there were no other significant changes in the key assumptions during the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for the three months ended March 31, 2018 and 2017 was</w:t>
      </w:r>
      <w:r>
        <w:rPr>
          <w:rFonts w:ascii="Arial" w:cs="Arial" w:eastAsia="Arial" w:hAnsi="Arial"/>
          <w:sz w:val="17"/>
          <w:szCs w:val="17"/>
          <w:i w:val="1"/>
          <w:iCs w:val="1"/>
          <w:color w:val="auto"/>
        </w:rPr>
        <w:t xml:space="preserve"> </w:t>
      </w:r>
      <w:r>
        <w:rPr>
          <w:rFonts w:ascii="Arial" w:cs="Arial" w:eastAsia="Arial" w:hAnsi="Arial"/>
          <w:sz w:val="17"/>
          <w:szCs w:val="17"/>
          <w:color w:val="auto"/>
        </w:rPr>
        <w:t>$4.5 million and $1.1 million, respectively. Upon the adoption of ASU No. 2017-07 effective January 1, 2018, other income (expense), net includes components of net periodic benefit costs, excluding service cost, relating to our European pension plans. The adoption was applied retrospectively which resulted in an insignificant change to loss from operations and other income (expense), net for the three months ended March 31, 2017.</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three months ended March 31, 2018 and 2017 was $0.4 million and $5.9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decrease in interest expense during the three months ended March 31, 2018 relates to the conversion of senior notes during the three months ended March 31, 2017. Included in interest expense for the three months ended March 31, 2018 and 2017 was $0.3 million and $5.1 million, respectively, of non-cash charges to amortize the discounts on the 2018 Notes and the 2020 Notes.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Unrealized gain (loss) on long term investments. </w:t>
      </w:r>
      <w:r>
        <w:rPr>
          <w:rFonts w:ascii="Arial" w:cs="Arial" w:eastAsia="Arial" w:hAnsi="Arial"/>
          <w:sz w:val="16"/>
          <w:szCs w:val="16"/>
          <w:color w:val="auto"/>
        </w:rPr>
        <w:t>Unrealized gains and losses on long term investments will fluctuate</w:t>
      </w:r>
      <w:r>
        <w:rPr>
          <w:rFonts w:ascii="Arial" w:cs="Arial" w:eastAsia="Arial" w:hAnsi="Arial"/>
          <w:sz w:val="16"/>
          <w:szCs w:val="16"/>
          <w:i w:val="1"/>
          <w:iCs w:val="1"/>
          <w:color w:val="auto"/>
        </w:rPr>
        <w:t xml:space="preserve"> </w:t>
      </w:r>
      <w:r>
        <w:rPr>
          <w:rFonts w:ascii="Arial" w:cs="Arial" w:eastAsia="Arial" w:hAnsi="Arial"/>
          <w:sz w:val="16"/>
          <w:szCs w:val="16"/>
          <w:color w:val="auto"/>
        </w:rPr>
        <w:t>from period to period, based on the change in fair value of the securities we hold in our publicly held collaboration partners. With respect to our long term investment in Agenus, the unrealized gain on investment for the three months ended March 31, 2018 was $25.8 million and the unrealized loss for the three months ended March 31, 2017 was $7.7 million, respectively. With respect to our long term investment in Calithera, the unrealized loss on investment for the three months ended March 31, 2018 was $3.5 million. For the three months ended March 31, 2017, the unrealized gain on our Calithera investment of $8.3 million was recorded within other comprehensive income. With respect to our long term investment in Merus, the unrealized loss on investment for the three months ended March 31, 2018 was $2.8 million and the unrealized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gain on investment for the three months ended March 31, 2017 was $1.9 million. With respect to our long term investment in Syros, the unrealized gain on investment for the three months ended March 31, 2018 was $3.2 million.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Expense related to senior note conversions. </w:t>
      </w:r>
      <w:r>
        <w:rPr>
          <w:rFonts w:ascii="Arial" w:cs="Arial" w:eastAsia="Arial" w:hAnsi="Arial"/>
          <w:sz w:val="18"/>
          <w:szCs w:val="18"/>
          <w:color w:val="auto"/>
        </w:rPr>
        <w:t>Expense related to senior note conversions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 was $54.1 million for the conversions of our 2018 Notes and 2020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Due to historical net losses, we had an accumulated deficit of $2.0 billion as of March 31, 2018. We have funded our research and development operations through sales of equity securities, the issuance of convertible notes, cash received from customers, and collaborative arrangements. At March 31, 2018, we had available cash, cash equivalents and marketable securities of $1.2 billion. Our cash and marketable securities balances are held in a variety of interest-bearing instruments, including money market accounts, corporate debt securities and U.S. government securities. Available cash is invested in accordance with our investment policy’s primary objectives of liquidity, safety of principal and diversity of investments.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$20.8 million for the three months ended March 31, 2018 and net cash used by operating activities was $173.6 million for the three months ended March 31, 2017. The $194.4 million increase in cash provided by operating activities was due primarily to the payments made to our collaborative partners for new or amended arrangements during the first quarter of 2017, expense related to our senior note conversions during the first quarter of 2017 and changes in working capital.</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investing activities, other than purchases, sales and maturities of marketable securities, have consisted predominantly of capital expenditures and purchases of long term investments. Net cash used by investing activities was $28.5 million for the three months ended March 31, 2018, which represented purchases of marketable securities of $38.0 million, capital expenditures of $12.6 million and purchases of long term investments of $8.9 million, offset in part by the sale and maturity of marketable securities of $31.0 million. Net cash used in investing activities was $138.8 million for the three months ended March 31, 2017, which represented purchases of marketable securities of $106.3 million, capital expenditures of $21.0 million and purchases of long term equity investments of $123.9 million, offset in part by the sale and maturity of marketable securities of $112.3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$2.6 million and $22.0 million, respectively, for the three months ended March 31, 2018 and 2017, primarily representing proceeds from the issuance of common stock under our stock plans, offset in part by cash paid to ARIAD/Takeda for contingent consideration and cash paid in connection with senior note conversions during the three months ended March 31, 2017.</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summarizes our significant contractual obligations as of March 31, 2018 and the effect those obligations are expected to have on our liquidity and cash flow in future periods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Less Than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w w:val="99"/>
              </w:rPr>
              <w:t>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2 - 3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4 - 5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Principal on convertible senior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senior debt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Non-cancelable lease obligations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will be adequate to satisfy our capital needs for at least the next twelve months. Our cash requirements depend on numerous factors, including our expenditures in connection with our drug discovery and development programs and commercialization operations; expenditures in connection with litigation or other legal proceedings; competing technological and market developments; the cost of filing, prosecuting, defending and enforcing patent claims and other intellectual property rights; costs for future facility requirements; our receipt of any milestone or other payments under any collaborative agreements we may enter into, including the agreements with Novartis and Lilly; expenditures in connection with potential exchanges of our outstanding convertible senior notes; and expenditures in connection with strategic relationships and license agreements, including our agreements with Agenus, ARIAD/Takeda, Calithera, Lilly, MacroGenics, Merus and Syros, strategic equity investments or potential acquisitions. Changes in our research and development or commercialization plans or other changes affecting our operating expenses may result in changes in the timing and amount of expenditures of our capital resources. To the extent we seek to augment our existing cash resources and cash flow from operations to satisfy our cash requirements, we expect that additional funding can be obtained primarily through public or private equity offerings, debt financings, borrowings or strategic collaborations.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other than those that are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investments in marketable securities, which are composed primarily of corporate debt securities and U.S. government securities, are subject to default, changes in credit rating and changes in market value. These investments are also subject to interest rate risk and will decrease in value if market interest rates increase. As of March 31, 2018, marketable securities were $276.6 million. Due to the nature of these investments, if market interest rates were to increase immediately and uniformly by 10% from levels as of March 31, 2018, the decline in fair value would not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We maintain “disclosure controls and procedures,” as such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Changes in internal control over financial reporting</w:t>
      </w:r>
      <w:r>
        <w:rPr>
          <w:rFonts w:ascii="Arial" w:cs="Arial" w:eastAsia="Arial" w:hAnsi="Arial"/>
          <w:sz w:val="17"/>
          <w:szCs w:val="17"/>
          <w:color w:val="auto"/>
        </w:rPr>
        <w:t>. There were no changes in our internal control over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(as defined in Rules 13a-15(f) and 15d-15(f) under the Exchange Act) for the three months 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March 31, 2018, that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7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JAKAFI is our first and, currently, only product approved for sale in the United States. It was approved by the U.S. Food and Drug Administration, or FDA, in November 2011 for the treatment of patients with intermediate or high</w:t>
      </w:r>
      <w:r>
        <w:rPr>
          <w:rFonts w:ascii="MS PGothic" w:cs="MS PGothic" w:eastAsia="MS PGothic" w:hAnsi="MS PGothic"/>
          <w:sz w:val="18"/>
          <w:szCs w:val="18"/>
          <w:color w:val="auto"/>
        </w:rPr>
        <w:t>‑</w:t>
      </w:r>
      <w:r>
        <w:rPr>
          <w:rFonts w:ascii="Arial" w:cs="Arial" w:eastAsia="Arial" w:hAnsi="Arial"/>
          <w:sz w:val="18"/>
          <w:szCs w:val="18"/>
          <w:color w:val="auto"/>
        </w:rPr>
        <w:t>risk myelofibrosis and in December 2014 for the treatment of patients with polycythemia vera who have had an inadequate response to or are intolerant of hydroxyurea, which we refer to as uncontrolled polycythemia vera. Although we have received regulatory approval for these indications, such approval does not guarantee future revenues. While in June 2016 we acquired exclusive rights to develop and commercialize ICLUSIG in the European Union, or EU, and other countries, we anticipate that JAKAFI product sales will continue to contribute a significant percentage of our total revenues over the next several years.</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commercial success of JAKAFI and our ability to generate and maintain revenues from the sale of JAKAFI will depend on a number of factors, including:</w:t>
      </w:r>
    </w:p>
    <w:p>
      <w:pPr>
        <w:spacing w:after="0" w:line="170" w:lineRule="exact"/>
        <w:rPr>
          <w:sz w:val="20"/>
          <w:szCs w:val="20"/>
          <w:color w:val="auto"/>
        </w:rPr>
      </w:pPr>
    </w:p>
    <w:p>
      <w:pPr>
        <w:ind w:left="980" w:hanging="329"/>
        <w:spacing w:after="0" w:line="224" w:lineRule="exact"/>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patients with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or uncontrolled polycythemia vera who are diagnosed with the disease and the number of such patients that may be treated with JAKAFI;</w:t>
      </w:r>
    </w:p>
    <w:p>
      <w:pPr>
        <w:spacing w:after="0" w:line="201" w:lineRule="exact"/>
        <w:rPr>
          <w:rFonts w:ascii="Arial" w:cs="Arial" w:eastAsia="Arial" w:hAnsi="Arial"/>
          <w:sz w:val="17"/>
          <w:szCs w:val="17"/>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obtain and maintain sufficient coverage or reimbursement by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25"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manufacture JAKAFI in sufficient quantities with acceptable quality;</w:t>
      </w:r>
    </w:p>
    <w:p>
      <w:pPr>
        <w:spacing w:after="0" w:line="203"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of our company and our third</w:t>
      </w:r>
      <w:r>
        <w:rPr>
          <w:rFonts w:ascii="MS PGothic" w:cs="MS PGothic" w:eastAsia="MS PGothic" w:hAnsi="MS PGothic"/>
          <w:sz w:val="17"/>
          <w:szCs w:val="17"/>
          <w:color w:val="auto"/>
        </w:rPr>
        <w:t>‑</w:t>
      </w:r>
      <w:r>
        <w:rPr>
          <w:rFonts w:ascii="Arial" w:cs="Arial" w:eastAsia="Arial" w:hAnsi="Arial"/>
          <w:sz w:val="17"/>
          <w:szCs w:val="17"/>
          <w:color w:val="auto"/>
        </w:rPr>
        <w:t>party providers to provide marketing and distribution support for</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not successful in commercializing JAKAFI in the United States, or are significantly delayed or limited in doing so, our business may be materially harmed and we may need to delay other drug discovery and development initiatives or even significantly curtail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our receipt of royalties under our collaboration agreement with Novartis for sales of JAKAVI outside the United States will depend on factors similar to those listed above for jurisdictions outside the United States.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8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We may not be able to sell our products on a profitable basis or our profitability may be reduced if we are required to sell our products at lower than anticipated prices or reimbursement is unavailable or limited in scope or amount. JAKAFI and ICLUSIG are expensive and almost all patients will require some form of third-party coverage to afford their cost. Our future revenues and profitability will be adversely affected if we cannot depend on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 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third-party payors of health care costs, which could be affected by current and potential healthcare reform legislation.” If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refuse to provide coverage and reimbursement with respect to our products, determine to provide a lower level of coverage and reimbursement than anticipated, or reduce previously approved levels of coverage and reimbursement, then our pricing or reimbursement for our products may be affected and our product sales, results of operations or financial condition could be harmed.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7"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Prior to our commercialization of JAKAFI, we had no experience selling and marketing drug products and with pricing and obtaining adequate third</w:t>
      </w:r>
      <w:r>
        <w:rPr>
          <w:rFonts w:ascii="MS PGothic" w:cs="MS PGothic" w:eastAsia="MS PGothic" w:hAnsi="MS PGothic"/>
          <w:sz w:val="17"/>
          <w:szCs w:val="17"/>
          <w:color w:val="auto"/>
        </w:rPr>
        <w:t>‑</w:t>
      </w:r>
      <w:r>
        <w:rPr>
          <w:rFonts w:ascii="Arial" w:cs="Arial" w:eastAsia="Arial" w:hAnsi="Arial"/>
          <w:sz w:val="17"/>
          <w:szCs w:val="17"/>
          <w:color w:val="auto"/>
        </w:rPr>
        <w:t>party reimbursement for drug products. Under our collaboration and license agreement with Novartis, we have retained commercialization rights to JAKAFI in the United States. We have established commercial capabilities in the United States, but cannot guarantee that we will be able to enter into and maintain any marketing, distribution or third</w:t>
      </w:r>
      <w:r>
        <w:rPr>
          <w:rFonts w:ascii="MS PGothic" w:cs="MS PGothic" w:eastAsia="MS PGothic" w:hAnsi="MS PGothic"/>
          <w:sz w:val="17"/>
          <w:szCs w:val="17"/>
          <w:color w:val="auto"/>
        </w:rPr>
        <w:t>‑</w:t>
      </w:r>
      <w:r>
        <w:rPr>
          <w:rFonts w:ascii="Arial" w:cs="Arial" w:eastAsia="Arial" w:hAnsi="Arial"/>
          <w:sz w:val="17"/>
          <w:szCs w:val="17"/>
          <w:color w:val="auto"/>
        </w:rPr>
        <w:t>party logistics agreements with third</w:t>
      </w:r>
      <w:r>
        <w:rPr>
          <w:rFonts w:ascii="MS PGothic" w:cs="MS PGothic" w:eastAsia="MS PGothic" w:hAnsi="MS PGothic"/>
          <w:sz w:val="17"/>
          <w:szCs w:val="17"/>
          <w:color w:val="auto"/>
        </w:rPr>
        <w:t>‑</w:t>
      </w:r>
      <w:r>
        <w:rPr>
          <w:rFonts w:ascii="Arial" w:cs="Arial" w:eastAsia="Arial" w:hAnsi="Arial"/>
          <w:sz w:val="17"/>
          <w:szCs w:val="17"/>
          <w:color w:val="auto"/>
        </w:rPr>
        <w:t>party providers on acceptable terms, if at all. In connection with our June 2016 acquisition from ARIAD Pharmaceuticals, Inc. we licensed rights to develop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commercialize ICLUSIG in certain countries and we acquired the European sales, marketing and distribution operations of ARIAD. We may not be able to maintain those operations or retain their personnel or distribution arrangements. We may not be able to correctly judge the size and experience of the sales and marketing force and the scale of distribution capabilities necessary to successfully market and sell our products. Establishing and maintaining sales, marketing and distribution capabilities are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labeling, advertising, promotion, risk mitigation, and adverse event reporting requirements.</w:t>
      </w:r>
    </w:p>
    <w:p>
      <w:pPr>
        <w:spacing w:after="0" w:line="20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The commercialization of our products is subject to post</w:t>
      </w:r>
      <w:r>
        <w:rPr>
          <w:rFonts w:ascii="MS PGothic" w:cs="MS PGothic" w:eastAsia="MS PGothic" w:hAnsi="MS PGothic"/>
          <w:sz w:val="16"/>
          <w:szCs w:val="16"/>
          <w:color w:val="auto"/>
        </w:rPr>
        <w:t>‑</w:t>
      </w:r>
      <w:r>
        <w:rPr>
          <w:rFonts w:ascii="Arial" w:cs="Arial" w:eastAsia="Arial" w:hAnsi="Arial"/>
          <w:sz w:val="16"/>
          <w:szCs w:val="16"/>
          <w:color w:val="auto"/>
        </w:rPr>
        <w: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testing of JAKAFI and ICLUSIG, the manufacturing, marketing and sale of JAKAFI and the marketing and sale of ICLUSIG expose us to product liability and other risks. Side effects and other problems experienced by patients from the use of our products could:</w:t>
      </w:r>
    </w:p>
    <w:p>
      <w:pPr>
        <w:spacing w:after="0" w:line="181" w:lineRule="exact"/>
        <w:rPr>
          <w:sz w:val="20"/>
          <w:szCs w:val="20"/>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Previously unknown risks and adverse effects of our products may also be discovered in connection with unapproved, or off</w:t>
      </w:r>
      <w:r>
        <w:rPr>
          <w:rFonts w:ascii="MS PGothic" w:cs="MS PGothic" w:eastAsia="MS PGothic" w:hAnsi="MS PGothic"/>
          <w:sz w:val="16"/>
          <w:szCs w:val="16"/>
          <w:color w:val="auto"/>
        </w:rPr>
        <w:t>‑</w:t>
      </w:r>
      <w:r>
        <w:rPr>
          <w:rFonts w:ascii="Arial" w:cs="Arial" w:eastAsia="Arial" w:hAnsi="Arial"/>
          <w:sz w:val="16"/>
          <w:szCs w:val="16"/>
          <w:color w:val="auto"/>
        </w:rPr>
        <w:t>label, uses of our products. We are prohibited by law from promoting or in any way supporting or encouraging the promotion of our products for off</w:t>
      </w:r>
      <w:r>
        <w:rPr>
          <w:rFonts w:ascii="MS PGothic" w:cs="MS PGothic" w:eastAsia="MS PGothic" w:hAnsi="MS PGothic"/>
          <w:sz w:val="16"/>
          <w:szCs w:val="16"/>
          <w:color w:val="auto"/>
        </w:rPr>
        <w:t>‑</w:t>
      </w:r>
      <w:r>
        <w:rPr>
          <w:rFonts w:ascii="Arial" w:cs="Arial" w:eastAsia="Arial" w:hAnsi="Arial"/>
          <w:sz w:val="16"/>
          <w:szCs w:val="16"/>
          <w:color w:val="auto"/>
        </w:rPr>
        <w:t>label uses, but physicians are permitted to use products for off</w:t>
      </w:r>
      <w:r>
        <w:rPr>
          <w:rFonts w:ascii="MS PGothic" w:cs="MS PGothic" w:eastAsia="MS PGothic" w:hAnsi="MS PGothic"/>
          <w:sz w:val="16"/>
          <w:szCs w:val="16"/>
          <w:color w:val="auto"/>
        </w:rPr>
        <w:t>‑</w:t>
      </w:r>
      <w:r>
        <w:rPr>
          <w:rFonts w:ascii="Arial" w:cs="Arial" w:eastAsia="Arial" w:hAnsi="Arial"/>
          <w:sz w:val="16"/>
          <w:szCs w:val="16"/>
          <w:color w:val="auto"/>
        </w:rPr>
        <w:t>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w:t>
      </w:r>
      <w:r>
        <w:rPr>
          <w:rFonts w:ascii="MS PGothic" w:cs="MS PGothic" w:eastAsia="MS PGothic" w:hAnsi="MS PGothic"/>
          <w:sz w:val="16"/>
          <w:szCs w:val="16"/>
          <w:color w:val="auto"/>
        </w:rPr>
        <w:t>‑</w:t>
      </w:r>
      <w:r>
        <w:rPr>
          <w:rFonts w:ascii="Arial" w:cs="Arial" w:eastAsia="Arial" w:hAnsi="Arial"/>
          <w:sz w:val="16"/>
          <w:szCs w:val="16"/>
          <w:color w:val="auto"/>
        </w:rPr>
        <w:t>risk myelofibrosis or uncontrolled polycythemia vera and as JAKAFI is studied in or used by patients for off</w:t>
      </w:r>
      <w:r>
        <w:rPr>
          <w:rFonts w:ascii="MS PGothic" w:cs="MS PGothic" w:eastAsia="MS PGothic" w:hAnsi="MS PGothic"/>
          <w:sz w:val="16"/>
          <w:szCs w:val="16"/>
          <w:color w:val="auto"/>
        </w:rPr>
        <w:t>‑</w:t>
      </w:r>
      <w:r>
        <w:rPr>
          <w:rFonts w:ascii="Arial" w:cs="Arial" w:eastAsia="Arial" w:hAnsi="Arial"/>
          <w:sz w:val="16"/>
          <w:szCs w:val="16"/>
          <w:color w:val="auto"/>
        </w:rPr>
        <w:t>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w:t>
      </w:r>
    </w:p>
    <w:p>
      <w:pPr>
        <w:spacing w:after="0" w:line="206"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w:t>
      </w:r>
      <w:r>
        <w:rPr>
          <w:rFonts w:ascii="MS PGothic" w:cs="MS PGothic" w:eastAsia="MS PGothic" w:hAnsi="MS PGothic"/>
          <w:sz w:val="16"/>
          <w:szCs w:val="16"/>
          <w:color w:val="auto"/>
        </w:rPr>
        <w:t>‑</w:t>
      </w:r>
      <w:r>
        <w:rPr>
          <w:rFonts w:ascii="Arial" w:cs="Arial" w:eastAsia="Arial" w:hAnsi="Arial"/>
          <w:sz w:val="16"/>
          <w:szCs w:val="16"/>
          <w:color w:val="auto"/>
        </w:rPr>
        <w:t>existing and potentially life</w:t>
      </w:r>
      <w:r>
        <w:rPr>
          <w:rFonts w:ascii="MS PGothic" w:cs="MS PGothic" w:eastAsia="MS PGothic" w:hAnsi="MS PGothic"/>
          <w:sz w:val="16"/>
          <w:szCs w:val="16"/>
          <w:color w:val="auto"/>
        </w:rPr>
        <w:t>‑</w:t>
      </w:r>
      <w:r>
        <w:rPr>
          <w:rFonts w:ascii="Arial" w:cs="Arial" w:eastAsia="Arial" w:hAnsi="Arial"/>
          <w:sz w:val="16"/>
          <w:szCs w:val="16"/>
          <w:color w:val="auto"/>
        </w:rPr>
        <w:t>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Factors similar to those listed above also apply to our collaboration partner Novartis and to ICLUSIG for jurisdictions outside the United States.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w:t>
      </w:r>
      <w:r>
        <w:rPr>
          <w:rFonts w:ascii="MS PGothic" w:cs="MS PGothic" w:eastAsia="MS PGothic" w:hAnsi="MS PGothic"/>
          <w:sz w:val="17"/>
          <w:szCs w:val="17"/>
          <w:color w:val="auto"/>
        </w:rPr>
        <w:t>‑</w:t>
      </w:r>
      <w:r>
        <w:rPr>
          <w:rFonts w:ascii="Arial" w:cs="Arial" w:eastAsia="Arial" w:hAnsi="Arial"/>
          <w:sz w:val="17"/>
          <w:szCs w:val="17"/>
          <w:color w:val="auto"/>
        </w:rPr>
        <w:t>kickback provisions of the federal Social Security Act, and other state and federal laws and regulations. Federal and state anti</w:t>
      </w:r>
      <w:r>
        <w:rPr>
          <w:rFonts w:ascii="MS PGothic" w:cs="MS PGothic" w:eastAsia="MS PGothic" w:hAnsi="MS PGothic"/>
          <w:sz w:val="17"/>
          <w:szCs w:val="17"/>
          <w:color w:val="auto"/>
        </w:rPr>
        <w:t>‑</w:t>
      </w:r>
      <w:r>
        <w:rPr>
          <w:rFonts w:ascii="Arial" w:cs="Arial" w:eastAsia="Arial" w:hAnsi="Arial"/>
          <w:sz w:val="17"/>
          <w:szCs w:val="17"/>
          <w:color w:val="auto"/>
        </w:rPr>
        <w:t>kickback laws prohibit, among other things, knowingly and willfully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offering, paying, soliciting or receiving remuneration to induce, or in return for purchasing, leasing, ordering or arranging for the purchase, lease or order of any health care item or service reimbursable under Medicare, Medicaid, or other federally</w:t>
      </w:r>
      <w:r>
        <w:rPr>
          <w:rFonts w:ascii="MS PGothic" w:cs="MS PGothic" w:eastAsia="MS PGothic" w:hAnsi="MS PGothic"/>
          <w:sz w:val="18"/>
          <w:szCs w:val="18"/>
          <w:color w:val="auto"/>
        </w:rPr>
        <w:t>‑</w:t>
      </w:r>
      <w:r>
        <w:rPr>
          <w:rFonts w:ascii="Arial" w:cs="Arial" w:eastAsia="Arial" w:hAnsi="Arial"/>
          <w:sz w:val="18"/>
          <w:szCs w:val="18"/>
          <w:color w:val="auto"/>
        </w:rPr>
        <w:t xml:space="preserve"> or state</w:t>
      </w:r>
      <w:r>
        <w:rPr>
          <w:rFonts w:ascii="MS PGothic" w:cs="MS PGothic" w:eastAsia="MS PGothic" w:hAnsi="MS PGothic"/>
          <w:sz w:val="18"/>
          <w:szCs w:val="18"/>
          <w:color w:val="auto"/>
        </w:rPr>
        <w:t>‑</w:t>
      </w:r>
      <w:r>
        <w:rPr>
          <w:rFonts w:ascii="Arial" w:cs="Arial" w:eastAsia="Arial" w:hAnsi="Arial"/>
          <w:sz w:val="18"/>
          <w:szCs w:val="18"/>
          <w:color w:val="auto"/>
        </w:rPr>
        <w:t>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203"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w:t>
      </w:r>
      <w:r>
        <w:rPr>
          <w:rFonts w:ascii="MS PGothic" w:cs="MS PGothic" w:eastAsia="MS PGothic" w:hAnsi="MS PGothic"/>
          <w:sz w:val="17"/>
          <w:szCs w:val="17"/>
          <w:color w:val="auto"/>
        </w:rPr>
        <w:t>‑</w:t>
      </w:r>
      <w:r>
        <w:rPr>
          <w:rFonts w:ascii="Arial" w:cs="Arial" w:eastAsia="Arial" w:hAnsi="Arial"/>
          <w:sz w:val="17"/>
          <w:szCs w:val="17"/>
          <w:color w:val="auto"/>
        </w:rPr>
        <w:t>label uses. We market JAKAFI for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and uncontrolled polycythemia vera and provide promotional materials to physicians regarding the use of JAKAFI for these indications. Although we believe that our promotional materials for physicians do not constitute off</w:t>
      </w:r>
      <w:r>
        <w:rPr>
          <w:rFonts w:ascii="MS PGothic" w:cs="MS PGothic" w:eastAsia="MS PGothic" w:hAnsi="MS PGothic"/>
          <w:sz w:val="17"/>
          <w:szCs w:val="17"/>
          <w:color w:val="auto"/>
        </w:rPr>
        <w:t>‑</w:t>
      </w:r>
      <w:r>
        <w:rPr>
          <w:rFonts w:ascii="Arial" w:cs="Arial" w:eastAsia="Arial" w:hAnsi="Arial"/>
          <w:sz w:val="17"/>
          <w:szCs w:val="17"/>
          <w:color w:val="auto"/>
        </w:rPr>
        <w:t>label promotion of JAKAFI, the FDA or other agencies may disagree. If the FDA or another agency determines that our promotional materials or other activities constitute off</w:t>
      </w:r>
      <w:r>
        <w:rPr>
          <w:rFonts w:ascii="MS PGothic" w:cs="MS PGothic" w:eastAsia="MS PGothic" w:hAnsi="MS PGothic"/>
          <w:sz w:val="17"/>
          <w:szCs w:val="17"/>
          <w:color w:val="auto"/>
        </w:rPr>
        <w:t>‑</w:t>
      </w:r>
      <w:r>
        <w:rPr>
          <w:rFonts w:ascii="Arial" w:cs="Arial" w:eastAsia="Arial" w:hAnsi="Arial"/>
          <w:sz w:val="17"/>
          <w:szCs w:val="17"/>
          <w:color w:val="auto"/>
        </w:rPr>
        <w:t>label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European Union and member countries impose similar strict restrictions on the promotion and marketing of drug products. The off-label promotion of medicinal products is prohibited in the EU and in other territories.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8"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The majority of states also have statutes or regulations similar to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law and false claims laws, which apply to items and services reimbursed under Medicaid and other state programs, or, in several states, apply regardless of the payor. In recent years, several states and localities, including California, Connecticut, the District of Columbia, Massachusetts, Minnesota, Nevada, New Mexico, Texas, Vermont, and West Virginia, have enacted legislation requiring pharmaceutical companies to establish marketing compliance programs, file periodic reports with the state or make periodic public disclosures on sales, marketing, pricing, clinical trials, and other activities. Similar legislation is being considered in other states. Additionally, as part of the Patient Protection and Affordable Care Act, the federal government has enacted the Physician Payment Sunshine provisions. The Sunshine provisions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 See also “—Other Risks Relating to our Business—If we fail to comply with the extensive legal and regulatory requirements affecting the health care industry, we could face increased costs, penalties and a loss of business”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January 2018, Celgene Corporation announced an agreement to acquire Impact Biomedicines, which is developing a drug candidate for the treatment of myelofibrosis and polycythemia vera.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of United States Patent and Trademark Office denied a petition challenging our patent covering deuterated ruxolitinib analogs, although the challenging party retains the right to challenge the validity of the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a generic version of imatinib was launched in the United States in February 2016, and generic versions are expected to be launched in other markets. Although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our drug candidates, other than JAKAFI/JAKAVI, has received regulatory approval. Our ability to discover and develop drug candidates and to commercialize additional drug products will depend on our ability to:</w:t>
      </w:r>
    </w:p>
    <w:p>
      <w:pPr>
        <w:spacing w:after="0" w:line="170" w:lineRule="exact"/>
        <w:rPr>
          <w:sz w:val="20"/>
          <w:szCs w:val="20"/>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and enroll suitable human subjects, either in the United States or abroad, for our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obtain and maintain necessary regulatory approvals for our products, both in the United States and abroad;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enter into arrangements with third parties to provide services or to manufacture our products on our behalf;</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deploy sales and marketing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We have limited experience with many of the activities listed above and may not be successful in discovering, developing, or commercializing additional drug products. Discovery and development of drug candidates are expensive, uncertain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do not know if our efforts will lead to discovery of any drug candidates that can be successfully developed and marketed. Of the compounds or biologics that we identify as potential drug products or that we may in</w:t>
      </w:r>
      <w:r>
        <w:rPr>
          <w:rFonts w:ascii="MS PGothic" w:cs="MS PGothic" w:eastAsia="MS PGothic" w:hAnsi="MS PGothic"/>
          <w:sz w:val="17"/>
          <w:szCs w:val="17"/>
          <w:color w:val="auto"/>
        </w:rPr>
        <w:t>‑</w:t>
      </w:r>
      <w:r>
        <w:rPr>
          <w:rFonts w:ascii="Arial" w:cs="Arial" w:eastAsia="Arial" w:hAnsi="Arial"/>
          <w:sz w:val="17"/>
          <w:szCs w:val="17"/>
          <w:color w:val="auto"/>
        </w:rPr>
        <w:t>license from other companies, including potential products for which we are conducting clinical trials, only a few, if any, are likely to lead to successful drug development programs and commercialized drug products.</w:t>
      </w: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invested significant resources in the development of our most advanced drug candidates. Ruxolitinib is in Phase II and Phase III clinical trials for the treatment of patients with steroid-refractory acute graft-versus-host disease and is in other clinical trials. Epacadostat was in a number of Phase III clinical trials.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announced that the ECHO-301 study had been stopped because the study did not meet the primary endpoint of improving progression-free survival in the overall population compared to pembrolizumab monotherapy and the study’ s second primary endpoint of overall survival also was not expected to reach statistical significance, and we also significantly downsized the epacadostat development program. If a product is developed but not approved or marketed, we may have spent significant amounts of time and money on it, which could adversely affect our operating results and financial condition as well as our business plans.</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drug candidates may be stopped, due to many potential factors, including:</w:t>
      </w:r>
    </w:p>
    <w:p>
      <w:pPr>
        <w:spacing w:after="0" w:line="189" w:lineRule="exact"/>
        <w:rPr>
          <w:sz w:val="20"/>
          <w:szCs w:val="20"/>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(NDA) of OLUMIANT (baricitinib) as a once-daily oral medication for the treatment of moderate-to-severe rheumatoid arthritis. The letter indicated that the FDA was unable to approve the application in its current form. Specifically, the FDA indicated that additional clinical data are needed to determine the most appropriate doses. The FDA also stated that additional data are necessary to further characterize safety concerns across treatment arms. Moreover, after Lilly announced in December 2017 that the NDA for baricitinib had been resubmitted and included new safety and efficacy data, the FDA convened, in April 2018, its Arthritis Advisory Committee to discuss the resubmission of the baricitinib NDA, which recommended approval of the 2mg dose of baricitinib as a once-daily oral medication for the treatment of moderately-to-severely active rheumatoid arthritis for adult patients who have had an inadequate response or intolerance to methotrexate. While the Advisory Committee unanimously supported the efficacy of the 4mg dose of baricitinib, it did not recommend approval of the 4mg dose of baricitinib for the proposed indication based on the adequacy of the safety and benefit-risk profiles. The FDA action date for baricitinib is in June 2018.</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If clinical trials of any of our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payors of health care costs, which could be affected by current and potential healthcare reform legislation.</w:t>
      </w:r>
    </w:p>
    <w:p>
      <w:pPr>
        <w:spacing w:after="0" w:line="203"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Our ability to commercialize our current and any future approved products successfully will depend in part on the extent to which adequate reimbursement levels for the cost of our products and related treatment are obtained from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insurers, government insurance programs, including Medicare and Medicaid, health maintenance organizations (HMOs) and other health care related organizations.</w:t>
      </w:r>
    </w:p>
    <w:p>
      <w:pPr>
        <w:spacing w:after="0" w:line="20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recent years, through legislative and regulatory actions, the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 Further federal and state proposals to regulate prices of pharmaceutical products and other health care reforms are possible, which could limit the prices that can be charged for any of our products and may further limit the commercial viability of our products and drug candidates. In certain foreign markets, pricing or profitability of prescription pharmaceuticals is subject to government control. If reimbursement for our products is unavailable or limited in scope or amount, or if pricing is set at unsatisfactory levels, our business could be materially harmed. There may be future changes that result in reductions in current coverage and reimbursement levels for our current or any future approved products, and we cannot predict the scope of any future changes or the impact that those changes would have on our operations.</w:t>
      </w:r>
    </w:p>
    <w:p>
      <w:pPr>
        <w:spacing w:after="0" w:line="17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 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208"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continuing efforts of legislatures, health agencies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licensed to Novartis rights to ruxolitinib outside of the United States and worldwide rights to our MET inhibitor compounds and licensed to Lilly worldwide rights to baricitinib. We have also licensed to Pfizer our portfolio of CCR2 antagonist compounds. Under the terms of our agreements with these collaborators, we have no or limited control over the further clinical development of these drug candidates and any revenues we may receive if these drug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receive regulatory approval and are commercialized will depend primarily on the development and commercialization efforts of others. While OLUMIANT (baricitinib)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if the New Drug Application for baricitinib for the treatment of moderate-to-severe rheumatoid arthritis does not receive FDA approval, we will not receive future milestone payments or royalties related to that indication in the United States under our agreement with Lilly. In addition, even if baricitinib is approved by the FDA in this indication, delays in any such approval, or any label modifications or restrictions in connection with any approval by the FDA, European or other regulatory authorities, or the existence of other risks relating to approved drug products, including those described under “Risks Relating to Commercialization of Our Products,” could delay the receipt of and reduce resulting potential royalty and milestone revenue from baricitinib.</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may arise if, among other things, there is a dispute about the achievement and payment of a milestone amount or the ownership of intellectual property that is developed during the course of a collaborative relationship.</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93"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 important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Pfizer collaborations, we have entered into clinical study relationships with respect to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that may adversely affect a licensor’s ability to continue to perform its obligations under an in-license agreement.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Even if any of our drug candidates receives regulatory approval, it could be subject to post</w:t>
      </w:r>
      <w:r>
        <w:rPr>
          <w:rFonts w:ascii="MS PGothic" w:cs="MS PGothic" w:eastAsia="MS PGothic" w:hAnsi="MS PGothic"/>
          <w:sz w:val="16"/>
          <w:szCs w:val="16"/>
          <w:color w:val="auto"/>
        </w:rPr>
        <w:t>‑</w:t>
      </w:r>
      <w:r>
        <w:rPr>
          <w:rFonts w:ascii="Arial" w:cs="Arial" w:eastAsia="Arial" w:hAnsi="Arial"/>
          <w:sz w:val="16"/>
          <w:szCs w:val="16"/>
          <w:color w:val="auto"/>
        </w:rPr>
        <w: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6"/>
          <w:szCs w:val="16"/>
          <w:color w:val="auto"/>
        </w:rPr>
        <w:t>Even if we are successful in gaining regulatory approval of any of our drug candidates in addition to JAKAFI or acquire rights to approved drug products in addition to ICLUSIG, we may not generate significant product revenues and we may not become profitable if these drug products do not achieve an adequate level of acceptance. Physicians may not recommend our drug products until longer</w:t>
      </w:r>
      <w:r>
        <w:rPr>
          <w:rFonts w:ascii="MS PGothic" w:cs="MS PGothic" w:eastAsia="MS PGothic" w:hAnsi="MS PGothic"/>
          <w:sz w:val="16"/>
          <w:szCs w:val="16"/>
          <w:color w:val="auto"/>
        </w:rPr>
        <w:t>‑</w:t>
      </w:r>
      <w:r>
        <w:rPr>
          <w:rFonts w:ascii="Arial" w:cs="Arial" w:eastAsia="Arial" w:hAnsi="Arial"/>
          <w:sz w:val="16"/>
          <w:szCs w:val="16"/>
          <w:color w:val="auto"/>
        </w:rPr>
        <w:t>term clinical data or other factors demonstrate the safety and efficacy of our drug products as compared to other alternative treatments. Even if the clinical safety and efficacy of our drug products is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24" w:lineRule="exact"/>
        <w:rPr>
          <w:sz w:val="20"/>
          <w:szCs w:val="20"/>
          <w:color w:val="auto"/>
        </w:rPr>
      </w:pPr>
      <w:r>
        <w:rPr>
          <w:rFonts w:ascii="Arial" w:cs="Arial" w:eastAsia="Arial" w:hAnsi="Arial"/>
          <w:sz w:val="16"/>
          <w:szCs w:val="16"/>
          <w:color w:val="auto"/>
        </w:rPr>
        <w:t>established, physicians may elect not to prescribe these drug products for a variety of reasons, including the reimbursement policies of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and the effectiveness of our competitors in marketing their products.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w:t>
      </w:r>
    </w:p>
    <w:p>
      <w:pPr>
        <w:spacing w:after="0" w:line="170" w:lineRule="exact"/>
        <w:rPr>
          <w:sz w:val="20"/>
          <w:szCs w:val="20"/>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with acceptable quality and to offer our drug products for sale at competitive prices;</w:t>
      </w:r>
    </w:p>
    <w:p>
      <w:pPr>
        <w:spacing w:after="0" w:line="170" w:lineRule="exact"/>
        <w:rPr>
          <w:rFonts w:ascii="Arial" w:cs="Arial" w:eastAsia="Arial" w:hAnsi="Arial"/>
          <w:sz w:val="18"/>
          <w:szCs w:val="18"/>
          <w:color w:val="auto"/>
        </w:rPr>
      </w:pPr>
    </w:p>
    <w:p>
      <w:pPr>
        <w:ind w:left="980" w:hanging="329"/>
        <w:spacing w:after="0" w:line="224" w:lineRule="exact"/>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w:t>
      </w:r>
      <w:r>
        <w:rPr>
          <w:rFonts w:ascii="MS PGothic" w:cs="MS PGothic" w:eastAsia="MS PGothic" w:hAnsi="MS PGothic"/>
          <w:sz w:val="17"/>
          <w:szCs w:val="17"/>
          <w:color w:val="auto"/>
        </w:rPr>
        <w:t>‑</w:t>
      </w:r>
      <w:r>
        <w:rPr>
          <w:rFonts w:ascii="Arial" w:cs="Arial" w:eastAsia="Arial" w:hAnsi="Arial"/>
          <w:sz w:val="17"/>
          <w:szCs w:val="17"/>
          <w:color w:val="auto"/>
        </w:rPr>
        <w:t>party payors, regarding the safety, efficacy and benefits of our drug products compared to those of competing products or therapies;</w:t>
      </w:r>
    </w:p>
    <w:p>
      <w:pPr>
        <w:spacing w:after="0" w:line="201" w:lineRule="exact"/>
        <w:rPr>
          <w:rFonts w:ascii="Arial" w:cs="Arial" w:eastAsia="Arial" w:hAnsi="Arial"/>
          <w:sz w:val="17"/>
          <w:szCs w:val="17"/>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do not currently operate manufacturing facilities for clinical or commercial production of JAKAFI and our other drug candidates or for ICLUSIG. We currently hire third parties to manufacture the raw materials, active pharmaceutical ingredient, or API, and finished drug product of JAKAFI, ICLUSIG and our other drug candidates for clinical trials.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JAKAFI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JAKAFI, ICLUSIG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color w:val="auto"/>
        </w:rPr>
        <w:t>Our activities, and the activities of our collaborators, partners and third</w:t>
      </w:r>
      <w:r>
        <w:rPr>
          <w:rFonts w:ascii="MS PGothic" w:cs="MS PGothic" w:eastAsia="MS PGothic" w:hAnsi="MS PGothic"/>
          <w:sz w:val="17"/>
          <w:szCs w:val="17"/>
          <w:color w:val="auto"/>
        </w:rPr>
        <w:t>‑</w:t>
      </w:r>
      <w:r>
        <w:rPr>
          <w:rFonts w:ascii="Arial" w:cs="Arial" w:eastAsia="Arial" w:hAnsi="Arial"/>
          <w:sz w:val="17"/>
          <w:szCs w:val="17"/>
          <w:color w:val="auto"/>
        </w:rPr>
        <w:t>party providers, are subject to extensive government regulation and oversight both in the United States and in foreign jurisdictions. The FDA and comparable agencies in other jurisdictions directly regulate many of our most critical business activities, including the conduct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preclinical and clinical studies, product manufacturing, advertising and promotion, product distribution, adverse event reporting and product risk management. States increasingly have been placing greater restrictions on the marketing practices of healthcare companies. In addition, pharmaceutical and biotechnology companies have been the target of lawsuits and investigations alleging violations of government regulations, including claims asserting submission of incorrect pricing information, impermissible off</w:t>
      </w:r>
      <w:r>
        <w:rPr>
          <w:rFonts w:ascii="MS PGothic" w:cs="MS PGothic" w:eastAsia="MS PGothic" w:hAnsi="MS PGothic"/>
          <w:sz w:val="16"/>
          <w:szCs w:val="16"/>
          <w:color w:val="auto"/>
        </w:rPr>
        <w:t>‑</w:t>
      </w:r>
      <w:r>
        <w:rPr>
          <w:rFonts w:ascii="Arial" w:cs="Arial" w:eastAsia="Arial" w:hAnsi="Arial"/>
          <w:sz w:val="16"/>
          <w:szCs w:val="16"/>
          <w:color w:val="auto"/>
        </w:rPr>
        <w:t>label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w:t>
      </w:r>
      <w:r>
        <w:rPr>
          <w:rFonts w:ascii="MS PGothic" w:cs="MS PGothic" w:eastAsia="MS PGothic" w:hAnsi="MS PGothic"/>
          <w:sz w:val="16"/>
          <w:szCs w:val="16"/>
          <w:color w:val="auto"/>
        </w:rPr>
        <w:t>‑</w:t>
      </w:r>
      <w:r>
        <w:rPr>
          <w:rFonts w:ascii="Arial" w:cs="Arial" w:eastAsia="Arial" w:hAnsi="Arial"/>
          <w:sz w:val="16"/>
          <w:szCs w:val="16"/>
          <w:color w:val="auto"/>
        </w:rPr>
        <w:t>bribery or anti</w:t>
      </w:r>
      <w:r>
        <w:rPr>
          <w:rFonts w:ascii="MS PGothic" w:cs="MS PGothic" w:eastAsia="MS PGothic" w:hAnsi="MS PGothic"/>
          <w:sz w:val="16"/>
          <w:szCs w:val="16"/>
          <w:color w:val="auto"/>
        </w:rPr>
        <w:t>‑</w:t>
      </w:r>
      <w:r>
        <w:rPr>
          <w:rFonts w:ascii="Arial" w:cs="Arial" w:eastAsia="Arial" w:hAnsi="Arial"/>
          <w:sz w:val="16"/>
          <w:szCs w:val="16"/>
          <w:color w:val="auto"/>
        </w:rPr>
        <w:t>corruption laws, or violations related to environmental matters. There is also enhanced scrutiny of company-sponsored patient assistance programs, including insurance premium and co-pay assistance programs and donations to third-party charities that provide such assistance. Violations of governmental regulation by us, our vendors or donation recipients may be punishable by criminal and civil sanctions, including fines and civil monetary penalties and exclusion from participation in government programs, including Medicare and Medicaid. In addition to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w:t>
      </w:r>
      <w:r>
        <w:rPr>
          <w:rFonts w:ascii="MS PGothic" w:cs="MS PGothic" w:eastAsia="MS PGothic" w:hAnsi="MS PGothic"/>
          <w:sz w:val="16"/>
          <w:szCs w:val="16"/>
          <w:color w:val="auto"/>
        </w:rPr>
        <w:t>‑</w:t>
      </w:r>
      <w:r>
        <w:rPr>
          <w:rFonts w:ascii="Arial" w:cs="Arial" w:eastAsia="Arial" w:hAnsi="Arial"/>
          <w:sz w:val="16"/>
          <w:szCs w:val="16"/>
          <w:color w:val="auto"/>
        </w:rPr>
        <w:t>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facility in Wilmington, Delaware is our headquarters and is also where we conduct all of our drug discovery, research, development and marketing activities. In addition, natural disasters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unable to manage our growth effectively, our business could be harmed and our ability to execute our business strategy could suffer.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and obtained the exclusive license to develop and commercialize ICLUSIG in Europe and other countries.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year ended December 31, 2017, we recorded unrealized losses related to our investments in Agenus Inc. and Merus N.V., and we may in the future experience additional losses related to our investments. In addition, if we choose to issue shares of our stock as consideration for any acquisition, dilution to our stockholders could result.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associated with the expansion of our operations outside of the United States could adversely affect our business.</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acquisition of ARIAD’s European operations significantly expanded our operations in Europe, and we plan to continue to expand our operations and conduct certain development activities outside of the United States. We have limited experience with conducting activities outside of the United States. International operations and business expansion plans are subject to numerous additional risks, including:</w:t>
      </w:r>
    </w:p>
    <w:p>
      <w:pPr>
        <w:spacing w:after="0" w:line="187" w:lineRule="exact"/>
        <w:rPr>
          <w:sz w:val="20"/>
          <w:szCs w:val="20"/>
          <w:color w:val="auto"/>
        </w:rPr>
      </w:pPr>
    </w:p>
    <w:p>
      <w:pPr>
        <w:jc w:val="both"/>
        <w:ind w:left="98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w:t>
      </w:r>
    </w:p>
    <w:p>
      <w:pPr>
        <w:spacing w:after="0" w:line="181"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w:t>
      </w:r>
      <w:r>
        <w:rPr>
          <w:rFonts w:ascii="MS PGothic" w:cs="MS PGothic" w:eastAsia="MS PGothic" w:hAnsi="MS PGothic"/>
          <w:sz w:val="18"/>
          <w:szCs w:val="18"/>
          <w:color w:val="auto"/>
        </w:rPr>
        <w:t>‑</w:t>
      </w:r>
      <w:r>
        <w:rPr>
          <w:rFonts w:ascii="Arial" w:cs="Arial" w:eastAsia="Arial" w:hAnsi="Arial"/>
          <w:sz w:val="18"/>
          <w:szCs w:val="18"/>
          <w:color w:val="auto"/>
        </w:rPr>
        <w:t>reimbursement regimes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03"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1"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operate, including terrorism and political unrest, curtailment of trade and other business restrictions, and uncertainties associated with the future relationship between the United Kingdom and the European Union;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hanging="329"/>
        <w:spacing w:after="0" w:line="220" w:lineRule="exact"/>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 or similar anti</w:t>
      </w:r>
      <w:r>
        <w:rPr>
          <w:rFonts w:ascii="MS PGothic" w:cs="MS PGothic" w:eastAsia="MS PGothic" w:hAnsi="MS PGothic"/>
          <w:sz w:val="18"/>
          <w:szCs w:val="18"/>
          <w:color w:val="auto"/>
        </w:rPr>
        <w:t>‑</w:t>
      </w:r>
      <w:r>
        <w:rPr>
          <w:rFonts w:ascii="Arial" w:cs="Arial" w:eastAsia="Arial" w:hAnsi="Arial"/>
          <w:sz w:val="18"/>
          <w:szCs w:val="18"/>
          <w:color w:val="auto"/>
        </w:rPr>
        <w:t>bribery or anti</w:t>
      </w:r>
      <w:r>
        <w:rPr>
          <w:rFonts w:ascii="MS PGothic" w:cs="MS PGothic" w:eastAsia="MS PGothic" w:hAnsi="MS PGothic"/>
          <w:sz w:val="18"/>
          <w:szCs w:val="18"/>
          <w:color w:val="auto"/>
        </w:rPr>
        <w:t>‑</w:t>
      </w:r>
      <w:r>
        <w:rPr>
          <w:rFonts w:ascii="Arial" w:cs="Arial" w:eastAsia="Arial" w:hAnsi="Arial"/>
          <w:sz w:val="18"/>
          <w:szCs w:val="18"/>
          <w:color w:val="auto"/>
        </w:rPr>
        <w:t>corruption laws and regulations, such as the U.K. Anti-Bribery Act and the U.K. Criminal Finances Act.</w:t>
      </w:r>
    </w:p>
    <w:p>
      <w:pPr>
        <w:spacing w:after="0" w:line="2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in the future and we may not achieve or maintain profitability in the future.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historical net losses, we had an accumulated deficit of $2.0 billion as of March 31, 2018. We intend to continue to spend significant amounts on our efforts to discover and develop drugs. As a result, we may incur losses in future periods as well.</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for several years, if ever.</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be certain whether or when we will achieve profitability because of the significant uncertainties relating to our ability to generate commercially successful drug products. Even if we are successful in obtaining regulatory approvals for manufacturing and commercializing drug products in addition to JAKAFI and ICLUSIG, we may incur losses if our drug products do not generate significant revenues. If we achieve profitability, we may not be able to sustain or increase profitability.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firstLine="648"/>
        <w:spacing w:after="0" w:line="224" w:lineRule="exact"/>
        <w:rPr>
          <w:sz w:val="20"/>
          <w:szCs w:val="20"/>
          <w:color w:val="auto"/>
        </w:rPr>
      </w:pPr>
      <w:r>
        <w:rPr>
          <w:rFonts w:ascii="Arial" w:cs="Arial" w:eastAsia="Arial" w:hAnsi="Arial"/>
          <w:sz w:val="16"/>
          <w:szCs w:val="16"/>
          <w:color w:val="auto"/>
        </w:rPr>
        <w:t>Our future funding requirements will depend on many factors and we anticipate that we may need to raise additional capital to fund our business plan and research and development efforts going</w:t>
      </w:r>
      <w:r>
        <w:rPr>
          <w:rFonts w:ascii="MS PGothic" w:cs="MS PGothic" w:eastAsia="MS PGothic" w:hAnsi="MS PGothic"/>
          <w:sz w:val="16"/>
          <w:szCs w:val="16"/>
          <w:color w:val="auto"/>
        </w:rPr>
        <w:t>‑</w:t>
      </w:r>
      <w:r>
        <w:rPr>
          <w:rFonts w:ascii="Arial" w:cs="Arial" w:eastAsia="Arial" w:hAnsi="Arial"/>
          <w:sz w:val="16"/>
          <w:szCs w:val="16"/>
          <w:color w:val="auto"/>
        </w:rPr>
        <w:t>forward and to repay our indebtedness.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exercise of any co</w:t>
      </w:r>
      <w:r>
        <w:rPr>
          <w:rFonts w:ascii="MS PGothic" w:cs="MS PGothic" w:eastAsia="MS PGothic" w:hAnsi="MS PGothic"/>
          <w:sz w:val="16"/>
          <w:szCs w:val="16"/>
          <w:color w:val="auto"/>
        </w:rPr>
        <w:t>‑</w:t>
      </w:r>
      <w:r>
        <w:rPr>
          <w:rFonts w:ascii="Arial" w:cs="Arial" w:eastAsia="Arial" w:hAnsi="Arial"/>
          <w:sz w:val="16"/>
          <w:szCs w:val="16"/>
          <w:color w:val="auto"/>
        </w:rPr>
        <w:t>development options with collaborators that may require us to fund future development;</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receipt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additional convertible debt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incur further indebtedness.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corporate bonds and money market funds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current revenues are derived from JAKAFI and ICLUSIG product sales, JAKAVI and OLUMIANT product royalties, collaborations and from licensing our intellectual property. If we are unable to achieve milestones, develop products or renew or enter into new collaborations, our revenues may decrease, and future milestone and royalty payments may not contribute significantly to revenues for several years, and may never result in revenues.</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derived substantially all of our revenues for the three months ended March 31, 2018 from JAKAFI and ICLUSIG product revenues, JAKAVI and OLUMIANT product royalties and our collaborations and licensing our intellectual property to others.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revenue.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7" w:lineRule="exact"/>
        <w:rPr>
          <w:sz w:val="20"/>
          <w:szCs w:val="20"/>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protect our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w:t>
      </w:r>
      <w:r>
        <w:rPr>
          <w:rFonts w:ascii="MS PGothic" w:cs="MS PGothic" w:eastAsia="MS PGothic" w:hAnsi="MS PGothic"/>
          <w:sz w:val="16"/>
          <w:szCs w:val="16"/>
          <w:color w:val="auto"/>
        </w:rPr>
        <w:t>‑</w:t>
      </w:r>
      <w:r>
        <w:rPr>
          <w:rFonts w:ascii="Arial" w:cs="Arial" w:eastAsia="Arial" w:hAnsi="Arial"/>
          <w:sz w:val="16"/>
          <w:szCs w:val="16"/>
          <w:color w:val="auto"/>
        </w:rPr>
        <w:t>infringing technology or license technology on a timely basis or on reasonable terms, our business could be harmed.</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w:t>
      </w:r>
      <w:r>
        <w:rPr>
          <w:rFonts w:ascii="MS PGothic" w:cs="MS PGothic" w:eastAsia="MS PGothic" w:hAnsi="MS PGothic"/>
          <w:sz w:val="18"/>
          <w:szCs w:val="18"/>
          <w:color w:val="auto"/>
        </w:rPr>
        <w:t>‑</w:t>
      </w:r>
      <w:r>
        <w:rPr>
          <w:rFonts w:ascii="Arial" w:cs="Arial" w:eastAsia="Arial" w:hAnsi="Arial"/>
          <w:sz w:val="18"/>
          <w:szCs w:val="18"/>
          <w:color w:val="auto"/>
        </w:rPr>
        <w:t>licensed to us or subject to a collaboration with a third-party, the protection of the intellectual property rights may not be in our hands. If we do not control the intellectual property rights in</w:t>
      </w:r>
      <w:r>
        <w:rPr>
          <w:rFonts w:ascii="MS PGothic" w:cs="MS PGothic" w:eastAsia="MS PGothic" w:hAnsi="MS PGothic"/>
          <w:sz w:val="18"/>
          <w:szCs w:val="18"/>
          <w:color w:val="auto"/>
        </w:rPr>
        <w:t>‑</w:t>
      </w:r>
      <w:r>
        <w:rPr>
          <w:rFonts w:ascii="Arial" w:cs="Arial" w:eastAsia="Arial" w:hAnsi="Arial"/>
          <w:sz w:val="18"/>
          <w:szCs w:val="18"/>
          <w:color w:val="auto"/>
        </w:rPr>
        <w:t>licensed to us with respect to a drug candidate and the entity that controls the intellectual property rights does not adequately protect those rights, our rights may be impaired, which may impact our ability to develop, market and commercialize the in</w:t>
      </w:r>
      <w:r>
        <w:rPr>
          <w:rFonts w:ascii="MS PGothic" w:cs="MS PGothic" w:eastAsia="MS PGothic" w:hAnsi="MS PGothic"/>
          <w:sz w:val="18"/>
          <w:szCs w:val="18"/>
          <w:color w:val="auto"/>
        </w:rPr>
        <w:t>‑</w:t>
      </w:r>
      <w:r>
        <w:rPr>
          <w:rFonts w:ascii="Arial" w:cs="Arial" w:eastAsia="Arial" w:hAnsi="Arial"/>
          <w:sz w:val="18"/>
          <w:szCs w:val="18"/>
          <w:color w:val="auto"/>
        </w:rPr>
        <w:t>licensed drug candidate.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were amended in 1995 to change the term of patent protection from 17 years from patent issuance to 20 years from the earliest effective filing date of the application. Because the time from filing to issuance of biotechnology applications may be more than three years depending on the subject matter, a 20</w:t>
      </w:r>
      <w:r>
        <w:rPr>
          <w:rFonts w:ascii="MS PGothic" w:cs="MS PGothic" w:eastAsia="MS PGothic" w:hAnsi="MS PGothic"/>
          <w:sz w:val="18"/>
          <w:szCs w:val="18"/>
          <w:color w:val="auto"/>
        </w:rPr>
        <w:t>‑</w:t>
      </w:r>
      <w:r>
        <w:rPr>
          <w:rFonts w:ascii="Arial" w:cs="Arial" w:eastAsia="Arial" w:hAnsi="Arial"/>
          <w:sz w:val="18"/>
          <w:szCs w:val="18"/>
          <w:color w:val="auto"/>
        </w:rPr>
        <w:t>year patent term from the filing date may result in substantially shorter patent protection.</w:t>
      </w:r>
    </w:p>
    <w:p>
      <w:pPr>
        <w:spacing w:after="0" w:line="20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recently ruled that isolated DNA sequences cannot be patented. Although we no longer receive significant revenues generated from our former information products business, the majority of our gene patent portfolio from that business consists of patents on isolated DNA sequences, and this ruling limits our ability to derive additional revenues from our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gene patent portfolio. Additionally, the Supreme Court recently resolved a split among the circuit courts of appeals regarding antitrust challenges to settlements of patent infringement lawsuits under the Hatch</w:t>
      </w:r>
      <w:r>
        <w:rPr>
          <w:rFonts w:ascii="MS PGothic" w:cs="MS PGothic" w:eastAsia="MS PGothic" w:hAnsi="MS PGothic"/>
          <w:sz w:val="18"/>
          <w:szCs w:val="18"/>
          <w:color w:val="auto"/>
        </w:rPr>
        <w:t>‑</w:t>
      </w:r>
      <w:r>
        <w:rPr>
          <w:rFonts w:ascii="Arial" w:cs="Arial" w:eastAsia="Arial" w:hAnsi="Arial"/>
          <w:sz w:val="18"/>
          <w:szCs w:val="18"/>
          <w:color w:val="auto"/>
        </w:rPr>
        <w:t>Waxman Act between brand</w:t>
      </w:r>
      <w:r>
        <w:rPr>
          <w:rFonts w:ascii="MS PGothic" w:cs="MS PGothic" w:eastAsia="MS PGothic" w:hAnsi="MS PGothic"/>
          <w:sz w:val="18"/>
          <w:szCs w:val="18"/>
          <w:color w:val="auto"/>
        </w:rPr>
        <w:t>‑</w:t>
      </w:r>
      <w:r>
        <w:rPr>
          <w:rFonts w:ascii="Arial" w:cs="Arial" w:eastAsia="Arial" w:hAnsi="Arial"/>
          <w:sz w:val="18"/>
          <w:szCs w:val="18"/>
          <w:color w:val="auto"/>
        </w:rPr>
        <w:t>name drug companies and generic drug companies. The Court rejected the “scope of the patent” test and ruled that settlements involving “reverse payments” from brand</w:t>
      </w:r>
      <w:r>
        <w:rPr>
          <w:rFonts w:ascii="MS PGothic" w:cs="MS PGothic" w:eastAsia="MS PGothic" w:hAnsi="MS PGothic"/>
          <w:sz w:val="18"/>
          <w:szCs w:val="18"/>
          <w:color w:val="auto"/>
        </w:rPr>
        <w:t>‑</w:t>
      </w:r>
      <w:r>
        <w:rPr>
          <w:rFonts w:ascii="Arial" w:cs="Arial" w:eastAsia="Arial" w:hAnsi="Arial"/>
          <w:sz w:val="18"/>
          <w:szCs w:val="18"/>
          <w:color w:val="auto"/>
        </w:rPr>
        <w:t>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4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For example, there is a patent opposition proceeding in India against our Indian patent that covers the composition of matter and use of certain Janus Kinase inhibitors, including ruxolitinib phosphate, for the treatment of myeloid proliferative disorders, cancer, immune</w:t>
      </w:r>
      <w:r>
        <w:rPr>
          <w:rFonts w:ascii="MS PGothic" w:cs="MS PGothic" w:eastAsia="MS PGothic" w:hAnsi="MS PGothic"/>
          <w:sz w:val="17"/>
          <w:szCs w:val="17"/>
          <w:color w:val="auto"/>
        </w:rPr>
        <w:t>‑</w:t>
      </w:r>
      <w:r>
        <w:rPr>
          <w:rFonts w:ascii="Arial" w:cs="Arial" w:eastAsia="Arial" w:hAnsi="Arial"/>
          <w:sz w:val="17"/>
          <w:szCs w:val="17"/>
          <w:color w:val="auto"/>
        </w:rPr>
        <w:t>related diseases, skin disorders, and other diseases.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currently in the process of enhancing our IT systems to address our planned growth as well as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or could lead to the public exposure of personal information (including personally identifiable information or individually identifiable health information) of our employees, clinical trial patients, customers, business partners, and others.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the European Parliament and the Council of the European Union adopted a comprehensive general data privacy regulation (“GDPR”) in 2016 to replace the current European Union Data Protection Directive and related country-specific legislation. The GDPR will take effect in May 2018 and governs the collection and use of personal data in the European Union.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will also impose strict rules on the transfer of personal data out of the European Union to the United States, will provide an enforcement authority and will impose large penalties for noncompliance, including the potential for fines of up to €20 million or 4% of the annual global revenues of the infringer, whichever is greater.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4"/>
            <w:vMerge w:val="restart"/>
          </w:tcPr>
          <w:p>
            <w:pPr>
              <w:ind w:left="20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78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80" w:type="dxa"/>
            <w:vAlign w:val="bottom"/>
            <w:gridSpan w:val="2"/>
          </w:tcPr>
          <w:p>
            <w:pPr>
              <w:spacing w:after="0"/>
              <w:rPr>
                <w:sz w:val="20"/>
                <w:szCs w:val="20"/>
                <w:color w:val="auto"/>
              </w:rPr>
            </w:pPr>
            <w:r>
              <w:rPr>
                <w:rFonts w:ascii="Arial" w:cs="Arial" w:eastAsia="Arial" w:hAnsi="Arial"/>
                <w:sz w:val="18"/>
                <w:szCs w:val="18"/>
                <w:color w:val="auto"/>
              </w:rPr>
              <w:t>10.1†*</w:t>
            </w:r>
          </w:p>
        </w:tc>
        <w:tc>
          <w:tcPr>
            <w:tcW w:w="78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Amendment No. 1, dated as of March 15, 2018, to Global Collaboration and License Agreement, dated</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6"/>
          </w:tcPr>
          <w:p>
            <w:pPr>
              <w:spacing w:after="0" w:line="196" w:lineRule="exact"/>
              <w:rPr>
                <w:sz w:val="20"/>
                <w:szCs w:val="20"/>
                <w:color w:val="auto"/>
              </w:rPr>
            </w:pPr>
            <w:r>
              <w:rPr>
                <w:rFonts w:ascii="Arial" w:cs="Arial" w:eastAsia="Arial" w:hAnsi="Arial"/>
                <w:sz w:val="18"/>
                <w:szCs w:val="18"/>
                <w:color w:val="0000EE"/>
              </w:rPr>
              <w:t>October 24, 2017, by and between the Company and MacroGenics, Inc.</w:t>
            </w: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51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Rule 13a-14(a) Certification of Chief Executive Officer</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3"/>
              </w:rPr>
              <w:t>Rule 13a-14(a) Certification of Chief Financial Officer</w:t>
            </w:r>
          </w:p>
        </w:tc>
        <w:tc>
          <w:tcPr>
            <w:tcW w:w="40" w:type="dxa"/>
            <w:vAlign w:val="bottom"/>
            <w:tcBorders>
              <w:top w:val="single" w:sz="8" w:color="0000EE"/>
            </w:tcBorders>
          </w:tcPr>
          <w:p>
            <w:pPr>
              <w:spacing w:after="0"/>
              <w:rPr>
                <w:sz w:val="24"/>
                <w:szCs w:val="24"/>
                <w:color w:val="auto"/>
              </w:rPr>
            </w:pPr>
          </w:p>
        </w:tc>
        <w:tc>
          <w:tcPr>
            <w:tcW w:w="3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Statement of the Chief Executive Officer under Section 906 of the Sarbanes-Oxley Act of 2002 (18 U.S.C.</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6"/>
          </w:tcPr>
          <w:p>
            <w:pPr>
              <w:spacing w:after="0" w:line="196" w:lineRule="exact"/>
              <w:rPr>
                <w:sz w:val="20"/>
                <w:szCs w:val="20"/>
                <w:color w:val="auto"/>
              </w:rPr>
            </w:pPr>
            <w:r>
              <w:rPr>
                <w:rFonts w:ascii="Arial" w:cs="Arial" w:eastAsia="Arial" w:hAnsi="Arial"/>
                <w:sz w:val="18"/>
                <w:szCs w:val="18"/>
                <w:color w:val="0000EE"/>
              </w:rPr>
              <w:t>Section 1350)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4"/>
              </w:rPr>
              <w:t>Statement of the Chief Financial Officer under Section 906 of the Sarbanes-Oxley Act of 2002 (18 U.S.C.</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6"/>
          </w:tcPr>
          <w:p>
            <w:pPr>
              <w:spacing w:after="0" w:line="196" w:lineRule="exact"/>
              <w:rPr>
                <w:sz w:val="20"/>
                <w:szCs w:val="20"/>
                <w:color w:val="auto"/>
              </w:rPr>
            </w:pPr>
            <w:r>
              <w:rPr>
                <w:rFonts w:ascii="Arial" w:cs="Arial" w:eastAsia="Arial" w:hAnsi="Arial"/>
                <w:sz w:val="18"/>
                <w:szCs w:val="18"/>
                <w:color w:val="0000EE"/>
              </w:rPr>
              <w:t>Section 1350)</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6"/>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gridSpan w:val="4"/>
          </w:tcPr>
          <w:p>
            <w:pPr>
              <w:ind w:left="220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gridSpan w:val="4"/>
          </w:tcPr>
          <w:p>
            <w:pPr>
              <w:ind w:left="2200"/>
              <w:spacing w:after="0"/>
              <w:rPr>
                <w:sz w:val="20"/>
                <w:szCs w:val="20"/>
                <w:color w:val="auto"/>
              </w:rPr>
            </w:pPr>
            <w:r>
              <w:rPr>
                <w:rFonts w:ascii="Arial" w:cs="Arial" w:eastAsia="Arial" w:hAnsi="Arial"/>
                <w:sz w:val="18"/>
                <w:szCs w:val="18"/>
                <w:color w:val="auto"/>
                <w:w w:val="94"/>
              </w:rPr>
              <w:t>In accordance with Item 601(b)(32)(ii) of Regulation S-K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4"/>
          </w:tcPr>
          <w:p>
            <w:pPr>
              <w:ind w:left="2200"/>
              <w:spacing w:after="0"/>
              <w:rPr>
                <w:sz w:val="20"/>
                <w:szCs w:val="20"/>
                <w:color w:val="auto"/>
              </w:rPr>
            </w:pPr>
            <w:r>
              <w:rPr>
                <w:rFonts w:ascii="Arial" w:cs="Arial" w:eastAsia="Arial" w:hAnsi="Arial"/>
                <w:sz w:val="18"/>
                <w:szCs w:val="18"/>
                <w:color w:val="auto"/>
                <w:w w:val="99"/>
              </w:rPr>
              <w:t>SEC Release No. 34-47986, the certifications furnished in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4"/>
          </w:tcPr>
          <w:p>
            <w:pPr>
              <w:ind w:left="2200"/>
              <w:spacing w:after="0"/>
              <w:rPr>
                <w:sz w:val="20"/>
                <w:szCs w:val="20"/>
                <w:color w:val="auto"/>
              </w:rPr>
            </w:pPr>
            <w:r>
              <w:rPr>
                <w:rFonts w:ascii="Arial" w:cs="Arial" w:eastAsia="Arial" w:hAnsi="Arial"/>
                <w:sz w:val="18"/>
                <w:szCs w:val="18"/>
                <w:color w:val="auto"/>
                <w:w w:val="93"/>
              </w:rPr>
              <w:t>Exhibits 32.1 and 32.2 hereto are deemed to accompany this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4"/>
          </w:tcPr>
          <w:p>
            <w:pPr>
              <w:ind w:left="2200"/>
              <w:spacing w:after="0"/>
              <w:rPr>
                <w:sz w:val="20"/>
                <w:szCs w:val="20"/>
                <w:color w:val="auto"/>
              </w:rPr>
            </w:pPr>
            <w:r>
              <w:rPr>
                <w:rFonts w:ascii="Arial" w:cs="Arial" w:eastAsia="Arial" w:hAnsi="Arial"/>
                <w:sz w:val="18"/>
                <w:szCs w:val="18"/>
                <w:color w:val="auto"/>
              </w:rPr>
              <w:t>Form 10-Q and will not be deemed “filed” for purposes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4"/>
          </w:tcPr>
          <w:p>
            <w:pPr>
              <w:ind w:left="2200"/>
              <w:spacing w:after="0"/>
              <w:rPr>
                <w:sz w:val="20"/>
                <w:szCs w:val="20"/>
                <w:color w:val="auto"/>
              </w:rPr>
            </w:pPr>
            <w:r>
              <w:rPr>
                <w:rFonts w:ascii="Arial" w:cs="Arial" w:eastAsia="Arial" w:hAnsi="Arial"/>
                <w:sz w:val="18"/>
                <w:szCs w:val="18"/>
                <w:color w:val="auto"/>
                <w:w w:val="92"/>
              </w:rPr>
              <w:t>Section 18 of the Exchange Act. Such certifications will not be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80" w:type="dxa"/>
            <w:vAlign w:val="bottom"/>
            <w:gridSpan w:val="4"/>
          </w:tcPr>
          <w:p>
            <w:pPr>
              <w:ind w:left="2200"/>
              <w:spacing w:after="0"/>
              <w:rPr>
                <w:sz w:val="20"/>
                <w:szCs w:val="20"/>
                <w:color w:val="auto"/>
              </w:rPr>
            </w:pPr>
            <w:r>
              <w:rPr>
                <w:rFonts w:ascii="Arial" w:cs="Arial" w:eastAsia="Arial" w:hAnsi="Arial"/>
                <w:sz w:val="18"/>
                <w:szCs w:val="18"/>
                <w:color w:val="auto"/>
                <w:w w:val="94"/>
              </w:rPr>
              <w:t>deemed to be incorporated by reference into any filing under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4"/>
          </w:tcPr>
          <w:p>
            <w:pPr>
              <w:ind w:left="2200"/>
              <w:spacing w:after="0"/>
              <w:rPr>
                <w:sz w:val="20"/>
                <w:szCs w:val="20"/>
                <w:color w:val="auto"/>
              </w:rPr>
            </w:pPr>
            <w:r>
              <w:rPr>
                <w:rFonts w:ascii="Arial" w:cs="Arial" w:eastAsia="Arial" w:hAnsi="Arial"/>
                <w:sz w:val="18"/>
                <w:szCs w:val="18"/>
                <w:color w:val="auto"/>
              </w:rPr>
              <w:t>the Securities Act or the Exchange Act.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60" w:hanging="257"/>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6120" w:type="dxa"/>
            <w:vAlign w:val="bottom"/>
            <w:gridSpan w:val="2"/>
          </w:tcPr>
          <w:p>
            <w:pPr>
              <w:ind w:left="1600"/>
              <w:spacing w:after="0"/>
              <w:rPr>
                <w:sz w:val="20"/>
                <w:szCs w:val="20"/>
                <w:color w:val="auto"/>
              </w:rPr>
            </w:pPr>
            <w:r>
              <w:rPr>
                <w:rFonts w:ascii="Arial" w:cs="Arial" w:eastAsia="Arial" w:hAnsi="Arial"/>
                <w:sz w:val="18"/>
                <w:szCs w:val="18"/>
                <w:color w:val="auto"/>
              </w:rPr>
              <w:t>INCYTE CORPORATION</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Dated: May 1, 2018</w:t>
            </w:r>
          </w:p>
        </w:tc>
        <w:tc>
          <w:tcPr>
            <w:tcW w:w="2000" w:type="dxa"/>
            <w:vAlign w:val="bottom"/>
          </w:tcPr>
          <w:p>
            <w:pPr>
              <w:ind w:left="160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HERVÉ HOPPENOT</w:t>
            </w:r>
          </w:p>
        </w:tc>
      </w:tr>
      <w:tr>
        <w:trPr>
          <w:trHeight w:val="195"/>
        </w:trPr>
        <w:tc>
          <w:tcPr>
            <w:tcW w:w="2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Hervé Hoppenot</w:t>
            </w:r>
          </w:p>
        </w:tc>
      </w:tr>
      <w:tr>
        <w:trPr>
          <w:trHeight w:val="216"/>
        </w:trPr>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29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Dated: May 1, 2018</w:t>
            </w:r>
          </w:p>
        </w:tc>
        <w:tc>
          <w:tcPr>
            <w:tcW w:w="2000" w:type="dxa"/>
            <w:vAlign w:val="bottom"/>
          </w:tcPr>
          <w:p>
            <w:pPr>
              <w:ind w:left="160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GRYSKA</w:t>
            </w:r>
          </w:p>
        </w:tc>
      </w:tr>
      <w:tr>
        <w:trPr>
          <w:trHeight w:val="195"/>
        </w:trPr>
        <w:tc>
          <w:tcPr>
            <w:tcW w:w="2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David W. Gryska</w:t>
            </w:r>
          </w:p>
        </w:tc>
      </w:tr>
      <w:tr>
        <w:trPr>
          <w:trHeight w:val="216"/>
        </w:trPr>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824"/>
        </w:trPr>
        <w:tc>
          <w:tcPr>
            <w:tcW w:w="2940" w:type="dxa"/>
            <w:vAlign w:val="bottom"/>
          </w:tcPr>
          <w:p>
            <w:pPr>
              <w:spacing w:after="0"/>
              <w:rPr>
                <w:sz w:val="24"/>
                <w:szCs w:val="24"/>
                <w:color w:val="auto"/>
              </w:rPr>
            </w:pP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87</w:t>
            </w:r>
          </w:p>
        </w:tc>
        <w:tc>
          <w:tcPr>
            <w:tcW w:w="4120" w:type="dxa"/>
            <w:vAlign w:val="bottom"/>
          </w:tcPr>
          <w:p>
            <w:pPr>
              <w:spacing w:after="0"/>
              <w:rPr>
                <w:sz w:val="24"/>
                <w:szCs w:val="24"/>
                <w:color w:val="auto"/>
              </w:rPr>
            </w:pPr>
          </w:p>
        </w:tc>
      </w:tr>
      <w:tr>
        <w:trPr>
          <w:trHeight w:val="129"/>
        </w:trPr>
        <w:tc>
          <w:tcPr>
            <w:tcW w:w="29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41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7" w:name="page88"/>
    <w:bookmarkEnd w:id="87"/>
    <w:p>
      <w:pPr>
        <w:jc w:val="right"/>
        <w:ind w:right="139"/>
        <w:spacing w:after="0"/>
        <w:rPr>
          <w:sz w:val="20"/>
          <w:szCs w:val="20"/>
          <w:color w:val="auto"/>
        </w:rPr>
      </w:pPr>
      <w:r>
        <w:rPr>
          <w:rFonts w:ascii="Arial" w:cs="Arial" w:eastAsia="Arial" w:hAnsi="Arial"/>
          <w:sz w:val="22"/>
          <w:szCs w:val="22"/>
          <w:b w:val="1"/>
          <w:bCs w:val="1"/>
          <w:color w:val="auto"/>
        </w:rPr>
        <w:t>Exhibit 10.1</w:t>
      </w:r>
    </w:p>
    <w:p>
      <w:pPr>
        <w:spacing w:after="0" w:line="153" w:lineRule="exact"/>
        <w:rPr>
          <w:sz w:val="20"/>
          <w:szCs w:val="20"/>
          <w:color w:val="auto"/>
        </w:rPr>
      </w:pPr>
    </w:p>
    <w:p>
      <w:pPr>
        <w:jc w:val="right"/>
        <w:ind w:right="139"/>
        <w:spacing w:after="0"/>
        <w:rPr>
          <w:sz w:val="20"/>
          <w:szCs w:val="20"/>
          <w:color w:val="auto"/>
        </w:rPr>
      </w:pPr>
      <w:r>
        <w:rPr>
          <w:rFonts w:ascii="Arial" w:cs="Arial" w:eastAsia="Arial" w:hAnsi="Arial"/>
          <w:sz w:val="22"/>
          <w:szCs w:val="22"/>
          <w:b w:val="1"/>
          <w:bCs w:val="1"/>
          <w:u w:val="single" w:color="auto"/>
          <w:color w:val="auto"/>
        </w:rPr>
        <w:t>CONFIDENTIAL TREATMENT MATERIAL</w:t>
      </w:r>
    </w:p>
    <w:p>
      <w:pPr>
        <w:spacing w:after="0" w:line="341" w:lineRule="exact"/>
        <w:rPr>
          <w:sz w:val="20"/>
          <w:szCs w:val="20"/>
          <w:color w:val="auto"/>
        </w:rPr>
      </w:pPr>
    </w:p>
    <w:p>
      <w:pPr>
        <w:ind w:left="160" w:right="179"/>
        <w:spacing w:after="0" w:line="220" w:lineRule="auto"/>
        <w:rPr>
          <w:sz w:val="20"/>
          <w:szCs w:val="20"/>
          <w:color w:val="auto"/>
        </w:rPr>
      </w:pPr>
      <w:r>
        <w:rPr>
          <w:rFonts w:ascii="Arial" w:cs="Arial" w:eastAsia="Arial" w:hAnsi="Arial"/>
          <w:sz w:val="22"/>
          <w:szCs w:val="22"/>
          <w:b w:val="1"/>
          <w:bCs w:val="1"/>
          <w:color w:val="auto"/>
        </w:rPr>
        <w:t xml:space="preserve">CONFIDENTIAL TREATMENT REQUESTED: </w:t>
      </w:r>
      <w:r>
        <w:rPr>
          <w:rFonts w:ascii="Arial" w:cs="Arial" w:eastAsia="Arial" w:hAnsi="Arial"/>
          <w:sz w:val="22"/>
          <w:szCs w:val="22"/>
          <w:b w:val="1"/>
          <w:bCs w:val="1"/>
          <w:i w:val="1"/>
          <w:iCs w:val="1"/>
          <w:color w:val="auto"/>
        </w:rPr>
        <w:t>Information for which confidential</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treatment has been requested is omitted and is noted with asterisks. An unredacted version of this document has been filed separately with the Securities and Exchange Commission (the “Commission”).</w:t>
      </w:r>
    </w:p>
    <w:p>
      <w:pPr>
        <w:spacing w:after="0" w:line="342" w:lineRule="exact"/>
        <w:rPr>
          <w:sz w:val="20"/>
          <w:szCs w:val="20"/>
          <w:color w:val="auto"/>
        </w:rPr>
      </w:pPr>
    </w:p>
    <w:p>
      <w:pPr>
        <w:ind w:left="3800" w:right="719" w:hanging="2420"/>
        <w:spacing w:after="0" w:line="235" w:lineRule="auto"/>
        <w:rPr>
          <w:sz w:val="20"/>
          <w:szCs w:val="20"/>
          <w:color w:val="auto"/>
        </w:rPr>
      </w:pPr>
      <w:r>
        <w:rPr>
          <w:rFonts w:ascii="Arial" w:cs="Arial" w:eastAsia="Arial" w:hAnsi="Arial"/>
          <w:sz w:val="22"/>
          <w:szCs w:val="22"/>
          <w:b w:val="1"/>
          <w:bCs w:val="1"/>
          <w:color w:val="auto"/>
        </w:rPr>
        <w:t>AMENDMENT NO. 1 TO GLOBAL COLLABORATION AND LICENSE AGREEMENT</w:t>
      </w:r>
    </w:p>
    <w:p>
      <w:pPr>
        <w:spacing w:after="0" w:line="159" w:lineRule="exact"/>
        <w:rPr>
          <w:sz w:val="20"/>
          <w:szCs w:val="20"/>
          <w:color w:val="auto"/>
        </w:rPr>
      </w:pPr>
    </w:p>
    <w:p>
      <w:pPr>
        <w:jc w:val="both"/>
        <w:ind w:left="160" w:right="139" w:firstLine="648"/>
        <w:spacing w:after="0" w:line="245" w:lineRule="auto"/>
        <w:rPr>
          <w:sz w:val="20"/>
          <w:szCs w:val="20"/>
          <w:color w:val="auto"/>
        </w:rPr>
      </w:pPr>
      <w:r>
        <w:rPr>
          <w:rFonts w:ascii="Arial" w:cs="Arial" w:eastAsia="Arial" w:hAnsi="Arial"/>
          <w:sz w:val="19"/>
          <w:szCs w:val="19"/>
          <w:color w:val="auto"/>
        </w:rPr>
        <w:t>This Amendment No. 1 to Global Collaboration and License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is dated as of March 15, 2018, by and between </w:t>
      </w:r>
      <w:r>
        <w:rPr>
          <w:rFonts w:ascii="Arial" w:cs="Arial" w:eastAsia="Arial" w:hAnsi="Arial"/>
          <w:sz w:val="19"/>
          <w:szCs w:val="19"/>
          <w:b w:val="1"/>
          <w:bCs w:val="1"/>
          <w:color w:val="auto"/>
        </w:rPr>
        <w:t>INCYTE CORPORATION</w:t>
      </w:r>
      <w:r>
        <w:rPr>
          <w:rFonts w:ascii="Arial" w:cs="Arial" w:eastAsia="Arial" w:hAnsi="Arial"/>
          <w:sz w:val="19"/>
          <w:szCs w:val="19"/>
          <w:color w:val="auto"/>
        </w:rPr>
        <w:t>, a Delaware corporation, having its principal place of business at 1801 Augustine Cut-Off, Wilmington, DE 19803 (hereinafter “</w:t>
      </w:r>
      <w:r>
        <w:rPr>
          <w:rFonts w:ascii="Arial" w:cs="Arial" w:eastAsia="Arial" w:hAnsi="Arial"/>
          <w:sz w:val="19"/>
          <w:szCs w:val="19"/>
          <w:u w:val="single" w:color="auto"/>
          <w:color w:val="auto"/>
        </w:rPr>
        <w:t>Incyte</w:t>
      </w:r>
      <w:r>
        <w:rPr>
          <w:rFonts w:ascii="Arial" w:cs="Arial" w:eastAsia="Arial" w:hAnsi="Arial"/>
          <w:sz w:val="19"/>
          <w:szCs w:val="19"/>
          <w:color w:val="auto"/>
        </w:rPr>
        <w:t xml:space="preserve">”), and </w:t>
      </w:r>
      <w:r>
        <w:rPr>
          <w:rFonts w:ascii="Arial" w:cs="Arial" w:eastAsia="Arial" w:hAnsi="Arial"/>
          <w:sz w:val="19"/>
          <w:szCs w:val="19"/>
          <w:b w:val="1"/>
          <w:bCs w:val="1"/>
          <w:color w:val="auto"/>
        </w:rPr>
        <w:t>MACROGENICS, INC.</w:t>
      </w:r>
      <w:r>
        <w:rPr>
          <w:rFonts w:ascii="Arial" w:cs="Arial" w:eastAsia="Arial" w:hAnsi="Arial"/>
          <w:sz w:val="19"/>
          <w:szCs w:val="19"/>
          <w:color w:val="auto"/>
        </w:rPr>
        <w:t>, a Delaware corporation, having its principal place of business at 9704 Medical Center Drive, Rockville, MD 20850 (“</w:t>
      </w:r>
      <w:r>
        <w:rPr>
          <w:rFonts w:ascii="Arial" w:cs="Arial" w:eastAsia="Arial" w:hAnsi="Arial"/>
          <w:sz w:val="19"/>
          <w:szCs w:val="19"/>
          <w:u w:val="single" w:color="auto"/>
          <w:color w:val="auto"/>
        </w:rPr>
        <w:t>MacroGenics</w:t>
      </w:r>
      <w:r>
        <w:rPr>
          <w:rFonts w:ascii="Arial" w:cs="Arial" w:eastAsia="Arial" w:hAnsi="Arial"/>
          <w:sz w:val="19"/>
          <w:szCs w:val="19"/>
          <w:color w:val="auto"/>
        </w:rPr>
        <w:t>”, together with Incyte, the “</w:t>
      </w:r>
      <w:r>
        <w:rPr>
          <w:rFonts w:ascii="Arial" w:cs="Arial" w:eastAsia="Arial" w:hAnsi="Arial"/>
          <w:sz w:val="19"/>
          <w:szCs w:val="19"/>
          <w:u w:val="single" w:color="auto"/>
          <w:color w:val="auto"/>
        </w:rPr>
        <w:t>Parties</w:t>
      </w:r>
      <w:r>
        <w:rPr>
          <w:rFonts w:ascii="Arial" w:cs="Arial" w:eastAsia="Arial" w:hAnsi="Arial"/>
          <w:sz w:val="19"/>
          <w:szCs w:val="19"/>
          <w:color w:val="auto"/>
        </w:rPr>
        <w:t>” and each separately, a “</w:t>
      </w:r>
      <w:r>
        <w:rPr>
          <w:rFonts w:ascii="Arial" w:cs="Arial" w:eastAsia="Arial" w:hAnsi="Arial"/>
          <w:sz w:val="19"/>
          <w:szCs w:val="19"/>
          <w:u w:val="single" w:color="auto"/>
          <w:color w:val="auto"/>
        </w:rPr>
        <w:t>Party</w:t>
      </w:r>
      <w:r>
        <w:rPr>
          <w:rFonts w:ascii="Arial" w:cs="Arial" w:eastAsia="Arial" w:hAnsi="Arial"/>
          <w:sz w:val="19"/>
          <w:szCs w:val="19"/>
          <w:color w:val="auto"/>
        </w:rPr>
        <w:t>”), and is meant to amend that certain Global Collaboration and License Agreement, dated as of October 24, 2017, between Incyte and MacroGenics (the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used and not otherwise defined herein shall have the meanings ascribed to such terms in the Agreement.</w:t>
      </w:r>
    </w:p>
    <w:p>
      <w:pPr>
        <w:spacing w:after="0" w:line="153" w:lineRule="exact"/>
        <w:rPr>
          <w:sz w:val="20"/>
          <w:szCs w:val="20"/>
          <w:color w:val="auto"/>
        </w:rPr>
      </w:pPr>
    </w:p>
    <w:p>
      <w:pPr>
        <w:jc w:val="both"/>
        <w:ind w:left="160" w:right="159" w:firstLine="648"/>
        <w:spacing w:after="0" w:line="247" w:lineRule="auto"/>
        <w:rPr>
          <w:sz w:val="20"/>
          <w:szCs w:val="20"/>
          <w:color w:val="auto"/>
        </w:rPr>
      </w:pPr>
      <w:r>
        <w:rPr>
          <w:rFonts w:ascii="Arial" w:cs="Arial" w:eastAsia="Arial" w:hAnsi="Arial"/>
          <w:sz w:val="21"/>
          <w:szCs w:val="21"/>
          <w:color w:val="auto"/>
        </w:rPr>
        <w:t>WHEREAS, in Section 4.1(b) of the Agreement, the Parties agreed that MacroGenics would transfer to Incyte all INDs for the Licensed Compound no later than [**];</w:t>
      </w:r>
    </w:p>
    <w:p>
      <w:pPr>
        <w:spacing w:after="0" w:line="151" w:lineRule="exact"/>
        <w:rPr>
          <w:sz w:val="20"/>
          <w:szCs w:val="20"/>
          <w:color w:val="auto"/>
        </w:rPr>
      </w:pPr>
    </w:p>
    <w:p>
      <w:pPr>
        <w:jc w:val="both"/>
        <w:ind w:left="160" w:right="159" w:firstLine="648"/>
        <w:spacing w:after="0" w:line="298" w:lineRule="auto"/>
        <w:rPr>
          <w:sz w:val="20"/>
          <w:szCs w:val="20"/>
          <w:color w:val="auto"/>
        </w:rPr>
      </w:pPr>
      <w:r>
        <w:rPr>
          <w:rFonts w:ascii="Arial" w:cs="Arial" w:eastAsia="Arial" w:hAnsi="Arial"/>
          <w:sz w:val="19"/>
          <w:szCs w:val="19"/>
          <w:color w:val="auto"/>
        </w:rPr>
        <w:t>WHEREAS, in Section 4.1(c) of the Agreement, the Parties agreed that the Parties would jointly cooperate to complete the transfer to Incyte of the Ongoing Clinical Study no later than [**];</w:t>
      </w:r>
    </w:p>
    <w:p>
      <w:pPr>
        <w:spacing w:after="0" w:line="106" w:lineRule="exact"/>
        <w:rPr>
          <w:sz w:val="20"/>
          <w:szCs w:val="20"/>
          <w:color w:val="auto"/>
        </w:rPr>
      </w:pPr>
    </w:p>
    <w:p>
      <w:pPr>
        <w:jc w:val="both"/>
        <w:ind w:left="160" w:right="139" w:firstLine="648"/>
        <w:spacing w:after="0" w:line="218" w:lineRule="auto"/>
        <w:rPr>
          <w:sz w:val="20"/>
          <w:szCs w:val="20"/>
          <w:color w:val="auto"/>
        </w:rPr>
      </w:pPr>
      <w:r>
        <w:rPr>
          <w:rFonts w:ascii="Arial" w:cs="Arial" w:eastAsia="Arial" w:hAnsi="Arial"/>
          <w:sz w:val="22"/>
          <w:szCs w:val="22"/>
          <w:color w:val="auto"/>
        </w:rPr>
        <w:t>WHEREAS, in Section 4.5(a) of the Agreement, the Parties agreed that each Party will require subcontractors it engages to perform Activities under the Agreement to be bound by obligations of confidentiality that are no less restrictive than the confidentiality obligations set in Article 11 of the Agreement; and</w:t>
      </w:r>
    </w:p>
    <w:p>
      <w:pPr>
        <w:spacing w:after="0" w:line="161" w:lineRule="exact"/>
        <w:rPr>
          <w:sz w:val="20"/>
          <w:szCs w:val="20"/>
          <w:color w:val="auto"/>
        </w:rPr>
      </w:pPr>
    </w:p>
    <w:p>
      <w:pPr>
        <w:jc w:val="both"/>
        <w:ind w:left="160" w:right="139" w:firstLine="648"/>
        <w:spacing w:after="0" w:line="223" w:lineRule="auto"/>
        <w:rPr>
          <w:sz w:val="20"/>
          <w:szCs w:val="20"/>
          <w:color w:val="auto"/>
        </w:rPr>
      </w:pPr>
      <w:r>
        <w:rPr>
          <w:rFonts w:ascii="Arial" w:cs="Arial" w:eastAsia="Arial" w:hAnsi="Arial"/>
          <w:sz w:val="22"/>
          <w:szCs w:val="22"/>
          <w:color w:val="auto"/>
        </w:rPr>
        <w:t>WHEREAS, the Parties now mutually agree to extend the dates by which such activities would need to be completed and revise the confidentiality obligations to be required of Third Parties.</w:t>
      </w:r>
    </w:p>
    <w:p>
      <w:pPr>
        <w:spacing w:after="0" w:line="159" w:lineRule="exact"/>
        <w:rPr>
          <w:sz w:val="20"/>
          <w:szCs w:val="20"/>
          <w:color w:val="auto"/>
        </w:rPr>
      </w:pPr>
    </w:p>
    <w:p>
      <w:pPr>
        <w:jc w:val="both"/>
        <w:ind w:left="160" w:right="139" w:firstLine="648"/>
        <w:spacing w:after="0" w:line="223" w:lineRule="auto"/>
        <w:rPr>
          <w:sz w:val="20"/>
          <w:szCs w:val="20"/>
          <w:color w:val="auto"/>
        </w:rPr>
      </w:pPr>
      <w:r>
        <w:rPr>
          <w:rFonts w:ascii="Arial" w:cs="Arial" w:eastAsia="Arial" w:hAnsi="Arial"/>
          <w:sz w:val="22"/>
          <w:szCs w:val="22"/>
          <w:color w:val="auto"/>
        </w:rPr>
        <w:t>NOW, THEREFORE, IN CONSIDERATION of the mutual covenants contained herein, and for other good and valuable consideration the receipt and adequacy of which are hereby acknowledged, the Parties agree as follows:</w:t>
      </w:r>
    </w:p>
    <w:p>
      <w:pPr>
        <w:spacing w:after="0" w:line="159" w:lineRule="exact"/>
        <w:rPr>
          <w:sz w:val="20"/>
          <w:szCs w:val="20"/>
          <w:color w:val="auto"/>
        </w:rPr>
      </w:pPr>
    </w:p>
    <w:p>
      <w:pPr>
        <w:ind w:left="160" w:right="139" w:hanging="9"/>
        <w:spacing w:after="0" w:line="232" w:lineRule="auto"/>
        <w:tabs>
          <w:tab w:leader="none" w:pos="1065"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Amendment of Section 4.1(b)</w:t>
      </w:r>
      <w:r>
        <w:rPr>
          <w:rFonts w:ascii="Arial" w:cs="Arial" w:eastAsia="Arial" w:hAnsi="Arial"/>
          <w:sz w:val="22"/>
          <w:szCs w:val="22"/>
          <w:color w:val="auto"/>
        </w:rPr>
        <w:t>. Section 4.1(b) of the Agreement is hereby amended to replace the first sentence with the following text:</w:t>
      </w:r>
    </w:p>
    <w:p>
      <w:pPr>
        <w:spacing w:after="0" w:line="173" w:lineRule="exact"/>
        <w:rPr>
          <w:sz w:val="20"/>
          <w:szCs w:val="20"/>
          <w:color w:val="auto"/>
        </w:rPr>
      </w:pPr>
    </w:p>
    <w:p>
      <w:pPr>
        <w:jc w:val="both"/>
        <w:ind w:left="800" w:right="159"/>
        <w:spacing w:after="0" w:line="282" w:lineRule="auto"/>
        <w:rPr>
          <w:sz w:val="20"/>
          <w:szCs w:val="20"/>
          <w:color w:val="auto"/>
        </w:rPr>
      </w:pPr>
      <w:r>
        <w:rPr>
          <w:rFonts w:ascii="Arial" w:cs="Arial" w:eastAsia="Arial" w:hAnsi="Arial"/>
          <w:sz w:val="19"/>
          <w:szCs w:val="19"/>
          <w:color w:val="auto"/>
        </w:rPr>
        <w:t>Within [**] after the Effective Date, or such other period defined by the JDC, but in any event no later than [**] (the “</w:t>
      </w:r>
      <w:r>
        <w:rPr>
          <w:rFonts w:ascii="Arial" w:cs="Arial" w:eastAsia="Arial" w:hAnsi="Arial"/>
          <w:sz w:val="19"/>
          <w:szCs w:val="19"/>
          <w:b w:val="1"/>
          <w:bCs w:val="1"/>
          <w:color w:val="auto"/>
        </w:rPr>
        <w:t>IND Transition Date</w:t>
      </w:r>
      <w:r>
        <w:rPr>
          <w:rFonts w:ascii="Arial" w:cs="Arial" w:eastAsia="Arial" w:hAnsi="Arial"/>
          <w:sz w:val="19"/>
          <w:szCs w:val="19"/>
          <w:color w:val="auto"/>
        </w:rPr>
        <w:t>”), MacroGenics shall transfer to Incyte, and Incyte shall cooperate in good faith to support MacroGenics’ transfer of, all INDs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99060</wp:posOffset>
            </wp:positionV>
            <wp:extent cx="554863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8" w:name="page89"/>
    <w:bookmarkEnd w:id="88"/>
    <w:p>
      <w:pPr>
        <w:jc w:val="both"/>
        <w:ind w:left="800" w:right="139"/>
        <w:spacing w:after="0" w:line="225" w:lineRule="auto"/>
        <w:rPr>
          <w:sz w:val="20"/>
          <w:szCs w:val="20"/>
          <w:color w:val="auto"/>
        </w:rPr>
      </w:pPr>
      <w:r>
        <w:rPr>
          <w:rFonts w:ascii="Arial" w:cs="Arial" w:eastAsia="Arial" w:hAnsi="Arial"/>
          <w:sz w:val="22"/>
          <w:szCs w:val="22"/>
          <w:color w:val="auto"/>
        </w:rPr>
        <w:t>the Licensed Compound (the “</w:t>
      </w:r>
      <w:r>
        <w:rPr>
          <w:rFonts w:ascii="Arial" w:cs="Arial" w:eastAsia="Arial" w:hAnsi="Arial"/>
          <w:sz w:val="22"/>
          <w:szCs w:val="22"/>
          <w:b w:val="1"/>
          <w:bCs w:val="1"/>
          <w:color w:val="auto"/>
        </w:rPr>
        <w:t>MGA012 IND</w:t>
      </w:r>
      <w:r>
        <w:rPr>
          <w:rFonts w:ascii="Arial" w:cs="Arial" w:eastAsia="Arial" w:hAnsi="Arial"/>
          <w:sz w:val="22"/>
          <w:szCs w:val="22"/>
          <w:color w:val="auto"/>
        </w:rPr>
        <w:t>”), in accordance with a transition plan to be approved by the JDC promptly after the Effective Date (the “</w:t>
      </w:r>
      <w:r>
        <w:rPr>
          <w:rFonts w:ascii="Arial" w:cs="Arial" w:eastAsia="Arial" w:hAnsi="Arial"/>
          <w:sz w:val="22"/>
          <w:szCs w:val="22"/>
          <w:b w:val="1"/>
          <w:bCs w:val="1"/>
          <w:color w:val="auto"/>
        </w:rPr>
        <w:t>IND Transition</w:t>
      </w:r>
      <w:r>
        <w:rPr>
          <w:rFonts w:ascii="Arial" w:cs="Arial" w:eastAsia="Arial" w:hAnsi="Arial"/>
          <w:sz w:val="22"/>
          <w:szCs w:val="22"/>
          <w:color w:val="auto"/>
        </w:rPr>
        <w:t>”, such transition plan, the “</w:t>
      </w:r>
      <w:r>
        <w:rPr>
          <w:rFonts w:ascii="Arial" w:cs="Arial" w:eastAsia="Arial" w:hAnsi="Arial"/>
          <w:sz w:val="22"/>
          <w:szCs w:val="22"/>
          <w:b w:val="1"/>
          <w:bCs w:val="1"/>
          <w:color w:val="auto"/>
        </w:rPr>
        <w:t>IND Transition Plan</w:t>
      </w:r>
      <w:r>
        <w:rPr>
          <w:rFonts w:ascii="Arial" w:cs="Arial" w:eastAsia="Arial" w:hAnsi="Arial"/>
          <w:sz w:val="22"/>
          <w:szCs w:val="22"/>
          <w:color w:val="auto"/>
        </w:rPr>
        <w:t>”); provided that upon the mutual agreement of the Parties, MacroGenics may continue to conduct regulatory activities (including holding specified INDs) beyond the IND Transition Date that were originally identified by the IND Transition Plan to be transferred to Incyte.</w:t>
      </w:r>
    </w:p>
    <w:p>
      <w:pPr>
        <w:spacing w:after="0" w:line="109" w:lineRule="exact"/>
        <w:rPr>
          <w:sz w:val="20"/>
          <w:szCs w:val="20"/>
          <w:color w:val="auto"/>
        </w:rPr>
      </w:pPr>
    </w:p>
    <w:p>
      <w:pPr>
        <w:ind w:left="160" w:right="159" w:hanging="9"/>
        <w:spacing w:after="0" w:line="239" w:lineRule="auto"/>
        <w:tabs>
          <w:tab w:leader="none" w:pos="1078"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Amendment of Section 4.1(c)</w:t>
      </w:r>
      <w:r>
        <w:rPr>
          <w:rFonts w:ascii="Arial" w:cs="Arial" w:eastAsia="Arial" w:hAnsi="Arial"/>
          <w:sz w:val="22"/>
          <w:szCs w:val="22"/>
          <w:color w:val="auto"/>
        </w:rPr>
        <w:t>. Section 4.1(c) of the Agreement is hereby amended to replace the text of the first sentence with the following text:</w:t>
      </w:r>
    </w:p>
    <w:p>
      <w:pPr>
        <w:spacing w:after="0" w:line="90" w:lineRule="exact"/>
        <w:rPr>
          <w:sz w:val="20"/>
          <w:szCs w:val="20"/>
          <w:color w:val="auto"/>
        </w:rPr>
      </w:pPr>
    </w:p>
    <w:p>
      <w:pPr>
        <w:jc w:val="both"/>
        <w:ind w:left="800" w:right="139"/>
        <w:spacing w:after="0" w:line="257" w:lineRule="auto"/>
        <w:rPr>
          <w:sz w:val="20"/>
          <w:szCs w:val="20"/>
          <w:color w:val="auto"/>
        </w:rPr>
      </w:pPr>
      <w:r>
        <w:rPr>
          <w:rFonts w:ascii="Arial" w:cs="Arial" w:eastAsia="Arial" w:hAnsi="Arial"/>
          <w:sz w:val="19"/>
          <w:szCs w:val="19"/>
          <w:color w:val="auto"/>
        </w:rPr>
        <w:t>MacroGenics and Incyte shall jointly cooperate to complete the transfer to Incyte of the Ongoing Clinical Study, in accordance with a transition plan and budget to be approved by the JDC (the “</w:t>
      </w:r>
      <w:r>
        <w:rPr>
          <w:rFonts w:ascii="Arial" w:cs="Arial" w:eastAsia="Arial" w:hAnsi="Arial"/>
          <w:sz w:val="19"/>
          <w:szCs w:val="19"/>
          <w:b w:val="1"/>
          <w:bCs w:val="1"/>
          <w:color w:val="auto"/>
        </w:rPr>
        <w:t>Study Transition</w:t>
      </w:r>
      <w:r>
        <w:rPr>
          <w:rFonts w:ascii="Arial" w:cs="Arial" w:eastAsia="Arial" w:hAnsi="Arial"/>
          <w:sz w:val="19"/>
          <w:szCs w:val="19"/>
          <w:color w:val="auto"/>
        </w:rPr>
        <w:t>”; such transition plan, the “</w:t>
      </w:r>
      <w:r>
        <w:rPr>
          <w:rFonts w:ascii="Arial" w:cs="Arial" w:eastAsia="Arial" w:hAnsi="Arial"/>
          <w:sz w:val="19"/>
          <w:szCs w:val="19"/>
          <w:b w:val="1"/>
          <w:bCs w:val="1"/>
          <w:color w:val="auto"/>
        </w:rPr>
        <w:t>Study Transition Plan</w:t>
      </w:r>
      <w:r>
        <w:rPr>
          <w:rFonts w:ascii="Arial" w:cs="Arial" w:eastAsia="Arial" w:hAnsi="Arial"/>
          <w:sz w:val="19"/>
          <w:szCs w:val="19"/>
          <w:color w:val="auto"/>
        </w:rPr>
        <w:t>”), but in any event to be completed no later than [**] (the “</w:t>
      </w:r>
      <w:r>
        <w:rPr>
          <w:rFonts w:ascii="Arial" w:cs="Arial" w:eastAsia="Arial" w:hAnsi="Arial"/>
          <w:sz w:val="19"/>
          <w:szCs w:val="19"/>
          <w:b w:val="1"/>
          <w:bCs w:val="1"/>
          <w:color w:val="auto"/>
        </w:rPr>
        <w:t>Study Transition Date</w:t>
      </w:r>
      <w:r>
        <w:rPr>
          <w:rFonts w:ascii="Arial" w:cs="Arial" w:eastAsia="Arial" w:hAnsi="Arial"/>
          <w:sz w:val="19"/>
          <w:szCs w:val="19"/>
          <w:color w:val="auto"/>
        </w:rPr>
        <w:t>”); provided that,</w:t>
      </w:r>
    </w:p>
    <w:p>
      <w:pPr>
        <w:spacing w:after="0" w:line="1" w:lineRule="exact"/>
        <w:rPr>
          <w:sz w:val="20"/>
          <w:szCs w:val="20"/>
          <w:color w:val="auto"/>
        </w:rPr>
      </w:pPr>
    </w:p>
    <w:p>
      <w:pPr>
        <w:jc w:val="both"/>
        <w:ind w:left="800" w:right="139"/>
        <w:spacing w:after="0" w:line="262" w:lineRule="auto"/>
        <w:rPr>
          <w:sz w:val="20"/>
          <w:szCs w:val="20"/>
          <w:color w:val="auto"/>
        </w:rPr>
      </w:pPr>
      <w:r>
        <w:rPr>
          <w:rFonts w:ascii="Arial" w:cs="Arial" w:eastAsia="Arial" w:hAnsi="Arial"/>
          <w:sz w:val="19"/>
          <w:szCs w:val="19"/>
          <w:color w:val="auto"/>
        </w:rPr>
        <w:t>(x) MacroGenics may transfer certain responsibilities with respect to the Ongoing Clinical Study prior to the Study Transition Date, as determined by the JDC and set forth in the Study Transition Plan; and (y) upon the mutual agreement of the Parties, MacroGenics may continue to conduct certain activities beyond the Study Transition Date that were originally identified by the Study Transition Plan to be transferred to Incyte.</w:t>
      </w:r>
    </w:p>
    <w:p>
      <w:pPr>
        <w:spacing w:after="0" w:line="85" w:lineRule="exact"/>
        <w:rPr>
          <w:sz w:val="20"/>
          <w:szCs w:val="20"/>
          <w:color w:val="auto"/>
        </w:rPr>
      </w:pPr>
    </w:p>
    <w:p>
      <w:pPr>
        <w:ind w:left="800" w:right="2059" w:hanging="649"/>
        <w:spacing w:after="0" w:line="379" w:lineRule="auto"/>
        <w:tabs>
          <w:tab w:leader="none" w:pos="80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Amendment of Section 4.5</w:t>
      </w:r>
      <w:r>
        <w:rPr>
          <w:rFonts w:ascii="Arial" w:cs="Arial" w:eastAsia="Arial" w:hAnsi="Arial"/>
          <w:sz w:val="22"/>
          <w:szCs w:val="22"/>
          <w:color w:val="auto"/>
        </w:rPr>
        <w:t xml:space="preserve">. Section 4.5 is replaced with the following: </w:t>
      </w:r>
      <w:r>
        <w:rPr>
          <w:rFonts w:ascii="Arial" w:cs="Arial" w:eastAsia="Arial" w:hAnsi="Arial"/>
          <w:sz w:val="22"/>
          <w:szCs w:val="22"/>
          <w:u w:val="single" w:color="auto"/>
          <w:color w:val="auto"/>
        </w:rPr>
        <w:t>Delegation of Development Activities</w:t>
      </w:r>
      <w:r>
        <w:rPr>
          <w:rFonts w:ascii="Arial" w:cs="Arial" w:eastAsia="Arial" w:hAnsi="Arial"/>
          <w:sz w:val="22"/>
          <w:szCs w:val="22"/>
          <w:color w:val="auto"/>
        </w:rPr>
        <w:t>.</w:t>
      </w:r>
    </w:p>
    <w:p>
      <w:pPr>
        <w:spacing w:after="0" w:line="281" w:lineRule="exact"/>
        <w:rPr>
          <w:sz w:val="20"/>
          <w:szCs w:val="20"/>
          <w:color w:val="auto"/>
        </w:rPr>
      </w:pPr>
    </w:p>
    <w:p>
      <w:pPr>
        <w:jc w:val="both"/>
        <w:ind w:left="160" w:right="139" w:hanging="9"/>
        <w:spacing w:after="0" w:line="223" w:lineRule="auto"/>
        <w:tabs>
          <w:tab w:leader="none" w:pos="593"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Each Party may delegate the performance of any Development activities conducted in accordance with this Article 4 </w:t>
      </w:r>
      <w:r>
        <w:rPr>
          <w:rFonts w:ascii="Arial" w:cs="Arial" w:eastAsia="Arial" w:hAnsi="Arial"/>
          <w:sz w:val="22"/>
          <w:szCs w:val="22"/>
          <w:u w:val="single" w:color="auto"/>
          <w:color w:val="auto"/>
        </w:rPr>
        <w:t>to any bona fide licensee in accordance with Section 3.2 or Third</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Party subcontractor</w:t>
      </w:r>
      <w:r>
        <w:rPr>
          <w:rFonts w:ascii="Arial" w:cs="Arial" w:eastAsia="Arial" w:hAnsi="Arial"/>
          <w:sz w:val="22"/>
          <w:szCs w:val="22"/>
          <w:color w:val="auto"/>
        </w:rPr>
        <w:t>, provided that:</w:t>
      </w:r>
    </w:p>
    <w:p>
      <w:pPr>
        <w:spacing w:after="0" w:line="159" w:lineRule="exact"/>
        <w:rPr>
          <w:sz w:val="20"/>
          <w:szCs w:val="20"/>
          <w:color w:val="auto"/>
        </w:rPr>
      </w:pPr>
    </w:p>
    <w:p>
      <w:pPr>
        <w:jc w:val="both"/>
        <w:ind w:left="160" w:right="139" w:hanging="9"/>
        <w:spacing w:after="0" w:line="245" w:lineRule="auto"/>
        <w:tabs>
          <w:tab w:leader="none" w:pos="424" w:val="left"/>
        </w:tabs>
        <w:numPr>
          <w:ilvl w:val="0"/>
          <w:numId w:val="43"/>
        </w:numPr>
        <w:rPr>
          <w:rFonts w:ascii="Arial" w:cs="Arial" w:eastAsia="Arial" w:hAnsi="Arial"/>
          <w:sz w:val="19"/>
          <w:szCs w:val="19"/>
          <w:color w:val="auto"/>
        </w:rPr>
      </w:pPr>
      <w:r>
        <w:rPr>
          <w:rFonts w:ascii="Arial" w:cs="Arial" w:eastAsia="Arial" w:hAnsi="Arial"/>
          <w:sz w:val="19"/>
          <w:szCs w:val="19"/>
          <w:color w:val="auto"/>
        </w:rPr>
        <w:t>such licensee or subcontractor has entered or shall enter into, prior to performing activities under this Agreement, an appropriate written agreement (“</w:t>
      </w:r>
      <w:r>
        <w:rPr>
          <w:rFonts w:ascii="Arial" w:cs="Arial" w:eastAsia="Arial" w:hAnsi="Arial"/>
          <w:sz w:val="19"/>
          <w:szCs w:val="19"/>
          <w:b w:val="1"/>
          <w:bCs w:val="1"/>
          <w:color w:val="auto"/>
        </w:rPr>
        <w:t>Development Agreement</w:t>
      </w:r>
      <w:r>
        <w:rPr>
          <w:rFonts w:ascii="Arial" w:cs="Arial" w:eastAsia="Arial" w:hAnsi="Arial"/>
          <w:sz w:val="19"/>
          <w:szCs w:val="19"/>
          <w:color w:val="auto"/>
        </w:rPr>
        <w:t>”) that shall require, among other things, such licensee or subcontractor to be bound by obligations of confidentiality that are no less restrictive than the obligations set forth in Article 11, except that the term of confidentiality may have a minimum of [**] of confidentiality after the termination or expiration of such agreement; except that if a Party entered into a Development Agreement prior to the Effective Date and intends to use that agreement to also have services performed under this Agreement, that prior agreement’s confidentiality obligations may have a term with a minimum of at least [**] of confidentiality after the termination or expiration of such agreement; and</w:t>
      </w:r>
    </w:p>
    <w:p>
      <w:pPr>
        <w:spacing w:after="0" w:line="153" w:lineRule="exact"/>
        <w:rPr>
          <w:rFonts w:ascii="Arial" w:cs="Arial" w:eastAsia="Arial" w:hAnsi="Arial"/>
          <w:sz w:val="19"/>
          <w:szCs w:val="19"/>
          <w:color w:val="auto"/>
        </w:rPr>
      </w:pPr>
    </w:p>
    <w:p>
      <w:pPr>
        <w:ind w:left="160" w:right="159" w:hanging="9"/>
        <w:spacing w:after="0" w:line="232" w:lineRule="auto"/>
        <w:tabs>
          <w:tab w:leader="none" w:pos="4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such Party shall oversee the performance of any delegated activities in a manner that would be reasonably expected to result in their successful and timely completion; and</w:t>
      </w:r>
    </w:p>
    <w:p>
      <w:pPr>
        <w:spacing w:after="0" w:line="159" w:lineRule="exact"/>
        <w:rPr>
          <w:sz w:val="20"/>
          <w:szCs w:val="20"/>
          <w:color w:val="auto"/>
        </w:rPr>
      </w:pPr>
    </w:p>
    <w:p>
      <w:pPr>
        <w:ind w:left="160" w:right="139" w:hanging="9"/>
        <w:spacing w:after="0" w:line="232" w:lineRule="auto"/>
        <w:tabs>
          <w:tab w:leader="none" w:pos="490"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such Party shall at all times remain responsible for the performance of such delegated activities as if such activities were performed by such Party.</w:t>
      </w:r>
    </w:p>
    <w:p>
      <w:pPr>
        <w:spacing w:after="0" w:line="159" w:lineRule="exact"/>
        <w:rPr>
          <w:sz w:val="20"/>
          <w:szCs w:val="20"/>
          <w:color w:val="auto"/>
        </w:rPr>
      </w:pPr>
    </w:p>
    <w:p>
      <w:pPr>
        <w:ind w:left="160" w:right="159" w:hanging="9"/>
        <w:spacing w:after="0" w:line="298" w:lineRule="auto"/>
        <w:tabs>
          <w:tab w:leader="none" w:pos="566"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 addition, if Incyte is the delegating Party, Incyte shall require that any Development Agreement executed between Incyte and any of its licensees or Third Party subcontractors shall</w:t>
      </w:r>
    </w:p>
    <w:p>
      <w:pPr>
        <w:spacing w:after="0" w:line="100" w:lineRule="exact"/>
        <w:rPr>
          <w:sz w:val="20"/>
          <w:szCs w:val="20"/>
          <w:color w:val="auto"/>
        </w:rPr>
      </w:pPr>
    </w:p>
    <w:p>
      <w:pPr>
        <w:ind w:left="160" w:right="259" w:hanging="9"/>
        <w:spacing w:after="0" w:line="305" w:lineRule="auto"/>
        <w:tabs>
          <w:tab w:leader="none" w:pos="574"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136525</wp:posOffset>
            </wp:positionV>
            <wp:extent cx="554863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89" w:name="page90"/>
    <w:bookmarkEnd w:id="89"/>
    <w:p>
      <w:pPr>
        <w:jc w:val="both"/>
        <w:ind w:left="160" w:right="139"/>
        <w:spacing w:after="0" w:line="223" w:lineRule="auto"/>
        <w:rPr>
          <w:sz w:val="20"/>
          <w:szCs w:val="20"/>
          <w:color w:val="auto"/>
        </w:rPr>
      </w:pPr>
      <w:r>
        <w:rPr>
          <w:rFonts w:ascii="Arial" w:cs="Arial" w:eastAsia="Arial" w:hAnsi="Arial"/>
          <w:sz w:val="22"/>
          <w:szCs w:val="22"/>
          <w:color w:val="auto"/>
        </w:rPr>
        <w:t>permit the assignment of such agreement, in its entirety, to MacroGenics, upon the termination of this Agreement (other than in connection with Section 12.9), without any objection rights by the applicable licensee or subcontractor. For clarity:</w:t>
      </w:r>
    </w:p>
    <w:p>
      <w:pPr>
        <w:spacing w:after="0" w:line="159" w:lineRule="exact"/>
        <w:rPr>
          <w:sz w:val="20"/>
          <w:szCs w:val="20"/>
          <w:color w:val="auto"/>
        </w:rPr>
      </w:pPr>
    </w:p>
    <w:p>
      <w:pPr>
        <w:jc w:val="both"/>
        <w:ind w:left="160" w:right="139" w:hanging="9"/>
        <w:spacing w:after="0" w:line="223" w:lineRule="auto"/>
        <w:tabs>
          <w:tab w:leader="none" w:pos="430" w:val="left"/>
        </w:tabs>
        <w:numPr>
          <w:ilvl w:val="0"/>
          <w:numId w:val="47"/>
        </w:numPr>
        <w:rPr>
          <w:rFonts w:ascii="Arial" w:cs="Arial" w:eastAsia="Arial" w:hAnsi="Arial"/>
          <w:sz w:val="22"/>
          <w:szCs w:val="22"/>
          <w:color w:val="auto"/>
        </w:rPr>
      </w:pPr>
      <w:r>
        <w:rPr>
          <w:rFonts w:ascii="Arial" w:cs="Arial" w:eastAsia="Arial" w:hAnsi="Arial"/>
          <w:sz w:val="22"/>
          <w:szCs w:val="22"/>
          <w:color w:val="auto"/>
        </w:rPr>
        <w:t>MacroGenics may have funded or supported any MacroGenics Combination Studies and related activities pursuant to this Article 4 as investigator-sponsored Clinical Studies or conducted such Clinical Studies in collaboration with any academic institution; and</w:t>
      </w:r>
    </w:p>
    <w:p>
      <w:pPr>
        <w:spacing w:after="0" w:line="159" w:lineRule="exact"/>
        <w:rPr>
          <w:rFonts w:ascii="Arial" w:cs="Arial" w:eastAsia="Arial" w:hAnsi="Arial"/>
          <w:sz w:val="22"/>
          <w:szCs w:val="22"/>
          <w:color w:val="auto"/>
        </w:rPr>
      </w:pPr>
    </w:p>
    <w:p>
      <w:pPr>
        <w:jc w:val="both"/>
        <w:ind w:left="160" w:right="139" w:hanging="9"/>
        <w:spacing w:after="0" w:line="223" w:lineRule="auto"/>
        <w:tabs>
          <w:tab w:leader="none" w:pos="485"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Incyte may have funded or supported any Monotherapy Studies, Incyte Combination Studies, or related activities pursuant to this Article 4 as investigator-sponsored Clinical Studies or conducted such Clinical Studies in collaboration with any academic institution.</w:t>
      </w:r>
    </w:p>
    <w:p>
      <w:pPr>
        <w:spacing w:after="0" w:line="173" w:lineRule="exact"/>
        <w:rPr>
          <w:sz w:val="20"/>
          <w:szCs w:val="20"/>
          <w:color w:val="auto"/>
        </w:rPr>
      </w:pPr>
    </w:p>
    <w:p>
      <w:pPr>
        <w:ind w:left="860" w:hanging="709"/>
        <w:spacing w:after="0"/>
        <w:tabs>
          <w:tab w:leader="none" w:pos="86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Amendment of Section 11.1</w:t>
      </w:r>
      <w:r>
        <w:rPr>
          <w:rFonts w:ascii="Arial" w:cs="Arial" w:eastAsia="Arial" w:hAnsi="Arial"/>
          <w:sz w:val="19"/>
          <w:szCs w:val="19"/>
          <w:color w:val="auto"/>
        </w:rPr>
        <w:t>. The following paragraph replaces the last sentence of Section</w:t>
      </w:r>
    </w:p>
    <w:p>
      <w:pPr>
        <w:spacing w:after="0" w:line="29"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11.1:</w:t>
      </w:r>
    </w:p>
    <w:p>
      <w:pPr>
        <w:spacing w:after="0" w:line="107" w:lineRule="exact"/>
        <w:rPr>
          <w:sz w:val="20"/>
          <w:szCs w:val="20"/>
          <w:color w:val="auto"/>
        </w:rPr>
      </w:pPr>
    </w:p>
    <w:p>
      <w:pPr>
        <w:jc w:val="both"/>
        <w:ind w:left="800" w:right="139"/>
        <w:spacing w:after="0" w:line="256" w:lineRule="auto"/>
        <w:rPr>
          <w:sz w:val="20"/>
          <w:szCs w:val="20"/>
          <w:color w:val="auto"/>
        </w:rPr>
      </w:pPr>
      <w:r>
        <w:rPr>
          <w:rFonts w:ascii="Arial" w:cs="Arial" w:eastAsia="Arial" w:hAnsi="Arial"/>
          <w:sz w:val="19"/>
          <w:szCs w:val="19"/>
          <w:color w:val="auto"/>
        </w:rPr>
        <w:t>Notwithstanding anything to the contrary in the foregoing, the obligations of confidentiality and non-use with respect to any such Confidential Information that is a Trade Secret shall survive beyond such [**] period to the extent such Confidential Information remains protected as a trade secret under Applicable Law; however, for purposes of Sections 4.5 and 11.3, prior to a Party disclosing a Trade Secret of the other Party to a Third Party, the Party must expressly contractually bind the Third Party to obligations to keep the Trade Secret confidential to the extent protected as a trade secret under Applicable Law. Notwithstanding the prior sentence, in the event that a Party is required by Applicable Law or legal process to disclose a Trade Secret of the other Party, it will, except where impracticable or not legally permitted, give reasonable advance notice to the other Party of such disclosure and use not less than the same efforts to secure confidential treatment of such information as it would to protect its own Trade Secret from disclosure. A “</w:t>
      </w:r>
      <w:r>
        <w:rPr>
          <w:rFonts w:ascii="Arial" w:cs="Arial" w:eastAsia="Arial" w:hAnsi="Arial"/>
          <w:sz w:val="19"/>
          <w:szCs w:val="19"/>
          <w:b w:val="1"/>
          <w:bCs w:val="1"/>
          <w:color w:val="auto"/>
        </w:rPr>
        <w:t>Trade Secret</w:t>
      </w:r>
      <w:r>
        <w:rPr>
          <w:rFonts w:ascii="Arial" w:cs="Arial" w:eastAsia="Arial" w:hAnsi="Arial"/>
          <w:sz w:val="19"/>
          <w:szCs w:val="19"/>
          <w:color w:val="auto"/>
        </w:rPr>
        <w:t>” shall be Confidential Information of a Party that is protected as a trade secret under Applicable Law and such Party has clearly and specifically marked or designated as a trade secret when initially disclosing to the other Party.</w:t>
      </w:r>
    </w:p>
    <w:p>
      <w:pPr>
        <w:spacing w:after="0" w:line="316" w:lineRule="exact"/>
        <w:rPr>
          <w:sz w:val="20"/>
          <w:szCs w:val="20"/>
          <w:color w:val="auto"/>
        </w:rPr>
      </w:pPr>
    </w:p>
    <w:p>
      <w:pPr>
        <w:ind w:left="800" w:hanging="649"/>
        <w:spacing w:after="0"/>
        <w:tabs>
          <w:tab w:leader="none" w:pos="80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Amendment of Section 11.3</w:t>
      </w:r>
      <w:r>
        <w:rPr>
          <w:rFonts w:ascii="Arial" w:cs="Arial" w:eastAsia="Arial" w:hAnsi="Arial"/>
          <w:sz w:val="22"/>
          <w:szCs w:val="22"/>
          <w:color w:val="auto"/>
        </w:rPr>
        <w:t>. The following paragraph is added to Section 11.3:</w:t>
      </w:r>
    </w:p>
    <w:p>
      <w:pPr>
        <w:spacing w:after="0" w:line="125" w:lineRule="exact"/>
        <w:rPr>
          <w:rFonts w:ascii="Arial" w:cs="Arial" w:eastAsia="Arial" w:hAnsi="Arial"/>
          <w:sz w:val="22"/>
          <w:szCs w:val="22"/>
          <w:color w:val="auto"/>
        </w:rPr>
      </w:pPr>
    </w:p>
    <w:p>
      <w:pPr>
        <w:jc w:val="both"/>
        <w:ind w:left="800" w:right="139"/>
        <w:spacing w:after="0" w:line="234" w:lineRule="auto"/>
        <w:rPr>
          <w:rFonts w:ascii="Arial" w:cs="Arial" w:eastAsia="Arial" w:hAnsi="Arial"/>
          <w:sz w:val="22"/>
          <w:szCs w:val="22"/>
          <w:color w:val="auto"/>
        </w:rPr>
      </w:pPr>
      <w:r>
        <w:rPr>
          <w:rFonts w:ascii="Arial" w:cs="Arial" w:eastAsia="Arial" w:hAnsi="Arial"/>
          <w:sz w:val="21"/>
          <w:szCs w:val="21"/>
          <w:color w:val="auto"/>
        </w:rPr>
        <w:t>The Parties acknowledge and agree that, either Party may need to disclose Confidential Information to Third Parties, e.g., investigators, investigational trial sites, vendors, consultants, and licensees for the purposes of this Agreement. In such instances, the Parties acknowledge and agree that such Third Parties must be bound by obligations of confidentiality that are no less restrictive than the obligations set forth in Article 11, except that the term of confidentiality in such agreements may have a minimum of [**] of confidentiality after the termination or expiration of such agreement.</w:t>
      </w:r>
    </w:p>
    <w:p>
      <w:pPr>
        <w:spacing w:after="0" w:line="94" w:lineRule="exact"/>
        <w:rPr>
          <w:rFonts w:ascii="Arial" w:cs="Arial" w:eastAsia="Arial" w:hAnsi="Arial"/>
          <w:sz w:val="22"/>
          <w:szCs w:val="22"/>
          <w:color w:val="auto"/>
        </w:rPr>
      </w:pPr>
    </w:p>
    <w:p>
      <w:pPr>
        <w:jc w:val="both"/>
        <w:ind w:left="160" w:right="139" w:hanging="9"/>
        <w:spacing w:after="0" w:line="268" w:lineRule="auto"/>
        <w:tabs>
          <w:tab w:leader="none" w:pos="101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Costs</w:t>
      </w:r>
      <w:r>
        <w:rPr>
          <w:rFonts w:ascii="Arial" w:cs="Arial" w:eastAsia="Arial" w:hAnsi="Arial"/>
          <w:sz w:val="19"/>
          <w:szCs w:val="19"/>
          <w:color w:val="auto"/>
        </w:rPr>
        <w:t>. For clarity, despite the date changes set forth herein, Section 4.1(d) shall remain unchanged and Incyte shall continue to bear any and all FTE Costs and Third Party Expenses incurred by MacroGenics following the Effective Date directly related to the Ongoing Clinical</w:t>
      </w:r>
    </w:p>
    <w:p>
      <w:pPr>
        <w:spacing w:after="0" w:line="126" w:lineRule="exact"/>
        <w:rPr>
          <w:sz w:val="20"/>
          <w:szCs w:val="20"/>
          <w:color w:val="auto"/>
        </w:rPr>
      </w:pPr>
    </w:p>
    <w:p>
      <w:pPr>
        <w:ind w:left="160" w:right="259" w:hanging="9"/>
        <w:spacing w:after="0" w:line="305" w:lineRule="auto"/>
        <w:tabs>
          <w:tab w:leader="none" w:pos="574"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136525</wp:posOffset>
            </wp:positionV>
            <wp:extent cx="554863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sectPr>
      </w:pPr>
    </w:p>
    <w:bookmarkStart w:id="90" w:name="page91"/>
    <w:bookmarkEnd w:id="90"/>
    <w:p>
      <w:pPr>
        <w:ind w:left="160" w:right="159"/>
        <w:spacing w:after="0" w:line="232" w:lineRule="auto"/>
        <w:rPr>
          <w:sz w:val="20"/>
          <w:szCs w:val="20"/>
          <w:color w:val="auto"/>
        </w:rPr>
      </w:pPr>
      <w:r>
        <w:rPr>
          <w:rFonts w:ascii="Arial" w:cs="Arial" w:eastAsia="Arial" w:hAnsi="Arial"/>
          <w:sz w:val="22"/>
          <w:szCs w:val="22"/>
          <w:color w:val="auto"/>
        </w:rPr>
        <w:t>Study in accordance with the Study Transition Plan, other than any costs specifically related and allocable to any MacroGenics Combination Regimen.</w:t>
      </w:r>
    </w:p>
    <w:p>
      <w:pPr>
        <w:spacing w:after="0" w:line="159" w:lineRule="exact"/>
        <w:rPr>
          <w:sz w:val="20"/>
          <w:szCs w:val="20"/>
          <w:color w:val="auto"/>
        </w:rPr>
      </w:pPr>
    </w:p>
    <w:p>
      <w:pPr>
        <w:jc w:val="both"/>
        <w:ind w:left="160" w:right="139" w:hanging="9"/>
        <w:spacing w:after="0" w:line="257" w:lineRule="auto"/>
        <w:tabs>
          <w:tab w:leader="none" w:pos="97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Agreement, as supplemented and modified by this Amendment, together with the exhibits thereto, contains the entire understanding of the parties with respect to the subject matter hereof and supersedes all prior agreements and understandings, oral or written, with respect to such matters, which the parties acknowledge have been merged into the Agreement.</w:t>
      </w:r>
    </w:p>
    <w:p>
      <w:pPr>
        <w:spacing w:after="0" w:line="144" w:lineRule="exact"/>
        <w:rPr>
          <w:rFonts w:ascii="Arial" w:cs="Arial" w:eastAsia="Arial" w:hAnsi="Arial"/>
          <w:sz w:val="19"/>
          <w:szCs w:val="19"/>
          <w:color w:val="auto"/>
        </w:rPr>
      </w:pPr>
    </w:p>
    <w:p>
      <w:pPr>
        <w:jc w:val="both"/>
        <w:ind w:left="160" w:right="159" w:hanging="9"/>
        <w:spacing w:after="0" w:line="223" w:lineRule="auto"/>
        <w:tabs>
          <w:tab w:leader="none" w:pos="83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under the laws of the State of New York, without giving effect to any choice of law principles that would require the application of the laws of a different state.</w:t>
      </w:r>
    </w:p>
    <w:p>
      <w:pPr>
        <w:spacing w:after="0" w:line="159" w:lineRule="exact"/>
        <w:rPr>
          <w:rFonts w:ascii="Arial" w:cs="Arial" w:eastAsia="Arial" w:hAnsi="Arial"/>
          <w:sz w:val="22"/>
          <w:szCs w:val="22"/>
          <w:color w:val="auto"/>
        </w:rPr>
      </w:pPr>
    </w:p>
    <w:p>
      <w:pPr>
        <w:jc w:val="both"/>
        <w:ind w:left="160" w:right="139" w:hanging="9"/>
        <w:spacing w:after="0" w:line="216" w:lineRule="auto"/>
        <w:tabs>
          <w:tab w:leader="none" w:pos="1213"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Amendment may be executed in two (2) or more counterparts, each of which shall be deemed an original, but all of which together shall constitute one and the same instrument. This Agreement may be executed by .pdf or other electronically transmitted signatures and such signatures shall be deemed to bind each Party as if they were the original signatures.</w:t>
      </w:r>
    </w:p>
    <w:p>
      <w:pPr>
        <w:spacing w:after="0" w:line="158" w:lineRule="exact"/>
        <w:rPr>
          <w:rFonts w:ascii="Arial" w:cs="Arial" w:eastAsia="Arial" w:hAnsi="Arial"/>
          <w:sz w:val="22"/>
          <w:szCs w:val="22"/>
          <w:color w:val="auto"/>
        </w:rPr>
      </w:pPr>
    </w:p>
    <w:p>
      <w:pPr>
        <w:ind w:left="160" w:right="159" w:hanging="9"/>
        <w:spacing w:after="0" w:line="232" w:lineRule="auto"/>
        <w:tabs>
          <w:tab w:leader="none" w:pos="102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Remaining Provisions of the Agreement</w:t>
      </w:r>
      <w:r>
        <w:rPr>
          <w:rFonts w:ascii="Arial" w:cs="Arial" w:eastAsia="Arial" w:hAnsi="Arial"/>
          <w:sz w:val="22"/>
          <w:szCs w:val="22"/>
          <w:color w:val="auto"/>
        </w:rPr>
        <w:t>. Except as provided herein, each of the other provisions of the Agreement shall remain in full force and effect.</w:t>
      </w:r>
    </w:p>
    <w:p>
      <w:pPr>
        <w:spacing w:after="0" w:line="159" w:lineRule="exact"/>
        <w:rPr>
          <w:rFonts w:ascii="Arial" w:cs="Arial" w:eastAsia="Arial" w:hAnsi="Arial"/>
          <w:sz w:val="22"/>
          <w:szCs w:val="22"/>
          <w:color w:val="auto"/>
        </w:rPr>
      </w:pPr>
    </w:p>
    <w:p>
      <w:pPr>
        <w:jc w:val="both"/>
        <w:ind w:left="160" w:right="139" w:hanging="9"/>
        <w:spacing w:after="0" w:line="234" w:lineRule="auto"/>
        <w:tabs>
          <w:tab w:leader="none" w:pos="93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References</w:t>
      </w:r>
      <w:r>
        <w:rPr>
          <w:rFonts w:ascii="Arial" w:cs="Arial" w:eastAsia="Arial" w:hAnsi="Arial"/>
          <w:sz w:val="21"/>
          <w:szCs w:val="21"/>
          <w:color w:val="auto"/>
        </w:rPr>
        <w:t>. Upon the effectiveness of this Amendment, on and after the date hereof, each reference in the Agreement to “this Agreement,” “hereunder,” “hereof,” “herein” or words of like import shall mean and be a reference to the Agreement, as amended hereby.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 page follows]</w:t>
      </w:r>
    </w:p>
    <w:p>
      <w:pPr>
        <w:spacing w:after="0" w:line="173" w:lineRule="exact"/>
        <w:rPr>
          <w:sz w:val="20"/>
          <w:szCs w:val="20"/>
          <w:color w:val="auto"/>
        </w:rPr>
      </w:pPr>
    </w:p>
    <w:p>
      <w:pPr>
        <w:ind w:left="160" w:right="259" w:hanging="9"/>
        <w:spacing w:after="0" w:line="305" w:lineRule="auto"/>
        <w:tabs>
          <w:tab w:leader="none" w:pos="574"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136525</wp:posOffset>
            </wp:positionV>
            <wp:extent cx="554863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sectPr>
      </w:pPr>
    </w:p>
    <w:bookmarkStart w:id="91" w:name="page92"/>
    <w:bookmarkEnd w:id="91"/>
    <w:p>
      <w:pPr>
        <w:jc w:val="both"/>
        <w:ind w:left="160" w:right="139"/>
        <w:spacing w:after="0" w:line="223" w:lineRule="auto"/>
        <w:rPr>
          <w:sz w:val="20"/>
          <w:szCs w:val="20"/>
          <w:color w:val="auto"/>
        </w:rPr>
      </w:pPr>
      <w:r>
        <w:rPr>
          <w:rFonts w:ascii="Arial" w:cs="Arial" w:eastAsia="Arial" w:hAnsi="Arial"/>
          <w:sz w:val="22"/>
          <w:szCs w:val="22"/>
          <w:color w:val="auto"/>
        </w:rPr>
        <w:t>IN WITNESS WHEREOF, the parties hereto have caused this Amendment No. 1 to Global Collaboration and License Agreement to be duly executed by their respective authorized signatories effective as of the date first indicated above.</w:t>
      </w:r>
    </w:p>
    <w:p>
      <w:pPr>
        <w:spacing w:after="0" w:line="200" w:lineRule="exact"/>
        <w:rPr>
          <w:sz w:val="20"/>
          <w:szCs w:val="20"/>
          <w:color w:val="auto"/>
        </w:rPr>
      </w:pPr>
    </w:p>
    <w:p>
      <w:pPr>
        <w:spacing w:after="0" w:line="399"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MACROGENICS,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 /s/ Scott Koenig______________________________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-17780</wp:posOffset>
            </wp:positionV>
            <wp:extent cx="9188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18845" cy="8890"/>
                    </a:xfrm>
                    <a:prstGeom prst="rect">
                      <a:avLst/>
                    </a:prstGeom>
                    <a:noFill/>
                  </pic:spPr>
                </pic:pic>
              </a:graphicData>
            </a:graphic>
          </wp:anchor>
        </w:drawing>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Name: Scott Koenig</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INCYTE CORPORATION</w:t>
      </w:r>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 /s/ Hervé Hoppenot____________________________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-17780</wp:posOffset>
            </wp:positionV>
            <wp:extent cx="11087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Name: Hervé Hoppenot</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right="259" w:hanging="9"/>
        <w:spacing w:after="0" w:line="305" w:lineRule="auto"/>
        <w:tabs>
          <w:tab w:leader="none" w:pos="57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136525</wp:posOffset>
            </wp:positionV>
            <wp:extent cx="554863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Hervé Hoppenot, certify that:</w:t>
      </w:r>
    </w:p>
    <w:p>
      <w:pPr>
        <w:spacing w:after="0" w:line="144" w:lineRule="exact"/>
        <w:rPr>
          <w:sz w:val="20"/>
          <w:szCs w:val="20"/>
          <w:color w:val="auto"/>
        </w:rPr>
      </w:pPr>
    </w:p>
    <w:p>
      <w:pPr>
        <w:ind w:left="500" w:hanging="497"/>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44" w:lineRule="exact"/>
        <w:rPr>
          <w:rFonts w:ascii="Arial" w:cs="Arial" w:eastAsia="Arial" w:hAnsi="Arial"/>
          <w:sz w:val="18"/>
          <w:szCs w:val="18"/>
          <w:color w:val="auto"/>
        </w:rPr>
      </w:pPr>
    </w:p>
    <w:p>
      <w:pPr>
        <w:jc w:val="both"/>
        <w:ind w:left="500" w:right="20" w:hanging="497"/>
        <w:spacing w:after="0" w:line="224"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120" w:hanging="497"/>
        <w:spacing w:after="0" w:line="224"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260" w:hanging="497"/>
        <w:spacing w:after="0" w:line="23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1020" w:right="80" w:hanging="504"/>
        <w:spacing w:after="0" w:line="219"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020" w:right="60" w:hanging="504"/>
        <w:spacing w:after="0" w:line="219"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020" w:right="240" w:hanging="504"/>
        <w:spacing w:after="0" w:line="224"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020" w:right="160" w:hanging="504"/>
        <w:spacing w:after="0" w:line="219"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20" w:hanging="497"/>
        <w:spacing w:after="0" w:line="224"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020" w:right="20" w:hanging="504"/>
        <w:spacing w:after="0" w:line="224"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020" w:right="140" w:hanging="504"/>
        <w:spacing w:after="0" w:line="235"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1, 2018</w:t>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Hervé Hoppenot</w:t>
      </w: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David W. Gryska, certify that:</w:t>
      </w:r>
    </w:p>
    <w:p>
      <w:pPr>
        <w:spacing w:after="0" w:line="144" w:lineRule="exact"/>
        <w:rPr>
          <w:sz w:val="20"/>
          <w:szCs w:val="20"/>
          <w:color w:val="auto"/>
        </w:rPr>
      </w:pPr>
    </w:p>
    <w:p>
      <w:pPr>
        <w:ind w:left="500" w:hanging="497"/>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44" w:lineRule="exact"/>
        <w:rPr>
          <w:rFonts w:ascii="Arial" w:cs="Arial" w:eastAsia="Arial" w:hAnsi="Arial"/>
          <w:sz w:val="18"/>
          <w:szCs w:val="18"/>
          <w:color w:val="auto"/>
        </w:rPr>
      </w:pPr>
    </w:p>
    <w:p>
      <w:pPr>
        <w:jc w:val="both"/>
        <w:ind w:left="500" w:right="20" w:hanging="497"/>
        <w:spacing w:after="0" w:line="224"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120" w:hanging="497"/>
        <w:spacing w:after="0" w:line="224"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260" w:hanging="497"/>
        <w:spacing w:after="0" w:line="23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1020" w:right="80" w:hanging="504"/>
        <w:spacing w:after="0" w:line="219"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020" w:right="60" w:hanging="504"/>
        <w:spacing w:after="0" w:line="219"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020" w:right="240" w:hanging="504"/>
        <w:spacing w:after="0" w:line="224"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020" w:right="160" w:hanging="504"/>
        <w:spacing w:after="0" w:line="219"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20" w:hanging="497"/>
        <w:spacing w:after="0" w:line="224"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020" w:right="20" w:hanging="504"/>
        <w:spacing w:after="0" w:line="224"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020" w:right="140" w:hanging="504"/>
        <w:spacing w:after="0" w:line="235"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1, 2018</w:t>
      </w:r>
    </w:p>
    <w:p>
      <w:pPr>
        <w:spacing w:after="0" w:line="14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W. GRYSKA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David W. Gryska</w:t>
      </w: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28"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March 31, 2018,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22" w:lineRule="exact"/>
        <w:rPr>
          <w:sz w:val="20"/>
          <w:szCs w:val="20"/>
          <w:color w:val="auto"/>
        </w:rPr>
      </w:pPr>
    </w:p>
    <w:p>
      <w:pPr>
        <w:ind w:left="340" w:hanging="337"/>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20" w:right="360" w:hanging="317"/>
        <w:spacing w:after="0" w:line="235" w:lineRule="auto"/>
        <w:tabs>
          <w:tab w:leader="none" w:pos="34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Hervé Hoppenot</w:t>
      </w:r>
    </w:p>
    <w:p>
      <w:pPr>
        <w:ind w:left="4540"/>
        <w:spacing w:after="0" w:line="203"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May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664845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28"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March 31, 2018, as filed with the Securities and Exchange Commission on the date hereof (the “Report”), I, David W. Gryska, Chief Financial Officer of the Company, certify, for the purposes of 18 U.S.C. § 1350, as adopted pursuant to § 906 of the Sarbanes-Oxley Act of 2002, that, to my knowledge:</w:t>
      </w:r>
    </w:p>
    <w:p>
      <w:pPr>
        <w:spacing w:after="0" w:line="122" w:lineRule="exact"/>
        <w:rPr>
          <w:sz w:val="20"/>
          <w:szCs w:val="20"/>
          <w:color w:val="auto"/>
        </w:rPr>
      </w:pPr>
    </w:p>
    <w:p>
      <w:pPr>
        <w:ind w:left="340" w:hanging="337"/>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20" w:right="360" w:hanging="317"/>
        <w:spacing w:after="0" w:line="235" w:lineRule="auto"/>
        <w:tabs>
          <w:tab w:leader="none" w:pos="34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W. GRYSKA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David W. Gryska</w:t>
      </w:r>
    </w:p>
    <w:p>
      <w:pPr>
        <w:ind w:left="4540"/>
        <w:spacing w:after="0" w:line="203"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May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2"/>
    </w:lvl>
  </w:abstractNum>
  <w:abstractNum w:abstractNumId="5">
    <w:nsid w:val="737B8DDC"/>
    <w:multiLevelType w:val="hybridMultilevel"/>
    <w:lvl w:ilvl="0">
      <w:lvlJc w:val="left"/>
      <w:lvlText w:val="(%1)"/>
      <w:numFmt w:val="lowerRoman"/>
      <w:start w:val="1"/>
    </w:lvl>
  </w:abstractNum>
  <w:abstractNum w:abstractNumId="6">
    <w:nsid w:val="6CEAF087"/>
    <w:multiLevelType w:val="hybridMultilevel"/>
    <w:lvl w:ilvl="0">
      <w:lvlJc w:val="left"/>
      <w:lvlText w:val="%1."/>
      <w:numFmt w:val="decimal"/>
      <w:start w:val="3"/>
    </w:lvl>
  </w:abstractNum>
  <w:abstractNum w:abstractNumId="7">
    <w:nsid w:val="22221A70"/>
    <w:multiLevelType w:val="hybridMultilevel"/>
    <w:lvl w:ilvl="0">
      <w:lvlJc w:val="left"/>
      <w:lvlText w:val="%1."/>
      <w:numFmt w:val="decimal"/>
      <w:start w:val="4"/>
    </w:lvl>
  </w:abstractNum>
  <w:abstractNum w:abstractNumId="8">
    <w:nsid w:val="4516DDE9"/>
    <w:multiLevelType w:val="hybridMultilevel"/>
    <w:lvl w:ilvl="0">
      <w:lvlJc w:val="left"/>
      <w:lvlText w:val="%1."/>
      <w:numFmt w:val="decimal"/>
      <w:start w:val="5"/>
    </w:lvl>
  </w:abstractNum>
  <w:abstractNum w:abstractNumId="9">
    <w:nsid w:val="3006C83E"/>
    <w:multiLevelType w:val="hybridMultilevel"/>
    <w:lvl w:ilvl="0">
      <w:lvlJc w:val="left"/>
      <w:lvlText w:val="%1."/>
      <w:numFmt w:val="decimal"/>
      <w:start w:val="8"/>
    </w:lvl>
  </w:abstractNum>
  <w:abstractNum w:abstractNumId="10">
    <w:nsid w:val="614FD4A1"/>
    <w:multiLevelType w:val="hybridMultilevel"/>
    <w:lvl w:ilvl="0">
      <w:lvlJc w:val="left"/>
      <w:lvlText w:val="%1."/>
      <w:numFmt w:val="decimal"/>
      <w:start w:val="10"/>
    </w:lvl>
  </w:abstractNum>
  <w:abstractNum w:abstractNumId="11">
    <w:nsid w:val="419AC241"/>
    <w:multiLevelType w:val="hybridMultilevel"/>
    <w:lvl w:ilvl="0">
      <w:lvlJc w:val="left"/>
      <w:lvlText w:val="%1."/>
      <w:numFmt w:val="decimal"/>
      <w:start w:val="11"/>
    </w:lvl>
  </w:abstractNum>
  <w:abstractNum w:abstractNumId="12">
    <w:nsid w:val="5577F8E1"/>
    <w:multiLevelType w:val="hybridMultilevel"/>
    <w:lvl w:ilvl="0">
      <w:lvlJc w:val="left"/>
      <w:lvlText w:val="%1."/>
      <w:numFmt w:val="decimal"/>
      <w:start w:val="12"/>
    </w:lvl>
  </w:abstractNum>
  <w:abstractNum w:abstractNumId="13">
    <w:nsid w:val="440BADFC"/>
    <w:multiLevelType w:val="hybridMultilevel"/>
    <w:lvl w:ilvl="0">
      <w:lvlJc w:val="left"/>
      <w:lvlText w:val="%1."/>
      <w:numFmt w:val="decimal"/>
      <w:start w:val="13"/>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lowerRoman"/>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2"/>
    </w:lvl>
  </w:abstractNum>
  <w:abstractNum w:abstractNumId="40">
    <w:nsid w:val="684A481A"/>
    <w:multiLevelType w:val="hybridMultilevel"/>
    <w:lvl w:ilvl="0">
      <w:lvlJc w:val="left"/>
      <w:lvlText w:val="%1."/>
      <w:numFmt w:val="decimal"/>
      <w:start w:val="3"/>
    </w:lvl>
  </w:abstractNum>
  <w:abstractNum w:abstractNumId="41">
    <w:nsid w:val="579478FE"/>
    <w:multiLevelType w:val="hybridMultilevel"/>
    <w:lvl w:ilvl="0">
      <w:lvlJc w:val="left"/>
      <w:lvlText w:val="(%1)"/>
      <w:numFmt w:val="upperLetter"/>
      <w:start w:val="1"/>
    </w:lvl>
  </w:abstractNum>
  <w:abstractNum w:abstractNumId="42">
    <w:nsid w:val="749ABB43"/>
    <w:multiLevelType w:val="hybridMultilevel"/>
    <w:lvl w:ilvl="0">
      <w:lvlJc w:val="left"/>
      <w:lvlText w:val="(%1)"/>
      <w:numFmt w:val="lowerRoman"/>
      <w:start w:val="1"/>
    </w:lvl>
  </w:abstractNum>
  <w:abstractNum w:abstractNumId="43">
    <w:nsid w:val="3DC240FB"/>
    <w:multiLevelType w:val="hybridMultilevel"/>
    <w:lvl w:ilvl="0">
      <w:lvlJc w:val="left"/>
      <w:lvlText w:val="(%1)"/>
      <w:numFmt w:val="lowerRoman"/>
      <w:start w:val="2"/>
    </w:lvl>
  </w:abstractNum>
  <w:abstractNum w:abstractNumId="44">
    <w:nsid w:val="1BA026FA"/>
    <w:multiLevelType w:val="hybridMultilevel"/>
    <w:lvl w:ilvl="0">
      <w:lvlJc w:val="left"/>
      <w:lvlText w:val="(%1)"/>
      <w:numFmt w:val="upperLetter"/>
      <w:start w:val="2"/>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lowerRoman"/>
      <w:start w:val="1"/>
    </w:lvl>
  </w:abstractNum>
  <w:abstractNum w:abstractNumId="47">
    <w:nsid w:val="12E685FB"/>
    <w:multiLevelType w:val="hybridMultilevel"/>
    <w:lvl w:ilvl="0">
      <w:lvlJc w:val="left"/>
      <w:lvlText w:val="%1."/>
      <w:numFmt w:val="decimal"/>
      <w:start w:val="4"/>
    </w:lvl>
  </w:abstractNum>
  <w:abstractNum w:abstractNumId="48">
    <w:nsid w:val="70C6A529"/>
    <w:multiLevelType w:val="hybridMultilevel"/>
    <w:lvl w:ilvl="0">
      <w:lvlJc w:val="left"/>
      <w:lvlText w:val="%1."/>
      <w:numFmt w:val="decimal"/>
      <w:start w:val="5"/>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7"/>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2019-12-05T22:41:44Z</dcterms:created>
  <dcterms:modified xsi:type="dcterms:W3CDTF">2019-12-05T22:41:44Z</dcterms:modified>
</cp:coreProperties>
</file>