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9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34"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14" w:lineRule="exact"/>
        <w:rPr>
          <w:sz w:val="24"/>
          <w:szCs w:val="24"/>
          <w:color w:val="auto"/>
        </w:rPr>
      </w:pPr>
    </w:p>
    <w:p>
      <w:pPr>
        <w:ind w:left="6740"/>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ectPr>
          <w:pgSz w:w="11900" w:h="16838" w:orient="portrait"/>
          <w:cols w:equalWidth="0" w:num="1">
            <w:col w:w="10220"/>
          </w:cols>
          <w:pgMar w:left="840" w:top="665" w:right="839" w:bottom="1440" w:gutter="0" w:footer="0" w:header="0"/>
          <w:type w:val="continuous"/>
        </w:sectPr>
      </w:pPr>
    </w:p>
    <w:p>
      <w:pPr>
        <w:spacing w:after="0" w:line="16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The number of outstanding shares of the registrant’s Common Stock, $.001 par value, was 220,890,618 as of October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133350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175895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INCYTE CORPORATION</w:t>
            </w:r>
          </w:p>
        </w:tc>
        <w:tc>
          <w:tcPr>
            <w:tcW w:w="172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rPr>
              <w:t>INDEX</w:t>
            </w:r>
          </w:p>
        </w:tc>
        <w:tc>
          <w:tcPr>
            <w:tcW w:w="1720" w:type="dxa"/>
            <w:vAlign w:val="bottom"/>
          </w:tcPr>
          <w:p>
            <w:pPr>
              <w:spacing w:after="0"/>
              <w:rPr>
                <w:sz w:val="24"/>
                <w:szCs w:val="24"/>
                <w:color w:val="auto"/>
              </w:rPr>
            </w:pPr>
          </w:p>
        </w:tc>
      </w:tr>
      <w:tr>
        <w:trPr>
          <w:trHeight w:val="338"/>
        </w:trPr>
        <w:tc>
          <w:tcPr>
            <w:tcW w:w="720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120" w:type="dxa"/>
            <w:vAlign w:val="bottom"/>
            <w:gridSpan w:val="8"/>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52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1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20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274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460" w:type="dxa"/>
            <w:vAlign w:val="bottom"/>
            <w:gridSpan w:val="4"/>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2.</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Forward-Looking Statements</w:t>
              </w:r>
            </w:hyperlink>
          </w:p>
        </w:tc>
        <w:tc>
          <w:tcPr>
            <w:tcW w:w="4340" w:type="dxa"/>
            <w:vAlign w:val="bottom"/>
            <w:gridSpan w:val="9"/>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Summary Risk Factors</w:t>
              </w:r>
            </w:hyperlink>
          </w:p>
        </w:tc>
        <w:tc>
          <w:tcPr>
            <w:tcW w:w="4800" w:type="dxa"/>
            <w:vAlign w:val="bottom"/>
            <w:gridSpan w:val="1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200" w:type="dxa"/>
            <w:vAlign w:val="bottom"/>
            <w:gridSpan w:val="23"/>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70">
              <w:r>
                <w:rPr>
                  <w:rFonts w:ascii="Arial" w:cs="Arial" w:eastAsia="Arial" w:hAnsi="Arial"/>
                  <w:sz w:val="18"/>
                  <w:szCs w:val="18"/>
                  <w:b w:val="1"/>
                  <w:bCs w:val="1"/>
                  <w:color w:val="0000EE"/>
                </w:rPr>
                <w:t>OTHER INFORMATION</w:t>
              </w:r>
            </w:hyperlink>
          </w:p>
        </w:tc>
        <w:tc>
          <w:tcPr>
            <w:tcW w:w="172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w w:val="94"/>
              </w:rPr>
            </w:pPr>
            <w:hyperlink w:anchor="page70">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70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00" w:type="dxa"/>
            <w:vAlign w:val="bottom"/>
          </w:tcPr>
          <w:p>
            <w:pPr>
              <w:jc w:val="center"/>
              <w:ind w:left="1750"/>
              <w:spacing w:after="0" w:line="198" w:lineRule="exact"/>
              <w:rPr>
                <w:sz w:val="20"/>
                <w:szCs w:val="20"/>
                <w:color w:val="auto"/>
              </w:rPr>
            </w:pPr>
            <w:r>
              <w:rPr>
                <w:rFonts w:ascii="Arial" w:cs="Arial" w:eastAsia="Arial" w:hAnsi="Arial"/>
                <w:sz w:val="18"/>
                <w:szCs w:val="18"/>
                <w:b w:val="1"/>
                <w:bCs w:val="1"/>
                <w:color w:val="auto"/>
              </w:rPr>
              <w:t>INCYTE CORPORATION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980" w:type="dxa"/>
            <w:vAlign w:val="bottom"/>
            <w:gridSpan w:val="5"/>
          </w:tcPr>
          <w:p>
            <w:pPr>
              <w:jc w:val="center"/>
              <w:ind w:left="450"/>
              <w:spacing w:after="0" w:line="184" w:lineRule="exact"/>
              <w:rPr>
                <w:sz w:val="20"/>
                <w:szCs w:val="20"/>
                <w:color w:val="auto"/>
              </w:rPr>
            </w:pPr>
            <w:r>
              <w:rPr>
                <w:rFonts w:ascii="Arial" w:cs="Arial" w:eastAsia="Arial" w:hAnsi="Arial"/>
                <w:sz w:val="18"/>
                <w:szCs w:val="18"/>
                <w:b w:val="1"/>
                <w:bCs w:val="1"/>
                <w:color w:val="auto"/>
                <w:w w:val="98"/>
              </w:rPr>
              <w:t>CONDENSED CONSOLIDATED BALANCE SHEETS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6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w w:val="88"/>
              </w:rPr>
              <w:t>(in thousands, except number of shares and par value)</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88"/>
              </w:rPr>
              <w:t>ASSETS</w:t>
            </w:r>
          </w:p>
        </w:tc>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1,999,021</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1,513,008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9"/>
              </w:rPr>
              <w:t>Marketable securities—available-for-sale (amortized cost $285,135 and $288,199 as of</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7"/>
              </w:rPr>
              <w:t>September 30, 2021 and December 31, 2020; allowance for credit losses $0 and $0 as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30, 2021 and December 31, 2020)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516,689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481,994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101,730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60,098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2,923,797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2,359,894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 and investments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Long term investments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192,096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222,301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w w:val="97"/>
              </w:rPr>
              <w:t>Inventory</w:t>
            </w:r>
          </w:p>
        </w:tc>
        <w:tc>
          <w:tcPr>
            <w:tcW w:w="5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686,718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559,625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 assets, net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156,139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172,291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4,198,831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3,560,918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114,509</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rPr>
              <w:t>Accrued compensation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105,705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113,340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and other current liabilities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rPr>
              <w:t>Finance lease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Acquisition-related contingent consideration</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gridSpan w:val="2"/>
          </w:tcPr>
          <w:p>
            <w:pPr>
              <w:ind w:left="30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742,712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631,195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Acquisition-related contingent consideration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213,781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227,600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liabilities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62,305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58,282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1,050,174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949,650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w w:val="91"/>
              </w:rPr>
              <w:t>Preferred stock, $0.001 par value; 5,000,000 shares authorized; none issued or outstanding as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rPr>
              <w:t>of September 30, 2021 and December 31, 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Common stock, $0.001 par value; 400,000,000 shares authorized; 220,885,119 and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0"/>
              </w:rPr>
              <w:t>219,489,329 shares issued and outstanding as of September 30, 2021 and December 31, 2020,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4,508,807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4,352,864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Accumulated deficit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(1,341,725)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(1,726,455)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stockholders’ equity</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3,148,657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gridSpan w:val="2"/>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4,198,831</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3,560,918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right="619" w:hanging="10"/>
        <w:spacing w:after="0" w:line="235"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2020 has been derived from the audited consolidated financial statements at that date.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594,013</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522,252</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1,673,974</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1,509,269</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183,974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272,924</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Milestone and contract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812,987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620,643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2,123,414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1,877,193</w:t>
            </w:r>
          </w:p>
        </w:tc>
        <w:tc>
          <w:tcPr>
            <w:tcW w:w="60" w:type="dxa"/>
            <w:vAlign w:val="bottom"/>
            <w:tcBorders>
              <w:bottom w:val="single" w:sz="8" w:color="CCEEFF"/>
            </w:tcBorders>
          </w:tcPr>
          <w:p>
            <w:pPr>
              <w:spacing w:after="0"/>
              <w:rPr>
                <w:sz w:val="18"/>
                <w:szCs w:val="18"/>
                <w:color w:val="auto"/>
              </w:rPr>
            </w:pPr>
          </w:p>
        </w:tc>
      </w:tr>
      <w:tr>
        <w:trPr>
          <w:trHeight w:val="209"/>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4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Cost of product revenues (including definite-lived intangible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95,005</w:t>
            </w:r>
          </w:p>
        </w:tc>
        <w:tc>
          <w:tcPr>
            <w:tcW w:w="60" w:type="dxa"/>
            <w:vAlign w:val="bottom"/>
            <w:shd w:val="clear" w:color="auto" w:fill="CCEEFF"/>
          </w:tcPr>
          <w:p>
            <w:pPr>
              <w:spacing w:after="0"/>
              <w:rPr>
                <w:sz w:val="20"/>
                <w:szCs w:val="20"/>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334,945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438,109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985,352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1,809,997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190,704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120,788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349,934</w:t>
            </w:r>
          </w:p>
        </w:tc>
        <w:tc>
          <w:tcPr>
            <w:tcW w:w="60" w:type="dxa"/>
            <w:vAlign w:val="bottom"/>
            <w:shd w:val="clear" w:color="auto" w:fill="CCEEFF"/>
          </w:tcPr>
          <w:p>
            <w:pPr>
              <w:spacing w:after="0"/>
              <w:rPr>
                <w:sz w:val="18"/>
                <w:szCs w:val="18"/>
                <w:color w:val="auto"/>
              </w:rPr>
            </w:pPr>
          </w:p>
        </w:tc>
      </w:tr>
      <w:tr>
        <w:trPr>
          <w:trHeight w:val="202"/>
        </w:trPr>
        <w:tc>
          <w:tcPr>
            <w:tcW w:w="4780" w:type="dxa"/>
            <w:vAlign w:val="bottom"/>
          </w:tcPr>
          <w:p>
            <w:pPr>
              <w:ind w:left="22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consideration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19,790</w:t>
            </w:r>
          </w:p>
        </w:tc>
        <w:tc>
          <w:tcPr>
            <w:tcW w:w="60" w:type="dxa"/>
            <w:vAlign w:val="bottom"/>
          </w:tcPr>
          <w:p>
            <w:pPr>
              <w:spacing w:after="0"/>
              <w:rPr>
                <w:sz w:val="20"/>
                <w:szCs w:val="20"/>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30,372</w:t>
            </w:r>
          </w:p>
        </w:tc>
        <w:tc>
          <w:tcPr>
            <w:tcW w:w="6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577,577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615,317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1,648,371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2,305,098</w:t>
            </w:r>
          </w:p>
        </w:tc>
        <w:tc>
          <w:tcPr>
            <w:tcW w:w="60" w:type="dxa"/>
            <w:vAlign w:val="bottom"/>
            <w:shd w:val="clear" w:color="auto" w:fill="CCEEFF"/>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235,410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(427,905)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18,396</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(27,450)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(13,207)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(28,394)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10,935</w:t>
            </w:r>
          </w:p>
        </w:tc>
        <w:tc>
          <w:tcPr>
            <w:tcW w:w="60" w:type="dxa"/>
            <w:vAlign w:val="bottom"/>
          </w:tcPr>
          <w:p>
            <w:pPr>
              <w:spacing w:after="0"/>
              <w:rPr>
                <w:sz w:val="18"/>
                <w:szCs w:val="18"/>
                <w:color w:val="auto"/>
              </w:rPr>
            </w:pPr>
          </w:p>
        </w:tc>
      </w:tr>
      <w:tr>
        <w:trPr>
          <w:trHeight w:val="209"/>
        </w:trPr>
        <w:tc>
          <w:tcPr>
            <w:tcW w:w="4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209,469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450,424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(400,320)</w:t>
            </w: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45,227</w:t>
            </w:r>
          </w:p>
        </w:tc>
        <w:tc>
          <w:tcPr>
            <w:tcW w:w="6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47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181,739</w:t>
            </w:r>
          </w:p>
        </w:tc>
        <w:tc>
          <w:tcPr>
            <w:tcW w:w="8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(15,203)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384,730</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(445,547)</w:t>
            </w:r>
          </w:p>
        </w:tc>
      </w:tr>
      <w:tr>
        <w:trPr>
          <w:trHeight w:val="196"/>
        </w:trPr>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Shares used in computing 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220,845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218,784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217,684</w:t>
            </w:r>
          </w:p>
        </w:tc>
        <w:tc>
          <w:tcPr>
            <w:tcW w:w="6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222,248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218,784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217,684</w:t>
            </w:r>
          </w:p>
        </w:tc>
        <w:tc>
          <w:tcPr>
            <w:tcW w:w="6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8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$ 181,739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(15,203)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$ 384,730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(445,547)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Foreign currency translation (loss) gain</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(629)</w:t>
            </w:r>
          </w:p>
        </w:tc>
        <w:tc>
          <w:tcPr>
            <w:tcW w:w="760" w:type="dxa"/>
            <w:vAlign w:val="bottom"/>
          </w:tcPr>
          <w:p>
            <w:pPr>
              <w:jc w:val="right"/>
              <w:spacing w:after="0"/>
              <w:rPr>
                <w:sz w:val="20"/>
                <w:szCs w:val="20"/>
                <w:color w:val="auto"/>
              </w:rPr>
            </w:pPr>
            <w:r>
              <w:rPr>
                <w:rFonts w:ascii="Arial" w:cs="Arial" w:eastAsia="Arial" w:hAnsi="Arial"/>
                <w:sz w:val="18"/>
                <w:szCs w:val="18"/>
                <w:color w:val="auto"/>
              </w:rPr>
              <w:t>2,532</w:t>
            </w:r>
          </w:p>
        </w:tc>
        <w:tc>
          <w:tcPr>
            <w:tcW w:w="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(4,061)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5,085</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Unrealized (loss) gain on marketable securities, net of tax</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r>
      <w:tr>
        <w:trPr>
          <w:trHeight w:val="209"/>
        </w:trPr>
        <w:tc>
          <w:tcPr>
            <w:tcW w:w="4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$ 181,366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(12,528)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$ 381,444</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(439,753)</w:t>
            </w: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359"/>
        </w:trPr>
        <w:tc>
          <w:tcPr>
            <w:tcW w:w="6160" w:type="dxa"/>
            <w:vAlign w:val="bottom"/>
            <w:gridSpan w:val="4"/>
          </w:tcPr>
          <w:p>
            <w:pPr>
              <w:jc w:val="center"/>
              <w:ind w:left="2690"/>
              <w:spacing w:after="0"/>
              <w:rPr>
                <w:sz w:val="20"/>
                <w:szCs w:val="20"/>
                <w:color w:val="auto"/>
              </w:rPr>
            </w:pPr>
            <w:r>
              <w:rPr>
                <w:rFonts w:ascii="Arial" w:cs="Arial" w:eastAsia="Arial" w:hAnsi="Arial"/>
                <w:sz w:val="18"/>
                <w:szCs w:val="18"/>
                <w:color w:val="auto"/>
                <w:w w:val="87"/>
              </w:rPr>
              <w:t>See accompanying notes.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96"/>
        </w:trPr>
        <w:tc>
          <w:tcPr>
            <w:tcW w:w="44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4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8"/>
              </w:rPr>
              <w:t>For the Nine Months Ended September 30, 2021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22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9"/>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4"/>
                <w:szCs w:val="14"/>
                <w:color w:val="auto"/>
              </w:rPr>
            </w:pPr>
          </w:p>
        </w:tc>
        <w:tc>
          <w:tcPr>
            <w:tcW w:w="900" w:type="dxa"/>
            <w:vAlign w:val="bottom"/>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4,352,864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(1,726,455)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2,611,268</w:t>
            </w: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6"/>
                <w:szCs w:val="16"/>
                <w:color w:val="auto"/>
              </w:rPr>
              <w:t>Issuance of 389,512 shares of Common Stock upon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9"/>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w w:val="99"/>
              </w:rPr>
              <w:t>restricted stock units, net of shares withheld for taxes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1,357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47,903</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53,535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(1,672,920)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2,727,844</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6"/>
                <w:szCs w:val="16"/>
                <w:color w:val="auto"/>
              </w:rPr>
              <w:t>Issuance of 390,001 shares of Common Stock upon</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9"/>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1"/>
              </w:rPr>
              <w:t>restricted stock units, net of shares withheld for taxes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153,082 shares of Common Stock under the ESPP</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11,016</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1,288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149,456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149,456</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June 30,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4,477,378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(1,523,464)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2,935,861</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6"/>
                <w:szCs w:val="16"/>
                <w:color w:val="auto"/>
              </w:rPr>
              <w:t>Issuance of 459,084 shares of Common Stock upon</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9"/>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restricted stock units and performance shares, net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shares withheld for taxes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(11,992)</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1,466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43,314</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181,739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181,739</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September 30,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4,508,807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(1,341,725)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3,148,657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 (CONTINUED)</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8"/>
              </w:rPr>
              <w:t>For the Nine Months Ended September 30,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9"/>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4"/>
                <w:szCs w:val="14"/>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4,044,490</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(1,430,758)</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2,598,406</w:t>
            </w: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6"/>
                <w:szCs w:val="16"/>
                <w:color w:val="auto"/>
              </w:rPr>
              <w:t>Issuance of 772,538 shares of Common Stock upon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9"/>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w w:val="99"/>
              </w:rPr>
              <w:t>restricted stock units, net of shares withheld for taxes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14,618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14,619</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1,957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42,758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(720,642)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(720,642)</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4,102,011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(2,151,400)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1,937,721</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6"/>
                <w:szCs w:val="16"/>
                <w:color w:val="auto"/>
              </w:rPr>
              <w:t>Issuance of 936,688 shares of Common Stock upon</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9"/>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w w:val="91"/>
              </w:rPr>
              <w:t>restricted stock units, net of shares withheld for taxes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175,615 shares of Common Stock under the ESPP</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69,193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69,194</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1,403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6"/>
                <w:szCs w:val="16"/>
                <w:color w:val="auto"/>
              </w:rPr>
              <w:t>Issuance of 3,187 shares of Common Stock upon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conversion of Convertible Senior Notes due 2020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Stock compensation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46,406</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290,298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290,298</w:t>
            </w:r>
          </w:p>
        </w:tc>
        <w:tc>
          <w:tcPr>
            <w:tcW w:w="0" w:type="dxa"/>
            <w:vAlign w:val="bottom"/>
          </w:tcPr>
          <w:p>
            <w:pPr>
              <w:spacing w:after="0"/>
              <w:rPr>
                <w:sz w:val="1"/>
                <w:szCs w:val="1"/>
                <w:color w:val="auto"/>
              </w:rPr>
            </w:pPr>
          </w:p>
        </w:tc>
      </w:tr>
      <w:tr>
        <w:trPr>
          <w:trHeight w:val="236"/>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Balances at June 30, 2020</w:t>
            </w:r>
          </w:p>
        </w:tc>
        <w:tc>
          <w:tcPr>
            <w:tcW w:w="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4,217,911</w:t>
            </w:r>
          </w:p>
        </w:tc>
        <w:tc>
          <w:tcPr>
            <w:tcW w:w="1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(12,423)</w:t>
            </w:r>
          </w:p>
        </w:tc>
        <w:tc>
          <w:tcPr>
            <w:tcW w:w="1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(1,861,102)</w:t>
            </w:r>
          </w:p>
        </w:tc>
        <w:tc>
          <w:tcPr>
            <w:tcW w:w="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2,344,604</w:t>
            </w:r>
          </w:p>
        </w:tc>
        <w:tc>
          <w:tcPr>
            <w:tcW w:w="0" w:type="dxa"/>
            <w:vAlign w:val="bottom"/>
          </w:tcPr>
          <w:p>
            <w:pPr>
              <w:spacing w:after="0"/>
              <w:rPr>
                <w:sz w:val="1"/>
                <w:szCs w:val="1"/>
                <w:color w:val="auto"/>
              </w:rPr>
            </w:pPr>
          </w:p>
        </w:tc>
      </w:tr>
      <w:tr>
        <w:trPr>
          <w:trHeight w:val="146"/>
        </w:trPr>
        <w:tc>
          <w:tcPr>
            <w:tcW w:w="3760" w:type="dxa"/>
            <w:vAlign w:val="bottom"/>
            <w:shd w:val="clear" w:color="auto" w:fill="CCEEFF"/>
          </w:tcPr>
          <w:p>
            <w:pPr>
              <w:spacing w:after="0" w:line="146" w:lineRule="exact"/>
              <w:rPr>
                <w:sz w:val="20"/>
                <w:szCs w:val="20"/>
                <w:color w:val="auto"/>
              </w:rPr>
            </w:pPr>
            <w:r>
              <w:rPr>
                <w:rFonts w:ascii="Arial" w:cs="Arial" w:eastAsia="Arial" w:hAnsi="Arial"/>
                <w:sz w:val="16"/>
                <w:szCs w:val="16"/>
                <w:color w:val="auto"/>
              </w:rPr>
              <w:t>Issuance of 698,032 shares of Common Stock upon</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w w:val="99"/>
              </w:rPr>
              <w:t>exercise of stock options and settlement of employee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 and performance shares, net of</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shares withheld for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Arial" w:cs="Arial" w:eastAsia="Arial" w:hAnsi="Arial"/>
                <w:sz w:val="16"/>
                <w:szCs w:val="16"/>
                <w:color w:val="auto"/>
                <w:w w:val="94"/>
              </w:rPr>
              <w:t>Issuance of 1,434 shares of Common Stock for services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rendered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Issuance of 134,413 shares of Common Stock upon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conversion of Convertible Senior Notes due 2020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6,873</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43,970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(15,203)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(15,203)</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September 30, 2020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4,276,667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(1,876,305)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2,390,833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80"/>
        <w:spacing w:after="0" w:line="222" w:lineRule="auto"/>
        <w:rPr>
          <w:sz w:val="20"/>
          <w:szCs w:val="20"/>
          <w:color w:val="auto"/>
        </w:rPr>
      </w:pPr>
      <w:r>
        <w:rPr>
          <w:rFonts w:ascii="Arial" w:cs="Arial" w:eastAsia="Arial" w:hAnsi="Arial"/>
          <w:sz w:val="14"/>
          <w:szCs w:val="14"/>
          <w:b w:val="1"/>
          <w:bCs w:val="1"/>
          <w:color w:val="auto"/>
        </w:rPr>
        <w:t>Nine Months Ended</w:t>
      </w:r>
    </w:p>
    <w:p>
      <w:pPr>
        <w:jc w:val="center"/>
        <w:ind w:left="67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4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384,730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(445,547)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38,641</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Unrealized loss (gain) on long term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(10,935)</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(55,656)</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(24,784)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(11,384)</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(9,204)</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38,865</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62,196</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634,137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(231,920)</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(8,662)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(95,468)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 of long term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(146,543)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(135,946)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(418,698)</w:t>
            </w: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466,591</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(166,271)</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issuance of common stock under stock plans net of tax withholding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Payment of finance lease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(31,140)</w:t>
            </w:r>
          </w:p>
        </w:tc>
      </w:tr>
      <w:tr>
        <w:trPr>
          <w:trHeight w:val="210"/>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59,837</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5"/>
              </w:rPr>
              <w:t>Effect of exchange rates on cash, cash equivalents, restricted cash and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6"/>
              </w:rPr>
              <w:t>Net increase (decrease) in cash, cash equivalents, restricted cash and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485,938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(333,269)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1,514,765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1,833,707</w:t>
            </w:r>
          </w:p>
        </w:tc>
        <w:tc>
          <w:tcPr>
            <w:tcW w:w="60" w:type="dxa"/>
            <w:vAlign w:val="bottom"/>
            <w:shd w:val="clear" w:color="auto" w:fill="CCEEFF"/>
          </w:tcPr>
          <w:p>
            <w:pPr>
              <w:spacing w:after="0"/>
              <w:rPr>
                <w:sz w:val="18"/>
                <w:szCs w:val="18"/>
                <w:color w:val="auto"/>
              </w:rPr>
            </w:pPr>
          </w:p>
        </w:tc>
      </w:tr>
      <w:tr>
        <w:trPr>
          <w:trHeight w:val="249"/>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2,000,703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1,500,438</w:t>
            </w:r>
          </w:p>
        </w:tc>
        <w:tc>
          <w:tcPr>
            <w:tcW w:w="60" w:type="dxa"/>
            <w:vAlign w:val="bottom"/>
            <w:tcBorders>
              <w:bottom w:val="single" w:sz="8" w:color="CCEEFF"/>
            </w:tcBorders>
          </w:tcPr>
          <w:p>
            <w:pPr>
              <w:spacing w:after="0"/>
              <w:rPr>
                <w:sz w:val="21"/>
                <w:szCs w:val="21"/>
                <w:color w:val="auto"/>
              </w:rPr>
            </w:pPr>
          </w:p>
        </w:tc>
      </w:tr>
      <w:tr>
        <w:trPr>
          <w:trHeight w:val="197"/>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paid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56,787</w:t>
            </w:r>
          </w:p>
        </w:tc>
        <w:tc>
          <w:tcPr>
            <w:tcW w:w="60" w:type="dxa"/>
            <w:vAlign w:val="bottom"/>
            <w:shd w:val="clear" w:color="auto" w:fill="CCEEFF"/>
          </w:tcPr>
          <w:p>
            <w:pPr>
              <w:spacing w:after="0"/>
              <w:rPr>
                <w:sz w:val="18"/>
                <w:szCs w:val="18"/>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8"/>
              </w:rPr>
              <w:t>Reclassification to common stock and additional paid in capital in connection with</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conversions of 1.25% convertible senior notes due 2020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6,992</w:t>
            </w:r>
          </w:p>
        </w:tc>
        <w:tc>
          <w:tcPr>
            <w:tcW w:w="6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9,068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13,020</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September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0" w:hanging="356"/>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 Our operations are treated as one operating segment.</w:t>
      </w:r>
    </w:p>
    <w:p>
      <w:pPr>
        <w:spacing w:after="0" w:line="172" w:lineRule="exact"/>
        <w:rPr>
          <w:sz w:val="20"/>
          <w:szCs w:val="20"/>
          <w:color w:val="auto"/>
        </w:rPr>
      </w:pPr>
    </w:p>
    <w:p>
      <w:pPr>
        <w:ind w:left="700" w:right="5319" w:hanging="656"/>
        <w:spacing w:after="0" w:line="503" w:lineRule="auto"/>
        <w:tabs>
          <w:tab w:leader="none" w:pos="4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40" w:right="59"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2021, the condensed consolidated statements of operations, comprehensive income (loss), and stockholders’ equity for the three and nine months ended September 30, 2021 and 2020, and the condensed consolidated statements of cash flows for the nine months ended September 30, 2021 and 2020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2020 has been derived from our audited consolidated financial statements.</w:t>
      </w:r>
    </w:p>
    <w:p>
      <w:pPr>
        <w:spacing w:after="0" w:line="16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2020.</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Financial assets measured at amortized cost are assessed for future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under guidance within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 determine if application of an expected credit losses reserve is necessary. On a quarterly basis, receivables that resulted from revenue transactions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17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U.S.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As of September 30, 2021 and December 31, 2020, we had no allowance for doubtful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We 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 We capitalize inventory after FDA approval as the related costs are expected to be recoverable through the commercialization of the product. Costs incurred prior to FDA approval are recorded as research and development expense in our statements of operations.</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Raw materials and work-in-process inventory are not subject to expiration and the shelf life of finished goods inventory is approximately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September 30, 2021, there were no entities in which we held a variable interest which we determined to be VIEs.</w:t>
      </w:r>
    </w:p>
    <w:p>
      <w:pPr>
        <w:spacing w:after="0" w:line="18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Long Term Investments. </w:t>
      </w:r>
      <w:r>
        <w:rPr>
          <w:rFonts w:ascii="Arial" w:cs="Arial" w:eastAsia="Arial" w:hAnsi="Arial"/>
          <w:sz w:val="16"/>
          <w:szCs w:val="16"/>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the condensed consolidated statements of operations as an unrealized gain (loss) on long term investments.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All leases with a lease term greater than 12 months, regardless of lease type classification,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condensed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calculated as the difference between the acquisition date fair value of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and the values assigned to the assets acquired and liabilities assumed. Goodwill is not amortized but is tested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2020 and determined that the carrying value of our goodwill was not impaired.</w:t>
      </w:r>
    </w:p>
    <w:p>
      <w:pPr>
        <w:spacing w:after="0" w:line="192"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September 30, 2021.</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2020, we delayed the payment of certain employer payroll tax amounts to future periods as allowed under the Act. We do not expect the CARES Act to have a material impact on our overall financial results, our income tax provision or our liquidity. We have further described the impact and risks of the COVID-19 pandemic on our business in Item 1A. Risk Factors.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Net Income (Loss) Per Share. </w:t>
      </w:r>
      <w:r>
        <w:rPr>
          <w:rFonts w:ascii="Arial" w:cs="Arial" w:eastAsia="Arial" w:hAnsi="Arial"/>
          <w:sz w:val="18"/>
          <w:szCs w:val="18"/>
          <w:color w:val="auto"/>
        </w:rPr>
        <w:t>Our basic and diluted net income (loss) per share is calculated by dividing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(loss) by the weighted average number of shares of common stock outstanding during all periods presented. Options to purchase stock, restricted stock units and performance stock units are included in diluted earnings per share calculations, unless the effects are anti-dilutive.</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our marketable debt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Revenue-generating contracts are assessed under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to identify distinct performance obligations, determine the transaction price of the contract and allocate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time. We also assess collectability based primarily on the customer’s payment history and on the creditworthiness of the customer.</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product revenues consist of sales of JAKAFI and PEMAZYRE in the U.S., sales of MINJUVI, PEMAZYRE and ICLUSIG in Europe, and sales of PEMAZYRE in Japan. Product revenues are recognized once we satisfy the performance obligation at a point in time under the revenue recognition criteria as described above. We sell JAKAFI and PEMAZYRE to our customers in the U.S., which include specialty pharmacies and wholesalers. We sell MINJUVI, PEMAZYRE and ICLUSIG to our customers in the European Union and certain other jurisdictions, which include retail pharmacies, hospital pharmacies and distributors. We sell PEMAZYRE in Japan to an exclusive wholesaler.</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65" w:lineRule="auto"/>
        <w:rPr>
          <w:sz w:val="20"/>
          <w:szCs w:val="20"/>
          <w:color w:val="auto"/>
        </w:rPr>
      </w:pPr>
      <w:r>
        <w:rPr>
          <w:rFonts w:ascii="Arial" w:cs="Arial" w:eastAsia="Arial" w:hAnsi="Arial"/>
          <w:sz w:val="16"/>
          <w:szCs w:val="16"/>
          <w:color w:val="auto"/>
        </w:rPr>
        <w:t>Royalty revenues on commercial sales for ruxolitinib (marketed as JAKAVI</w:t>
      </w:r>
      <w:r>
        <w:rPr>
          <w:rFonts w:ascii="Arial" w:cs="Arial" w:eastAsia="Arial" w:hAnsi="Arial"/>
          <w:sz w:val="30"/>
          <w:szCs w:val="30"/>
          <w:color w:val="auto"/>
          <w:vertAlign w:val="superscript"/>
        </w:rPr>
        <w:t>®</w:t>
      </w:r>
      <w:r>
        <w:rPr>
          <w:rFonts w:ascii="Arial" w:cs="Arial" w:eastAsia="Arial" w:hAnsi="Arial"/>
          <w:sz w:val="16"/>
          <w:szCs w:val="16"/>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For each collaborative research, development and/or commercialization agreement that results in revenue under the guidance of ASC 606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17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the three and nine months ended September 30, 2021 and 2020, we had no revenues from intellectual property licenses recognized over time.</w:t>
      </w:r>
    </w:p>
    <w:p>
      <w:pPr>
        <w:spacing w:after="0" w:line="17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event. Given the high level of uncertainty of achievement, variable consideration associated with milestones are fully constrained until confirmation of the satisfaction or completion of the milestone by the third-party.</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Cost of product revenues includes all product related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7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81"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6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Advertising expenses, comprised primarily of television, radio, print media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are expensed as incurred and are included in selling, general, and administrative expenses. For the three and nine months ended September 30, 2021, advertising expenses were approximately $13.7 million and $32.0 million, respectively. For the three and nine months ended September 30, 2020, advertising expenses were approximately $6.4 million and $16.5 million, respectively.</w:t>
      </w:r>
    </w:p>
    <w:p>
      <w:pPr>
        <w:spacing w:after="0" w:line="1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77"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Collaboration loss sharing. </w:t>
      </w:r>
      <w:r>
        <w:rPr>
          <w:rFonts w:ascii="Arial" w:cs="Arial" w:eastAsia="Arial" w:hAnsi="Arial"/>
          <w:sz w:val="16"/>
          <w:szCs w:val="16"/>
          <w:color w:val="auto"/>
        </w:rPr>
        <w:t>Under collaboration and license agreements with shared commercialization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we record our share of the losses from the co-commercialization efforts in collaboration loss sharing on the condensed consolidated statement of operations. For the three and nine months ended September 30, 2021 and 2020, collaboration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loss sharing represents our 50% share of the United States loss for commercialization of MONJUVI (tafasitamab-cxix) under our agreement with MorphoSys.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We adopted this guidance for the period beginning January 1, 2021. Upon adoption, ASU No. 2019-12 had an immaterial impact on the condensed consolidated financial statements.</w:t>
      </w:r>
    </w:p>
    <w:p>
      <w:pPr>
        <w:spacing w:after="0" w:line="172" w:lineRule="exact"/>
        <w:rPr>
          <w:sz w:val="20"/>
          <w:szCs w:val="20"/>
          <w:color w:val="auto"/>
        </w:rPr>
      </w:pPr>
    </w:p>
    <w:p>
      <w:pPr>
        <w:ind w:left="400" w:hanging="356"/>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As discussed in Note 2, revenues are recognized under guidance within ASC 606.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547,373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487,783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1,420,968</w:t>
            </w:r>
          </w:p>
        </w:tc>
        <w:tc>
          <w:tcPr>
            <w:tcW w:w="2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ICLUSIG revenues, net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28,522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76,426</w:t>
            </w:r>
          </w:p>
        </w:tc>
        <w:tc>
          <w:tcPr>
            <w:tcW w:w="2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20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MINJUVI revenues, net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product revenues, net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594,013</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522,252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1,673,974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1,509,269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94,655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242,295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190,856</w:t>
            </w:r>
          </w:p>
        </w:tc>
        <w:tc>
          <w:tcPr>
            <w:tcW w:w="2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79,924</w:t>
            </w:r>
          </w:p>
        </w:tc>
        <w:tc>
          <w:tcPr>
            <w:tcW w:w="200" w:type="dxa"/>
            <w:vAlign w:val="bottom"/>
            <w:shd w:val="clear" w:color="auto" w:fill="CCEEFF"/>
          </w:tcPr>
          <w:p>
            <w:pPr>
              <w:spacing w:after="0"/>
              <w:rPr>
                <w:sz w:val="18"/>
                <w:szCs w:val="18"/>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TABRECTA product royalty revenues</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00" w:type="dxa"/>
            <w:vAlign w:val="bottom"/>
            <w:tcBorders>
              <w:bottom w:val="single" w:sz="8" w:color="CCEEFF"/>
            </w:tcBorders>
          </w:tcPr>
          <w:p>
            <w:pPr>
              <w:spacing w:after="0"/>
              <w:rPr>
                <w:sz w:val="18"/>
                <w:szCs w:val="18"/>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product royalty revenues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272,924</w:t>
            </w:r>
          </w:p>
        </w:tc>
        <w:tc>
          <w:tcPr>
            <w:tcW w:w="200" w:type="dxa"/>
            <w:vAlign w:val="bottom"/>
            <w:shd w:val="clear" w:color="auto" w:fill="CCEEFF"/>
          </w:tcPr>
          <w:p>
            <w:pPr>
              <w:spacing w:after="0"/>
              <w:rPr>
                <w:sz w:val="18"/>
                <w:szCs w:val="18"/>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Milestone and contract revenues</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Borders>
              <w:bottom w:val="single" w:sz="8" w:color="CCEEFF"/>
            </w:tcBorders>
          </w:tcPr>
          <w:p>
            <w:pPr>
              <w:spacing w:after="0"/>
              <w:rPr>
                <w:sz w:val="18"/>
                <w:szCs w:val="18"/>
                <w:color w:val="auto"/>
              </w:rPr>
            </w:pPr>
          </w:p>
        </w:tc>
      </w:tr>
      <w:tr>
        <w:trPr>
          <w:trHeight w:val="210"/>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812,987</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620,643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2,123,414</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1,877,193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9.</w:t>
      </w:r>
    </w:p>
    <w:p>
      <w:pPr>
        <w:spacing w:after="0" w:line="235" w:lineRule="exact"/>
        <w:rPr>
          <w:sz w:val="20"/>
          <w:szCs w:val="20"/>
          <w:color w:val="auto"/>
        </w:rPr>
      </w:pPr>
    </w:p>
    <w:p>
      <w:pPr>
        <w:ind w:left="400" w:hanging="356"/>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1—Valuations based on unadjusted quoted prices in active markets for identical assets or liabilities.</w:t>
      </w:r>
    </w:p>
    <w:p>
      <w:pPr>
        <w:spacing w:after="0" w:line="237"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160"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160" w:firstLine="648"/>
        <w:spacing w:after="0" w:line="275" w:lineRule="auto"/>
        <w:rPr>
          <w:sz w:val="20"/>
          <w:szCs w:val="20"/>
          <w:color w:val="auto"/>
        </w:rPr>
      </w:pPr>
      <w:r>
        <w:rPr>
          <w:rFonts w:ascii="Arial" w:cs="Arial" w:eastAsia="Arial" w:hAnsi="Arial"/>
          <w:sz w:val="17"/>
          <w:szCs w:val="17"/>
          <w:color w:val="auto"/>
        </w:rPr>
        <w:t>At September 30, 2021 and December 31, 2020,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nine months ended September 30, 2021.</w:t>
      </w:r>
    </w:p>
    <w:p>
      <w:pPr>
        <w:spacing w:after="0" w:line="176" w:lineRule="exact"/>
        <w:rPr>
          <w:sz w:val="20"/>
          <w:szCs w:val="20"/>
          <w:color w:val="auto"/>
        </w:rPr>
      </w:pPr>
    </w:p>
    <w:p>
      <w:pPr>
        <w:jc w:val="both"/>
        <w:ind w:left="40" w:right="1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1"/>
          </w:tcPr>
          <w:p>
            <w:pPr>
              <w:jc w:val="right"/>
              <w:ind w:right="138"/>
              <w:spacing w:after="0"/>
              <w:rPr>
                <w:sz w:val="20"/>
                <w:szCs w:val="20"/>
                <w:color w:val="auto"/>
              </w:rPr>
            </w:pPr>
            <w:r>
              <w:rPr>
                <w:rFonts w:ascii="Arial" w:cs="Arial" w:eastAsia="Arial" w:hAnsi="Arial"/>
                <w:sz w:val="14"/>
                <w:szCs w:val="14"/>
                <w:b w:val="1"/>
                <w:bCs w:val="1"/>
                <w:color w:val="auto"/>
                <w:w w:val="96"/>
              </w:rPr>
              <w:t>Fair Value Measurement at Reporting Date Using: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20" w:type="dxa"/>
            <w:vAlign w:val="bottom"/>
            <w:gridSpan w:val="5"/>
          </w:tcPr>
          <w:p>
            <w:pPr>
              <w:jc w:val="center"/>
              <w:ind w:left="70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1,999,021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285,054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2,191,117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9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288,369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1,735,309</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288,369</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2,023,678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5"/>
          </w:tcPr>
          <w:p>
            <w:pPr>
              <w:ind w:left="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9"/>
          </w:tcPr>
          <w:p>
            <w:pPr>
              <w:jc w:val="center"/>
              <w:ind w:right="140"/>
              <w:spacing w:after="0" w:line="119" w:lineRule="exact"/>
              <w:rPr>
                <w:sz w:val="20"/>
                <w:szCs w:val="20"/>
                <w:color w:val="auto"/>
              </w:rPr>
            </w:pPr>
            <w:r>
              <w:rPr>
                <w:rFonts w:ascii="Arial" w:cs="Arial" w:eastAsia="Arial" w:hAnsi="Arial"/>
                <w:sz w:val="13"/>
                <w:szCs w:val="13"/>
                <w:b w:val="1"/>
                <w:bCs w:val="1"/>
                <w:color w:val="auto"/>
              </w:rPr>
              <w:t>Significant Other</w:t>
            </w:r>
          </w:p>
        </w:tc>
        <w:tc>
          <w:tcPr>
            <w:tcW w:w="860" w:type="dxa"/>
            <w:vAlign w:val="bottom"/>
            <w:tcBorders>
              <w:top w:val="single" w:sz="8" w:color="auto"/>
            </w:tcBorders>
            <w:gridSpan w:val="3"/>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880" w:type="dxa"/>
            <w:vAlign w:val="bottom"/>
            <w:gridSpan w:val="2"/>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60" w:type="dxa"/>
            <w:vAlign w:val="bottom"/>
            <w:gridSpan w:val="8"/>
          </w:tcPr>
          <w:p>
            <w:pPr>
              <w:ind w:left="38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80" w:type="dxa"/>
            <w:vAlign w:val="bottom"/>
          </w:tcPr>
          <w:p>
            <w:pPr>
              <w:spacing w:after="0"/>
              <w:rPr>
                <w:sz w:val="12"/>
                <w:szCs w:val="12"/>
                <w:color w:val="auto"/>
              </w:rPr>
            </w:pPr>
          </w:p>
        </w:tc>
        <w:tc>
          <w:tcPr>
            <w:tcW w:w="8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05"/>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1400" w:type="dxa"/>
            <w:vAlign w:val="bottom"/>
            <w:gridSpan w:val="7"/>
          </w:tcPr>
          <w:p>
            <w:pPr>
              <w:ind w:left="2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252,000</w:t>
            </w:r>
          </w:p>
        </w:tc>
        <w:tc>
          <w:tcPr>
            <w:tcW w:w="16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Borders>
              <w:bottom w:val="single" w:sz="8" w:color="auto"/>
            </w:tcBorders>
            <w:gridSpan w:val="15"/>
          </w:tcPr>
          <w:p>
            <w:pPr>
              <w:ind w:left="22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5"/>
          </w:tcPr>
          <w:p>
            <w:pPr>
              <w:ind w:left="80"/>
              <w:spacing w:after="0" w:line="119" w:lineRule="exact"/>
              <w:rPr>
                <w:sz w:val="20"/>
                <w:szCs w:val="20"/>
                <w:color w:val="auto"/>
              </w:rPr>
            </w:pPr>
            <w:r>
              <w:rPr>
                <w:rFonts w:ascii="Arial" w:cs="Arial" w:eastAsia="Arial" w:hAnsi="Arial"/>
                <w:sz w:val="13"/>
                <w:szCs w:val="13"/>
                <w:b w:val="1"/>
                <w:bCs w:val="1"/>
                <w:color w:val="auto"/>
              </w:rPr>
              <w:t>Quoted Prices in</w:t>
            </w:r>
          </w:p>
        </w:tc>
        <w:tc>
          <w:tcPr>
            <w:tcW w:w="80" w:type="dxa"/>
            <w:vAlign w:val="bottom"/>
          </w:tcPr>
          <w:p>
            <w:pPr>
              <w:spacing w:after="0"/>
              <w:rPr>
                <w:sz w:val="10"/>
                <w:szCs w:val="10"/>
                <w:color w:val="auto"/>
              </w:rPr>
            </w:pPr>
          </w:p>
        </w:tc>
        <w:tc>
          <w:tcPr>
            <w:tcW w:w="1120" w:type="dxa"/>
            <w:vAlign w:val="bottom"/>
            <w:gridSpan w:val="5"/>
          </w:tcPr>
          <w:p>
            <w:pPr>
              <w:jc w:val="center"/>
              <w:ind w:right="6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1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80" w:type="dxa"/>
            <w:vAlign w:val="bottom"/>
          </w:tcPr>
          <w:p>
            <w:pPr>
              <w:spacing w:after="0"/>
              <w:rPr>
                <w:sz w:val="12"/>
                <w:szCs w:val="12"/>
                <w:color w:val="auto"/>
              </w:rPr>
            </w:pPr>
          </w:p>
        </w:tc>
        <w:tc>
          <w:tcPr>
            <w:tcW w:w="80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left="185"/>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266,000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266,000</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481"/>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40" w:top="517" w:right="1339"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rollforward of our Level 3 liabilities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(9,910)</w:t>
            </w:r>
          </w:p>
        </w:tc>
        <w:tc>
          <w:tcPr>
            <w:tcW w:w="1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16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160" w:type="dxa"/>
            <w:vAlign w:val="bottom"/>
            <w:tcBorders>
              <w:bottom w:val="single" w:sz="8" w:color="CCEEFF"/>
            </w:tcBorders>
          </w:tcPr>
          <w:p>
            <w:pPr>
              <w:spacing w:after="0"/>
              <w:rPr>
                <w:sz w:val="18"/>
                <w:szCs w:val="18"/>
                <w:color w:val="auto"/>
              </w:rPr>
            </w:pPr>
          </w:p>
        </w:tc>
      </w:tr>
      <w:tr>
        <w:trPr>
          <w:trHeight w:val="20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September 30, 2021 included a weighted average cost of capital of 10% and updated projections of future ICLUSIG revenues in the European Union and other countries for the approved third line treatment. The change in fair value of the contingent consideration during the three and nine months ended September 30, 2021 was due primarily to the passage of time and the impact of updated projections of future ICLUSIG revenues in the European Union.</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At September 30, 2021 and December 31, 2020, contingent consideration earned but not yet paid was $9.9 million and $9.6 million, respectively, and was included in accrued and other current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gridSpan w:val="4"/>
          </w:tcPr>
          <w:p>
            <w:pPr>
              <w:ind w:left="180"/>
              <w:spacing w:after="0"/>
              <w:rPr>
                <w:sz w:val="20"/>
                <w:szCs w:val="20"/>
                <w:color w:val="auto"/>
              </w:rPr>
            </w:pPr>
            <w:r>
              <w:rPr>
                <w:rFonts w:ascii="Arial" w:cs="Arial" w:eastAsia="Arial" w:hAnsi="Arial"/>
                <w:sz w:val="14"/>
                <w:szCs w:val="14"/>
                <w:b w:val="1"/>
                <w:bCs w:val="1"/>
                <w:color w:val="auto"/>
              </w:rPr>
              <w:t>Unrealized</w:t>
            </w:r>
          </w:p>
        </w:tc>
        <w:tc>
          <w:tcPr>
            <w:tcW w:w="840" w:type="dxa"/>
            <w:vAlign w:val="bottom"/>
            <w:gridSpan w:val="4"/>
          </w:tcPr>
          <w:p>
            <w:pPr>
              <w:ind w:left="8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420" w:type="dxa"/>
            <w:vAlign w:val="bottom"/>
            <w:gridSpan w:val="2"/>
          </w:tcPr>
          <w:p>
            <w:pPr>
              <w:jc w:val="right"/>
              <w:ind w:right="8"/>
              <w:spacing w:after="0"/>
              <w:rPr>
                <w:sz w:val="20"/>
                <w:szCs w:val="20"/>
                <w:color w:val="auto"/>
              </w:rPr>
            </w:pPr>
            <w:r>
              <w:rPr>
                <w:rFonts w:ascii="Arial" w:cs="Arial" w:eastAsia="Arial" w:hAnsi="Arial"/>
                <w:sz w:val="18"/>
                <w:szCs w:val="18"/>
                <w:color w:val="auto"/>
              </w:rPr>
              <w:t>$ 285,135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$ 285,054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December 31, 2020</w:t>
            </w: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$ 288,199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$ 288,369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available-for-sale debt securities generally have contractual maturity dates of between 12 to 18 months. Debt security assets were assessed for risk of expected credit losses per our accounting policy as described in Note 2. As of September 30, 2021 and December 31, 2020, the available-for-sale debt securities were held in US-government backed funds and Treasury assets and were assessed on an individual security basis to have a de minimis risk of credit loss.</w:t>
      </w:r>
    </w:p>
    <w:p>
      <w:pPr>
        <w:spacing w:after="0" w:line="153" w:lineRule="exact"/>
        <w:rPr>
          <w:sz w:val="20"/>
          <w:szCs w:val="20"/>
          <w:color w:val="auto"/>
        </w:rPr>
      </w:pPr>
    </w:p>
    <w:p>
      <w:pPr>
        <w:ind w:left="400" w:hanging="356"/>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 and current expected credit losses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37% and 42% of the accounts receivable balance as of September 30, 2021 and December 31, 2020, respectively. For further information relating to these collaboration and license agreements, refer to Note 9.</w:t>
      </w:r>
    </w:p>
    <w:p>
      <w:pPr>
        <w:spacing w:after="0" w:line="19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November 2011, we began commercialization and distribution of JAKAFI, and in April 2020, we began commercialization and distribution of PEMAZYRE to a number of customers. Our product revenues are concentrated in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number of these customers. The concentration of credit risk related to our JAKAFI and PEMAZYRE product revenues is as follows:</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jc w:val="center"/>
        <w:ind w:left="4580"/>
        <w:spacing w:after="0"/>
        <w:rPr>
          <w:sz w:val="20"/>
          <w:szCs w:val="20"/>
          <w:color w:val="auto"/>
        </w:rPr>
      </w:pPr>
      <w:r>
        <w:rPr>
          <w:rFonts w:ascii="Arial" w:cs="Arial" w:eastAsia="Arial" w:hAnsi="Arial"/>
          <w:sz w:val="13"/>
          <w:szCs w:val="13"/>
          <w:b w:val="1"/>
          <w:bCs w:val="1"/>
          <w:color w:val="auto"/>
        </w:rPr>
        <w:t>Percentage of Total Net</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2"/>
          <w:szCs w:val="12"/>
          <w:b w:val="1"/>
          <w:bCs w:val="1"/>
          <w:color w:val="auto"/>
        </w:rPr>
        <w:t>Product Revenues for the</w:t>
      </w:r>
    </w:p>
    <w:p>
      <w:pPr>
        <w:spacing w:after="0" w:line="11"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wp:posOffset>
            </wp:positionV>
            <wp:extent cx="1388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wp:posOffset>
            </wp:positionV>
            <wp:extent cx="1388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4600"/>
        <w:spacing w:after="0"/>
        <w:tabs>
          <w:tab w:leader="none" w:pos="5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spacing w:after="0" w:line="254" w:lineRule="auto"/>
        <w:rPr>
          <w:sz w:val="20"/>
          <w:szCs w:val="20"/>
          <w:color w:val="auto"/>
        </w:rPr>
      </w:pPr>
      <w:r>
        <w:rPr>
          <w:rFonts w:ascii="Arial" w:cs="Arial" w:eastAsia="Arial" w:hAnsi="Arial"/>
          <w:sz w:val="13"/>
          <w:szCs w:val="13"/>
          <w:b w:val="1"/>
          <w:bCs w:val="1"/>
          <w:color w:val="auto"/>
        </w:rPr>
        <w:t>Percentage of Total Net Product Revenues 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-3175</wp:posOffset>
            </wp:positionV>
            <wp:extent cx="1397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-3175</wp:posOffset>
            </wp:positionV>
            <wp:extent cx="13970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p>
      <w:pPr>
        <w:sectPr>
          <w:pgSz w:w="11900" w:h="16838" w:orient="portrait"/>
          <w:cols w:equalWidth="0" w:num="2">
            <w:col w:w="6260" w:space="720"/>
            <w:col w:w="203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11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19 %</w:t>
            </w:r>
          </w:p>
        </w:tc>
        <w:tc>
          <w:tcPr>
            <w:tcW w:w="12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20 %</w:t>
            </w:r>
          </w:p>
        </w:tc>
        <w:tc>
          <w:tcPr>
            <w:tcW w:w="11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19 %</w:t>
            </w:r>
          </w:p>
        </w:tc>
        <w:tc>
          <w:tcPr>
            <w:tcW w:w="11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20 %</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Customer B</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12 %</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17 %</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Customer 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11 %</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8 %</w:t>
            </w:r>
          </w:p>
        </w:tc>
      </w:tr>
    </w:tbl>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and E comprised, in aggregate, 32% and 33% of the accounts receivable balance as of September 30, 2021 and December 31, 2020, respectively. The concentration of credit risk relating to ICLUSIG and MINJUVI product revenues or accounts receivable is not significant.</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assessed our collaborative and customer receivable assets as of September 30, 2021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8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120" w:type="dxa"/>
            <w:vAlign w:val="bottom"/>
            <w:shd w:val="clear" w:color="auto" w:fill="CCEEFF"/>
          </w:tcPr>
          <w:p>
            <w:pPr>
              <w:spacing w:after="0"/>
              <w:rPr>
                <w:sz w:val="18"/>
                <w:szCs w:val="18"/>
                <w:color w:val="auto"/>
              </w:rPr>
            </w:pPr>
          </w:p>
        </w:tc>
      </w:tr>
      <w:tr>
        <w:trPr>
          <w:trHeight w:val="209"/>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35,973</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20" w:type="dxa"/>
            <w:vAlign w:val="bottom"/>
            <w:shd w:val="clear" w:color="auto" w:fill="CCEEFF"/>
          </w:tcPr>
          <w:p>
            <w:pPr>
              <w:spacing w:after="0"/>
              <w:rPr>
                <w:sz w:val="18"/>
                <w:szCs w:val="18"/>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Inventories-noncurrent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19,548</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September 30, 2021, $21.3 million of inventory was classified as current on the condensed consolidated balance sheet as we expect this inventory to be consumed for commercial use within the next twelve months. At September 30, 2021, $30.9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capitalize inventory after FDA approval as the related costs are expected to be recoverable through the commercialization of the product. Costs incurred prior to FDA approval are recorded as research and development expense in our statements of operations. At September 30, 2021, inventory with approximately $72.1 million of product costs incurred prior to FDA approval had not yet been sold. We expect to sell the pre commercialization inventory over the next 3 to 36 months and as a result, cost of product revenues for will reflect a lower average per unit cost of materials.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Manufacturing and laboratory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86,021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238,042</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257,929</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854,512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703,999</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(167,794)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(144,374)</w:t>
            </w:r>
          </w:p>
        </w:tc>
      </w:tr>
      <w:tr>
        <w:trPr>
          <w:trHeight w:val="209"/>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686,718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559,625</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March 2017, we acquired additional adjacent buildings to our global headquarters in Wilmington, Delaware and in 2019, began demolition of these buildings and construction of a new laboratory and office building totaling approximately 200,000 square feet. As of September 30, 2021, we have capitalized approximately $140.7 million in on site preparation, design and construction costs and currently expect the building to be completed in the first half of 2022.</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February 2018, we signed an agreement to rent a building in Morges, Switzerland for an initial term of 15 years plus one year of free rent, with multiple options to extend for an additional 20 years. The building serves as our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We have capitalized approximately $19.1 million in leasehold improvements as of September 30, 2021 relating to Morges.</w:t>
      </w:r>
    </w:p>
    <w:p>
      <w:pPr>
        <w:spacing w:after="0" w:line="17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September 30, 2021, we have capitalized approximately $186.7 million in construction in progress for costs for construction, ground preparation and architectural and engineering studies. We currently expect the facility will be operational in the first half of 2022.</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 and are as follows (in thousands):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12,674</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Noncurrent</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32,573</w:t>
            </w:r>
          </w:p>
        </w:tc>
        <w:tc>
          <w:tcPr>
            <w:tcW w:w="120" w:type="dxa"/>
            <w:vAlign w:val="bottom"/>
            <w:tcBorders>
              <w:bottom w:val="single" w:sz="8" w:color="CCEEFF"/>
            </w:tcBorders>
          </w:tcPr>
          <w:p>
            <w:pPr>
              <w:spacing w:after="0"/>
              <w:rPr>
                <w:sz w:val="18"/>
                <w:szCs w:val="18"/>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80" w:firstLine="648"/>
        <w:spacing w:after="0" w:line="279" w:lineRule="auto"/>
        <w:rPr>
          <w:sz w:val="20"/>
          <w:szCs w:val="20"/>
          <w:color w:val="auto"/>
        </w:rPr>
      </w:pPr>
      <w:r>
        <w:rPr>
          <w:rFonts w:ascii="Arial" w:cs="Arial" w:eastAsia="Arial" w:hAnsi="Arial"/>
          <w:sz w:val="17"/>
          <w:szCs w:val="17"/>
          <w:color w:val="auto"/>
        </w:rPr>
        <w:t>The cash paid for amounts included in the measurement of our operating lease liabilities for the nine months ended September 30, 2021 and 2020 was $11.4 million and $8.7 million, respectively, in operating cash flows. The cash paid for amounts included in the measurement of our finance lease liabilities for the nine months ended September 30, 2021 and 2020 was $1.8 million and $0.6 million, respectively, in financing cash flows.</w:t>
      </w:r>
    </w:p>
    <w:p>
      <w:pPr>
        <w:spacing w:after="0" w:line="171" w:lineRule="exact"/>
        <w:rPr>
          <w:sz w:val="20"/>
          <w:szCs w:val="20"/>
          <w:color w:val="auto"/>
        </w:rPr>
      </w:pPr>
    </w:p>
    <w:p>
      <w:pPr>
        <w:jc w:val="both"/>
        <w:ind w:left="40" w:right="180" w:firstLine="648"/>
        <w:spacing w:after="0" w:line="279" w:lineRule="auto"/>
        <w:rPr>
          <w:sz w:val="20"/>
          <w:szCs w:val="20"/>
          <w:color w:val="auto"/>
        </w:rPr>
      </w:pPr>
      <w:r>
        <w:rPr>
          <w:rFonts w:ascii="Arial" w:cs="Arial" w:eastAsia="Arial" w:hAnsi="Arial"/>
          <w:sz w:val="17"/>
          <w:szCs w:val="17"/>
          <w:color w:val="auto"/>
        </w:rPr>
        <w:t>As of September 30, 2021, our finance and operating leases had a weighted average lease term of approximately 13.6 and 4.7 years, respectively. The discount rate of our leases is an approximation of an estimated incremental borrowing rate and is dependent upon the term and economics of each agreement. The weighted average discount rate of our finance and operating leases is approximately 4.1% and 8.8%, respectively.</w:t>
      </w:r>
    </w:p>
    <w:p>
      <w:pPr>
        <w:spacing w:after="0" w:line="171" w:lineRule="exact"/>
        <w:rPr>
          <w:sz w:val="20"/>
          <w:szCs w:val="20"/>
          <w:color w:val="auto"/>
        </w:rPr>
      </w:pPr>
    </w:p>
    <w:p>
      <w:pPr>
        <w:jc w:val="both"/>
        <w:ind w:left="40" w:right="180" w:firstLine="648"/>
        <w:spacing w:after="0" w:line="290" w:lineRule="auto"/>
        <w:rPr>
          <w:sz w:val="20"/>
          <w:szCs w:val="20"/>
          <w:color w:val="auto"/>
        </w:rPr>
      </w:pPr>
      <w:r>
        <w:rPr>
          <w:rFonts w:ascii="Arial" w:cs="Arial" w:eastAsia="Arial" w:hAnsi="Arial"/>
          <w:sz w:val="16"/>
          <w:szCs w:val="16"/>
          <w:color w:val="auto"/>
        </w:rPr>
        <w:t>For the three and nine months ended September 30, 2021, we incurred approximately $3.5 million and $10.7 million, respectively, of expense related to our operating leases, approximately $0.7 million and $2.0 million, respectively, of amortization on our finance lease right-of-use assets and approximately $0.4 million and $1.0 million, respectively, of interest expense on our finance lease liabilities. For the three and nine months ended September 30, 2020, we incurred approximately $2.9 million and $9.0 million, respectively, of expense related to our operating leases, approximately $0.7 million and $1.9 million, respectively, of amortization on our finance lease right-of-use assets and approximately $0.3 million and $0.9 million, respectively, of interest expense on our finance lease liabilities. For the three and nine months ended September 30, 2021 and 2020, the cost of our short term leases with a term less than 12 months was de minimis.</w:t>
      </w:r>
    </w:p>
    <w:p>
      <w:pPr>
        <w:spacing w:after="0" w:line="161"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Balance at September 30, 2021</w:t>
            </w:r>
          </w:p>
        </w:tc>
        <w:tc>
          <w:tcPr>
            <w:tcW w:w="16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Balance at December 31, 2020</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Finite-lived intangible assets:</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00"/>
              <w:spacing w:after="0"/>
              <w:rPr>
                <w:sz w:val="20"/>
                <w:szCs w:val="20"/>
                <w:color w:val="auto"/>
              </w:rPr>
            </w:pPr>
            <w:r>
              <w:rPr>
                <w:rFonts w:ascii="Arial" w:cs="Arial" w:eastAsia="Arial" w:hAnsi="Arial"/>
                <w:sz w:val="18"/>
                <w:szCs w:val="18"/>
                <w:color w:val="auto"/>
              </w:rPr>
              <w:t>Licensed IP</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114,861</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$ 156,139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  98,709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$ 172,291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80"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21,536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440" w:top="517" w:right="1319"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There were no changes to the carrying amount of goodwill for the nine months ended September 30, 2021.</w:t>
      </w:r>
    </w:p>
    <w:p>
      <w:pPr>
        <w:spacing w:after="0" w:line="221" w:lineRule="exact"/>
        <w:rPr>
          <w:sz w:val="20"/>
          <w:szCs w:val="20"/>
          <w:color w:val="auto"/>
        </w:rPr>
      </w:pPr>
    </w:p>
    <w:p>
      <w:pPr>
        <w:ind w:left="360" w:hanging="316"/>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sales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$200.0 million for the achievement of sales milestones through September 30, 2021.</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May 2020, we recognized a $25.0 million development milestone and a $45.0 million regulatory milestone for the FDA approval of capmatinib as TABRECTA for the treatment of adult patients with metastatic non-small cell lung cancer (NSCLC) whose tumors have a mutation that leads to MET exon 14 skipping (METex14) as detected by an FDA-approved test. In June 2020, we recognized a $20.0 million regulatory milestone for the Japanese Ministry of Health, Labour and Welfare approval of TABRECTA for METex14 mutation-positive advanced and/or recurrent unresectable non-small cell lung cancer.</w:t>
      </w:r>
    </w:p>
    <w:p>
      <w:pPr>
        <w:spacing w:after="0" w:line="19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TABRECTA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nine months ended September 30, 2021, such royalties payable to Novartis on net sales within the United States totaled $26.9 million and $70.6 million, respectively, and were reflected in cost of product revenues on the condensed consolidated statements of operations. During the three and nine months ended September 30, 2020, such royalties payable to Novartis on net sales within the United States totaled $23.9 million and $64.6 million, respectively, and were reflected in cost of product revenues on the condensed consolidated statements of operations. At September 30, 2021 and December 31, 2020, $132.4 million and $96.4 million, respectively, of accrued royalties payable to Novartis were included in accrued and other current liabilities on the condensed consolidated balance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9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Reimbursable costs incurred after the effective date of the agreement with Novartis are recorded net against the related research and development expenses. Research and development expenses for the three and nine months ended September 30, 2021 were net of $0.0 million and $0.1 million, respectively, of costs reimbursed by Novartis. Research and development expenses for the three and nine months ended September 30, 2020 were net of $0.0 million and $0.3 million, respectively, of costs reimbursed by Novartis. At September 30, 2021 and December 31, 2020, $0.2 million and $0.2 million, respectively, of reimbursable costs were included in accounts receivable on the condensed consolidated balance sheets.</w:t>
      </w:r>
    </w:p>
    <w:p>
      <w:pPr>
        <w:spacing w:after="0" w:line="19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Milestone and contract revenue under the Novartis agreement for the three and nine months ended September 30, 2020 was $0.0 million and $90.0 million, respectively. Product royalty revenue related to Novartis net sales of JAKAVI outside of the United States for the three and nine months ended September 30, 2021 was $94.7 million and $242.3 million, respectively. Product royalty revenue related to Novartis net sales of JAKAVI outside of the United States for the three and nine months ended September 30, 2020 was $68.3 million and $190.9 million, respectively. Product royalty revenue related to Novartis net sales of TABRECTA worldwide for the three and nine months ended September 30, 2021 was $2.7 million and $7.3 million, respectively. Product royalty revenue related to Novartis net sales of TABRECTA worldwide for the three and nine months ended September 30, 2020 was $1.4 million and $2.1 million, respectively.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sales milestones. Exclusive of the upfront payment of $90.0 million received in 2009, we have recognized and received, in aggregate, $149.0 million for the achievement of development milestones and $265.0 million for the achievement of regulatory milestones through September 30, 2021.</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In June 2018, the FDA approved the 2mg dose of OLUMIANT for the treatment of adults with moderately-to-severely active rheumatoid arthritis who have had an inadequate response to one or more tumor necrosis factor inhibitor therapies. In October 2020, Lilly announced that the European Commission approved baricitinib as OLUMIANT for the treatment of moderate-to-severe atopic dermatitis in adult patients who are candidates for systemic therapy.</w:t>
      </w:r>
    </w:p>
    <w:p>
      <w:pPr>
        <w:spacing w:after="0" w:line="17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Product royalty revenue related to Lilly global net sales of OLUMIANT for the three and nine months ended September 30, 2021 was $86.6 million and $154.9 million, respectively. Product royalty revenue related to Lilly global net sales of OLUMIANT for the three and nine months ended September 30, 2020 was $28.6 million and $79.9 million, respectively.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6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2017 under the Amended Agreement, we paid Agenus $20.0 million in accelerated milestones relating to the clinical development of the GITR and OX40 programs. As of March 31, 2021, we have paid Agenus additional milestones totaling $10.0 million and Agenus is eligible to receive up to an additional $500.0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9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9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concluded Agenus Inc. is not a VIE because it has sufficient equity to finance its activities without additional subordinated financial support and its at-risk equity holders have the characteristics of a controlling financial interest. After completion of our stock purchases from Agenus Inc., we held an approximate ownership interest of 18% and, under circumstances present at that time, concluded that we had the ability to exercise significant influence, but not control, over Agenus Inc., primarily due to the level of intra-entity transactions between us and Agenus related to development expenses, as well as other qualitative factors. In the second quarter of 2020, we sold an aggregate of approximately 1.2 million shares of Agenus Inc. common stock. The sales transactions were priced at market, with per share pricing ranging from $3.57 to $4.21, resulting in gross proceeds of approximately $4.5 million. In the third quarter of 2020, we sold an aggregate of approximately 2.5 million shares of Agenus Inc. common stock. The sales transactions were priced at market, with per share pricing ranging from $4.28 to $5.25, resulting in gross proceeds of approximately $12.7 million. In the first quarter of 2021, we sold approximately 0.2 million shares of Agenus Inc. common stock priced at market at $5.45, resulting in gross proceeds of approximately $1.1 million. In the second quarter of 2021, we sold approximately 1.6 million shares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Agenus Inc. common stock priced at market, with per share pricing ranging from $4.59 to $5.41, resulting in gross proceeds of approximately $8.2 million. In the third quarter of 2021, we sold approximately 0.2 million shares of Agenus Inc. common stock priced at market, with per share pricing ranging from $5.74 to $6.75, resulting in gross proceeds of approximately $1.1 million. As of September 30, 2021, we owned approximately 5% of the outstanding shares of Agenus Inc. common stock. As a result of having a less than 10% ownership interest and the recent diversification of Agenus Inc.’s development pipeline with other collaboration partners, we concluded that we no longer have significant influence over Agenus Inc. As such, we no longer account for our equity investment in Agenus Inc. as an equity method investment previously accounted for under the fair value option. We account for our investment in Agenus Inc. at fair value, whereby the investment is marked to market through earnings in each reporting period. For the three and nine months ended September 30, 2021, we recorded an unrealized loss of $2.8 million and an unrealized gain of $29.1 million, respectively, based on the change in fair value of Agenus Inc.’s common stock during these periods. For the three and nine months ended September 30, 2020, we recorded an unrealized gain of $3.9 million and $1.2 million, respectively, based on the change in fair value of Agenus Inc.’s common stock during these periods. The fair market value of our long term investment in Agenus Inc. at September 30, 2021 and December 31, 2020 was $63.4 million and $44.7 million, respectively.</w:t>
      </w:r>
    </w:p>
    <w:p>
      <w:pPr>
        <w:spacing w:after="0" w:line="171"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nine months ended September 30, 2021 also included $0.2 million and $0.9 million, respectively, of development costs incurred pursuant to the Agenus arrangement. Research and development expenses for the three and nine months ended September 30, 2020 also included $0.1 million and $0.4 million, respectively, of development costs incurred pursuant to the Agenus arrangement. At September 30, 2021 and December 31, 2020, a total of $0.8 million and $0.5 million, respectively, of such costs were included in accrued and other liabilities on the condensed consolidated balance sheets.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9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In January 2021, we purchased 350,000 common shares in Merus’ underwritten public offering of 4,848,485 common shares at the public offering price of $24.75 per share, or an aggregate purchase price of $8.7 million. The fair market value of our total long term investment in Merus at September 30, 2021 and December 31, 2020 was $78.1 million and $56.1 million, respectively.</w:t>
      </w:r>
    </w:p>
    <w:p>
      <w:pPr>
        <w:spacing w:after="0" w:line="17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Merus is not a VIE because it has sufficient equity to finance its activities without additional subordinated financial support and its at-risk equity holders have the characteristics of a controlling financial interest. As of September 30, 2021, we owned approximately 9%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2021, we recorded an unrealized gain of $3.3 million and $13.3 million, respectively, based on the change in fair value of Merus’ common shares during these periods. For the three and nine months ended September 30, 2020, we recorded an unrealized loss of $13.1 million and $6.7 million, respectively, based on the change in fair value of Merus’ common shares during these periods.</w:t>
      </w:r>
    </w:p>
    <w:p>
      <w:pPr>
        <w:spacing w:after="0" w:line="21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nine months ended September 30, 2021 included $3.1 million and $10.9 million, respectively, of additional development costs incurred pursuant to the Merus agreement. Research and development expenses for the three and nine months ended September 30, 2020 included $1.8 million and $6.0 million, respectively, of additional development costs incurred pursuant to the Merus agreement. At September 30, 2021 and December 31, 2020, a total of $1.6 million and $1.6 million, respectively, of such costs were included in accrued and other liabilities on the condensed consolidated balance sheets.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88"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As of September 30, 2021, we have paid Calithera an upfront license fee of $45.0 million and an additional $12.0 million milestone payment. In August 2020,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Calithera is eligible to receive $720.0 million in potential future development, regulatory and sales milestone payments and will have no further rights to research, develop or co-detail INCB001158. We will have the right to take over the conduct of all activities related to the research, development and commercialization of INCB001158 for all indications in the hematology/oncology field.</w:t>
      </w:r>
    </w:p>
    <w:p>
      <w:pPr>
        <w:spacing w:after="0" w:line="185"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shares of common stock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September 30, 2021 and December 31, 2020 was $3.8 million and $8.4 million, respectively.</w:t>
      </w:r>
    </w:p>
    <w:p>
      <w:pPr>
        <w:spacing w:after="0" w:line="18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concluded Calithera is not a VIE because it has sufficient equity to finance its activities without additional subordinated financial support and its at-risk equity holders have the characteristics of a controlling financial interest. As of September 30, 2021, we owned approximately 2%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2021 we recorded an unrealized gain of $0.2 million and an unrealized loss of $4.6 million, respectively, based on the change in fair value of Calithera’s common stock during these periods. For the three and nine months ended September 30, 2020 we recorded an unrealized loss of $3.2 million and $3.9 million, respectively, based on the change in fair value of Calithera’s common stock during these periods.</w:t>
      </w:r>
    </w:p>
    <w:p>
      <w:pPr>
        <w:spacing w:after="0" w:line="21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Research and development expenses for the three and nine months ended September 30, 2021 also included $0.3 million and $4.8 million, respectively, of additional development costs incurred pursuant to the Calithera agreement. Research and development expenses for the three and nine months ended September 30, 2020 also included $2.0 million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and $6.4 million, respectively, of additional development costs incurred pursuant to the Calithera agreement. At September 30, 2021 and December 31, 2020, a total of $0.0 million and $0.6 million, respectively, of such costs were included in accrued and other liabilities on the condensed consolidated balance sheets.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5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September 30, 2021, we have paid MacroGenics an upfront payment of $150.0 million and developmental milestones totaling $70.0 million. MacroGenics is eligible to receive up to an additional $350.0 million in future contingent development and regulatory milestones, and up to $330.0 million in commercial milestones as well as tiered royalties ranging from 15% to 24% of global net sales.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nine months ended September 30, 2021 also included $17.8 million and $49.0 million, respectively, of additional development costs incurred pursuant to the MacroGenics agreement. Research and development expenses for the three and nine months ended September 30, 2020 also included $10.6 million and $43.3 million, respectively, of additional development costs incurred pursuant to the MacroGenics agreement. At September 30, 2021 and December 31, 2020, a total of $0.0 million and $0.1 million of such costs were included in accrued and other liabilities on the condensed consolidated balance sheets.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shares of common stock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September 30, 2021 and December 31, 2020 was $4.2 million and $10.2 million, respectively.</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concluded Syros is not a VIE because it has sufficient equity to finance its activities without additional subordinated financial support and its at-risk equity holders have the characteristics of a controlling financial interest. As of September 30, 2021,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2021, we recorded an unrealized loss of $0.9 million and $6.0 million, respectively, based on the change in fair value of Syros’ common stock during these periods. For the three and nine months ended September 30, 2020, we recorded an unrealized loss of $1.7 million and an unrealized gain of $1.8 million, respectively, based on the change in fair value of Syros’ common stock during these periods.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condensed consolidated statement of operations. The upfront milestone was recognized as revenue at a point in time upon our transfer of the licenses to Innovent for the right to use the functional intellectual property. In addition, we are eligible to receive up to an additional $94.0 million in potential development and regulatory milestones.</w:t>
      </w:r>
    </w:p>
    <w:p>
      <w:pPr>
        <w:spacing w:after="0" w:line="18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June 2021, we recognized a $10.0 million milestone for approval of PEMAZYRE in Taiwan, which was recorded in milestone and contract revenues. In April 2020, we recognized a $5.0 million milestone for the FDA approval of pemigatinib as PEMAZYRE, which was recorded in milestone and contract revenues.</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Research and development expenses for the three and nine months ended September 30, 2021 were net of $0.0 million and $2.3 million of costs reimbursed by Innovent. Research and development expenses for the three and nine months ended September 30, 2020 were net of $1.7 million and $4.3 million, respectively, of costs reimbursed by Innovent. At September 30, 2021 and December 31, 2020, $2.4 million and $1.2 million, respectively, of reimbursable costs were included in accounts receivable on the condensed consolidated balance sheets.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Research and development expenses for the three and nine months ended September 30, 2021 were net of $3.2 million of costs reimbursed by Zai Lab. Research and development expenses for the three and nine months ended September 30, 2020 were net of $0.0 million and $0.2 million, respectively, of costs reimbursed by Zai Lab. At September 30, 2021 and December 31, 2020, $0.8 million and $0.6 million, respectively, of reimbursable costs were included in accounts receivable on the condensed consolidated balance sheets.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March 2020, we paid MorphoSys an upfront non-refundable payment of $750.0 million which was recorded in research and development expense on the condensed consolidated statement of operations for the three months ended March 31, 2020. MorphoSys is eligible to receive up to $740.0 million in future contingent development and regulatory milestones and up to $315.0 million in commercialization milestones as well as tiered royalties ranging from the mid-teens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July 2020, we and MorphoSys announced that the FDA approved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MONJUVI was approved under accelerated approval based on overall response rate. In August 2021, we and MorphoSys announced that the European Commission granted conditional marketing authorization for MINJUVI (tafasitamab) in combination with lenalidomide, followed by MINJUVI monotherapy, for the treatment of adult patients with relapsed or refractory DLBCL who are not eligible for ASCT.</w:t>
      </w:r>
    </w:p>
    <w:p>
      <w:pPr>
        <w:spacing w:after="0" w:line="17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September 30, 2021 and December 31, 2020 was $42.7 million and $102.9 million, respectively.</w:t>
      </w:r>
    </w:p>
    <w:p>
      <w:pPr>
        <w:spacing w:after="0" w:line="17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concluded MorphoSys is not a VIE because it has sufficient equity to finance its activities without additional subordinated financial support and its at-risk equity holders have the characteristics of a controlling financial interest. As of September 30, 2021,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2021, we recorded an unrealized loss of $27.3 million and $60.2 million, respectively, based on the change in fair value of MorphoSys’ common stock during these periods. For the three and nine months ended September 30, 2020, we recorded an unrealized gain of $0.9 million and $18.5 million, respectively, based on the change in fair value of MorphoSys’ common stock during these periods.</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50% share of the United States loss for the commercialization of tafasitamab for the three and nine months ended September 30, 2021 was $9.1 million and $29.5 million, respectively, and is recorded as collaboration loss sharing on the condensed consolidated statement of operations. Our 50% share of the United States loss for the commercialization of tafasitamab for the three and nine months ended September 30, 2020 was $15.0 million and $30.4 million, respectively, and is recorded as collaboration loss sharing on the condensed consolidated statement of operations. Research and development expenses for the three and nine months ended September 30, 2021, includes $21.5 million and $55.8 million, respectively, related to our 55% share of the co-development costs for tafasitamab. Research and development expenses for the three and nine months ended September 30, 2020, includes $23.8 million and $51.1 million, respectively, related to our 55% share of the co-development costs for tafasitamab. At September 30, 2021 and December 31, 2020, $52.3 million and $54.2 million, respectively, was included in accrued and other liabilities on the condensed consolidated balance sheets for amounts due to MorphoSys under the agreement.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InnoCare</w:t>
      </w:r>
    </w:p>
    <w:p>
      <w:pPr>
        <w:spacing w:after="0" w:line="26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August 2021, we entered into a Collaboration and License Agreement with Sunny Investments Limited, a wholly-owned subsidiary of InnoCare Pharma Limited (“InnoCare”). InnoCare received development and exclusive commercialization rights to tafasitamab in hematology and oncology in mainland China, Hong Kong, Macau and Taiwan. In September 2021, we recognized an upfront payment under this agreement of $35.0 million upon our transfer of technology related to the licensed product candidate to InnoCare, which was recorded in milestone and contract revenues on the condensed consolidated statement of operations. Under the terms of this agreement, we are eligible to receive up to an additional $45.0 million in potential development and regulatory milestones. We recognize development and regulatory milestones upon confirmation of achievement of the event, as development and regulatory approvals are events not controllable by us but rather development activities of InnoCare and decisions made by regulatory agencies. In the event of commercialization, we are eligible to receive up to $37.5 million in potential sales milestones from InnoCare. We will recognize sales milestones in the corresponding period of the product sale upon confirmation of net sales milestone threshold achievement by InnoCare. We are also eligible to receive tiered royalties from the low to mid-twenties on future product sales resulting from the collaboration.</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w:t>
      </w:r>
    </w:p>
    <w:p>
      <w:pPr>
        <w:spacing w:after="0" w:line="29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Under the terms of the agreement, we will receive exclusive commercialization rights outside of the United States, and Syndax and we will have co-commercialization rights in the United States, with respect to axatilimab in GVHD and potentially other indications. We will be responsible for leading the global commercialization strategy and Syndax has the option to participate in commercialization efforts in the United States. We and Syndax will share equally the profits and losses from the co-commercialization efforts in the United States. We and Syndax have agreed to co-develop axatilimab and to share development costs associated with global clinical trials, with Incyte responsible for 55% of such costs and Syndax responsible for 45% of such costs and we will be responsible for funding development activities specific to territories outside of the United States. Each company will be responsible for funding any independent development activities. All development costs related to the collaboration will be subject to a joint development plan.</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effectiveness of the agreement is conditioned upon expiration of the waiting period under the Hart-Scott-Rodino Antitrust Improvements Act of 1976, which we expect to take place in the fourth quarter of 2021. We have agreed to pay Syndax, upon the effectiveness of the agreement, an upfront non-refundable payment of $117.0 million. Syndax will be eligible to receive up to $220.0 million in future contingent development and regulatory milestones and $230.0 million in commercialization milestones, as well as tiered royalties in the mid-teens on net sales in Europe in Japan and low double digits on net sales in the rest of the world outside of the United States. Syndax’s right to receive royalties in any particular country will expire upon the last to occur of (a) the expiration of the licensed patent rights covering the licensed product in that particular country, (b) a specified period of time after the first post-marketing authorization sale of a licensed product in that country, and (c) the expiration of any regulatory exclusivity for that licensed product in that country.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addition, under the collaboration agreement and pursuant to a related stock purchase agreement, we agreed to purchase 1,421,523 shares of common stock of Syndax for an aggregate purchase price of $35.0 million, or $24.62 per share. We agreed, subject to limited exceptions, not to sell or otherwise transfer any of the shares for a six month period after the closing date of the sale. Closing of the purchase of the shares is expected to occur concurrently with the effectiveness of the collaboration agreement, and is subject to customary conditions.</w:t>
      </w:r>
    </w:p>
    <w:p>
      <w:pPr>
        <w:spacing w:after="0" w:line="172" w:lineRule="exact"/>
        <w:rPr>
          <w:sz w:val="20"/>
          <w:szCs w:val="20"/>
          <w:color w:val="auto"/>
        </w:rPr>
      </w:pPr>
    </w:p>
    <w:p>
      <w:pPr>
        <w:ind w:left="500" w:hanging="456"/>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recorded $42.7 million and $134.8 million of stock compensation expense on our condensed consolidated statements of operations for the three and nine months ended September 30, 2021, respectively. We recorded $43.8 million and $132.6 million of stock compensation expense on our condensed consolidated statements of operations for the three and nine months ended September 30, 2020, respectively. Stock compensation expense included within our condensed consolidated statements of operations included research and development expense of $26.3 million, $84.2 million, $29.0 million and $90.2 million for the three and nine months ended September 30, 2021 and 2020, respectively. Stock compensation expense included within our condensed consolidated statements of operations also included selling, general and administrative expense of $15.9 million, $49.5 million, $14.6 million and $41.7 million for the three and nine months ended September 30, 2021 and 2020, respectively. Stock compensation expense included within our condensed consolidated statements of operations also included cost of product revenues of $0.5 million, $1.1 million, $0.2 million and $0.7 million, respectively, for the three and nine months ended September 30, 2021 and 2020. For the three and nine months ended September 30, 2021 and 2020, we capitalized $0.6 million, $1.8 million, $0.2 million and $0.5 million, respectively, of stock compensation expense as part of the cost of assets.</w:t>
      </w:r>
    </w:p>
    <w:p>
      <w:pPr>
        <w:spacing w:after="0" w:line="18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Employee Stock Options</w:t>
      </w:r>
    </w:p>
    <w:p>
      <w:pPr>
        <w:spacing w:after="0" w:line="10" w:lineRule="exact"/>
        <w:rPr>
          <w:sz w:val="20"/>
          <w:szCs w:val="20"/>
          <w:color w:val="auto"/>
        </w:rPr>
      </w:pPr>
    </w:p>
    <w:tbl>
      <w:tblPr>
        <w:tblLayout w:type="fixed"/>
        <w:tblInd w:w="2320" w:type="dxa"/>
        <w:tblCellMar>
          <w:top w:w="0" w:type="dxa"/>
          <w:left w:w="0" w:type="dxa"/>
          <w:bottom w:w="0" w:type="dxa"/>
          <w:right w:w="0" w:type="dxa"/>
        </w:tblCellMar>
      </w:tblPr>
      <w:tr>
        <w:trPr>
          <w:trHeight w:val="119"/>
        </w:trPr>
        <w:tc>
          <w:tcPr>
            <w:tcW w:w="1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 the Three</w:t>
            </w:r>
          </w:p>
        </w:tc>
        <w:tc>
          <w:tcPr>
            <w:tcW w:w="1700" w:type="dxa"/>
            <w:vAlign w:val="bottom"/>
            <w:tcBorders>
              <w:top w:val="single" w:sz="8" w:color="auto"/>
            </w:tcBorders>
          </w:tcPr>
          <w:p>
            <w:pPr>
              <w:jc w:val="center"/>
              <w:ind w:left="11"/>
              <w:spacing w:after="0" w:line="119" w:lineRule="exact"/>
              <w:rPr>
                <w:sz w:val="20"/>
                <w:szCs w:val="20"/>
                <w:color w:val="auto"/>
              </w:rPr>
            </w:pPr>
            <w:r>
              <w:rPr>
                <w:rFonts w:ascii="Arial" w:cs="Arial" w:eastAsia="Arial" w:hAnsi="Arial"/>
                <w:sz w:val="13"/>
                <w:szCs w:val="13"/>
                <w:b w:val="1"/>
                <w:bCs w:val="1"/>
                <w:color w:val="auto"/>
              </w:rPr>
              <w:t>For the</w:t>
            </w:r>
          </w:p>
        </w:tc>
      </w:tr>
      <w:tr>
        <w:trPr>
          <w:trHeight w:val="178"/>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Months Ended</w:t>
            </w:r>
          </w:p>
        </w:tc>
        <w:tc>
          <w:tcPr>
            <w:tcW w:w="1700" w:type="dxa"/>
            <w:vAlign w:val="bottom"/>
          </w:tcPr>
          <w:p>
            <w:pPr>
              <w:jc w:val="center"/>
              <w:ind w:left="11"/>
              <w:spacing w:after="0"/>
              <w:rPr>
                <w:sz w:val="20"/>
                <w:szCs w:val="20"/>
                <w:color w:val="auto"/>
              </w:rPr>
            </w:pPr>
            <w:r>
              <w:rPr>
                <w:rFonts w:ascii="Arial" w:cs="Arial" w:eastAsia="Arial" w:hAnsi="Arial"/>
                <w:sz w:val="14"/>
                <w:szCs w:val="14"/>
                <w:b w:val="1"/>
                <w:bCs w:val="1"/>
                <w:color w:val="auto"/>
                <w:w w:val="93"/>
              </w:rPr>
              <w:t>Nine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-3810</wp:posOffset>
            </wp:positionV>
            <wp:extent cx="2074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-3175</wp:posOffset>
            </wp:positionV>
            <wp:extent cx="2074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ind w:left="2400"/>
        <w:spacing w:after="0"/>
        <w:tabs>
          <w:tab w:leader="none" w:pos="3220" w:val="left"/>
          <w:tab w:leader="none" w:pos="4040" w:val="left"/>
          <w:tab w:leader="none" w:pos="48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Stock Purchase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90"/>
              <w:spacing w:after="0" w:line="119" w:lineRule="exact"/>
              <w:rPr>
                <w:sz w:val="20"/>
                <w:szCs w:val="20"/>
                <w:color w:val="auto"/>
              </w:rPr>
            </w:pPr>
            <w:r>
              <w:rPr>
                <w:rFonts w:ascii="Arial" w:cs="Arial" w:eastAsia="Arial" w:hAnsi="Arial"/>
                <w:sz w:val="13"/>
                <w:szCs w:val="13"/>
                <w:b w:val="1"/>
                <w:bCs w:val="1"/>
                <w:color w:val="auto"/>
              </w:rPr>
              <w:t>For the Three</w:t>
            </w:r>
          </w:p>
        </w:tc>
        <w:tc>
          <w:tcPr>
            <w:tcW w:w="6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451"/>
              <w:spacing w:after="0" w:line="119" w:lineRule="exact"/>
              <w:rPr>
                <w:sz w:val="20"/>
                <w:szCs w:val="20"/>
                <w:color w:val="auto"/>
              </w:rPr>
            </w:pPr>
            <w:r>
              <w:rPr>
                <w:rFonts w:ascii="Arial" w:cs="Arial" w:eastAsia="Arial" w:hAnsi="Arial"/>
                <w:sz w:val="13"/>
                <w:szCs w:val="13"/>
                <w:b w:val="1"/>
                <w:bCs w:val="1"/>
                <w:color w:val="auto"/>
                <w:w w:val="99"/>
              </w:rPr>
              <w:t>For the</w:t>
            </w:r>
          </w:p>
        </w:tc>
      </w:tr>
      <w:tr>
        <w:trPr>
          <w:trHeight w:val="171"/>
        </w:trPr>
        <w:tc>
          <w:tcPr>
            <w:tcW w:w="148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5"/>
              </w:rPr>
              <w:t>Months Ended</w:t>
            </w:r>
          </w:p>
        </w:tc>
        <w:tc>
          <w:tcPr>
            <w:tcW w:w="176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4"/>
              </w:rPr>
              <w:t>Nine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100" w:type="dxa"/>
            <w:vAlign w:val="bottom"/>
          </w:tcPr>
          <w:p>
            <w:pPr>
              <w:jc w:val="right"/>
              <w:ind w:right="230"/>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112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p>
    <w:p>
      <w:pPr>
        <w:sectPr>
          <w:pgSz w:w="11900" w:h="16838" w:orient="portrait"/>
          <w:cols w:equalWidth="0" w:num="2">
            <w:col w:w="5580" w:space="60"/>
            <w:col w:w="33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90"/>
        </w:trPr>
        <w:tc>
          <w:tcPr>
            <w:tcW w:w="22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Average risk-free interest rates</w:t>
            </w: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0.76 %</w:t>
            </w: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0.28 %</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0.60 %</w:t>
            </w:r>
          </w:p>
        </w:tc>
        <w:tc>
          <w:tcPr>
            <w:tcW w:w="8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0.85 %</w:t>
            </w:r>
          </w:p>
        </w:tc>
        <w:tc>
          <w:tcPr>
            <w:tcW w:w="8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0.28 %</w:t>
            </w:r>
          </w:p>
        </w:tc>
        <w:tc>
          <w:tcPr>
            <w:tcW w:w="8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0.13 %</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0.22 %</w:t>
            </w:r>
          </w:p>
        </w:tc>
        <w:tc>
          <w:tcPr>
            <w:tcW w:w="94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0.17 %</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Average expected life (in</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years)</w:t>
            </w:r>
          </w:p>
        </w:tc>
        <w:tc>
          <w:tcPr>
            <w:tcW w:w="46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380" w:type="dxa"/>
            <w:vAlign w:val="bottom"/>
          </w:tcPr>
          <w:p>
            <w:pPr>
              <w:spacing w:after="0"/>
              <w:rPr>
                <w:sz w:val="20"/>
                <w:szCs w:val="20"/>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39 %</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40 %</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25 %</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31 %</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46 %</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w w:val="99"/>
              </w:rPr>
              <w:t>Weighted-average fair value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(in dollars)</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28.84</w:t>
            </w: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36.73</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29.32</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32.79</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18.20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22.83</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18.82</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19.07</w:t>
            </w:r>
          </w:p>
        </w:tc>
        <w:tc>
          <w:tcPr>
            <w:tcW w:w="380" w:type="dxa"/>
            <w:vAlign w:val="bottom"/>
          </w:tcPr>
          <w:p>
            <w:pPr>
              <w:spacing w:after="0"/>
              <w:rPr>
                <w:sz w:val="20"/>
                <w:szCs w:val="20"/>
                <w:color w:val="auto"/>
              </w:rPr>
            </w:pPr>
          </w:p>
        </w:tc>
      </w:tr>
    </w:tbl>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Option activity under our 2010 Amended and Restated Stock Incentive Plan (the “2010 Stock Plan”) was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12,115,288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2,419,885</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(555,102)</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(855,329)</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91.81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13,124,742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8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89"/>
              </w:rPr>
              <w:t>Shares Subject 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Outstanding Awards</w:t>
            </w:r>
          </w:p>
        </w:tc>
      </w:tr>
      <w:tr>
        <w:trPr>
          <w:trHeight w:val="142"/>
        </w:trPr>
        <w:tc>
          <w:tcPr>
            <w:tcW w:w="66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3,284,583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1,764,067</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85.12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granted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83.58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(830,436)</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87.89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(200,353)</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68.08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(324,075)</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90.23</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(166,727)</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72.60</w:t>
            </w:r>
          </w:p>
        </w:tc>
        <w:tc>
          <w:tcPr>
            <w:tcW w:w="10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3,634,147</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87.07</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 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and will cliff vest in June 2021. For the remaining long term incentive plan, under which 290,000 PSUs were granted, the actual number of shares of our common stock into which each PSU may convert was subject to a multiplier of up to 100% based on the level at which the performance conditions were achieved. The actual number of shares of our common stock into which each PSU will convert is at a multiplier of 50% based on the performance conditions achieved as of the June 30, 2021 end of the performance period and will cliff vest in June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The actual number of shares of our common stock into which each PSU converted was at a multiplier of 83% based on the performance condition being achieved as of December 31, 2018. These PSUs will continue to vest through July 2022.</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The actual number of shares of our common stock into which each PSU will convert is at a multiplier of 101.8% based on the performance condition being achieved as of December 31, 2019. These PSUs will continue to vest through July 2023.</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2020, we granted 92,347 PSUs to executives with performance milestones and cliff vesting on the third anniversary from date of grant. The shares of our common stock into which each PSU may convert is subject to a multiplier up to 200% based on the level at which the financial and developmental performance conditions are achieved over the service period which ends December 31, 2022.</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2021, we granted 107,088 PSUs to executives with performance milestones and cliff vesting on the third anniversary from date of grant. The shares of our common stock into which each PSU may convert is subject to a multiplier up to 150% based on the level at which the financial and developmental performance conditions are achieved over the service period which ends December 31, 2023.</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Compensation expense for the above performance-based awards is recorded over the estimated service period for each milestone when the performance conditions are deemed probable of achievement. For PSUs containing performance conditions which were not deemed probable of achievement, no stock compensation expense is recorded. For the three and nine months ended September 30, 2021 we recorded $1.7 million and $5.0 million of stock compensation expense for PSUs on our condensed consolidated statements of operations. For the three and nine months ended September 30, 2020 we recorded $2.7 million and $11.4 million of stock compensation expense for PSUs on our condensed consolidated statements of operations.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shares available for grant under the 2010 Stock Plan:</w:t>
      </w:r>
    </w:p>
    <w:p>
      <w:pPr>
        <w:spacing w:after="0" w:line="23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Shares Available</w:t>
      </w:r>
    </w:p>
    <w:p>
      <w:pPr>
        <w:spacing w:after="0" w:line="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Options, RSUs and PSUs granted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2021</w:t>
      </w:r>
    </w:p>
    <w:p>
      <w:pPr>
        <w:spacing w:after="0" w:line="20" w:lineRule="exact"/>
        <w:rPr>
          <w:sz w:val="20"/>
          <w:szCs w:val="20"/>
          <w:color w:val="auto"/>
        </w:rPr>
      </w:pPr>
      <w:r>
        <w:rPr>
          <w:sz w:val="20"/>
          <w:szCs w:val="20"/>
          <w:color w:val="auto"/>
        </w:rPr>
        <w:br w:type="column"/>
      </w:r>
    </w:p>
    <w:p>
      <w:pPr>
        <w:jc w:val="center"/>
        <w:ind w:right="199"/>
        <w:spacing w:after="0"/>
        <w:rPr>
          <w:sz w:val="20"/>
          <w:szCs w:val="20"/>
          <w:color w:val="auto"/>
        </w:rPr>
      </w:pPr>
      <w:r>
        <w:rPr>
          <w:rFonts w:ascii="Arial" w:cs="Arial" w:eastAsia="Arial" w:hAnsi="Arial"/>
          <w:sz w:val="18"/>
          <w:szCs w:val="18"/>
          <w:color w:val="auto"/>
        </w:rPr>
        <w:t>5,515,182</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9,500,000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(6,162,583)</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1,567,041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10,419,640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38735</wp:posOffset>
            </wp:positionV>
            <wp:extent cx="866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220" w:space="720"/>
            <w:col w:w="107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Total compensation cost of options granted but not yet vested, as of September 30, 2021, was $77.3 million, which is expected to be recognized over the weighted average period of approximately 1.3 years. Total compensation cost of RSUs granted but not yet vested, as of September 30, 2021, was $172.3 million, which is expected to be recognized over the weighted average period of approximately 2.0 years. Total compensation cost of PSUs granted but not yet vested, as of September 30, 2021, was $19.2 million, which is expected to be recognized over the weighted average period of 1.6 years, should the underlying performance conditions be deemed probable of achievement.</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 w:hanging="436"/>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125,290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115,897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23,892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22,807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74,653</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47,811</w:t>
            </w:r>
          </w:p>
        </w:tc>
      </w:tr>
      <w:tr>
        <w:trPr>
          <w:trHeight w:val="209"/>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481,879</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378,404</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hanging="45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2021 was $4.4 million and $12.8 million, respectively. Defined contribution expense for the three and nine months ended September 30, 2020 was $3.5 million and $10.1 million, respectively.</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14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$5.3 million to the pension plans in 2021 inclusive of the amounts contributed to the plan during the current period.</w:t>
      </w:r>
    </w:p>
    <w:p>
      <w:pPr>
        <w:spacing w:after="0" w:line="161" w:lineRule="exact"/>
        <w:rPr>
          <w:sz w:val="20"/>
          <w:szCs w:val="20"/>
          <w:color w:val="auto"/>
        </w:rPr>
      </w:pPr>
    </w:p>
    <w:p>
      <w:pPr>
        <w:ind w:left="500" w:hanging="456"/>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For the three and nine months ended September 30, 2021, we recorded income tax expense of approximately $27.7 million and $65.7 million, respectively. For the three and nine months ended September 30, 2020, we recorded income tax expense of approximately $11.7 million and $45.2 million, respectively. The tax expense for the three and nine months ended September 30, 2021 and 2020 represents primarily federal and state tax liabilities that are not fully sheltered by net operating losses or research and development tax credit carryforwards.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of September 30, 2021, a full valuation allowance continues to be recorded against our U.S. and Swiss net deferred tax assets. Based upon our analysis of our historical operating results, as well as projections of our future taxable income (losses) during the periods in which the temporary differences will be recoverable, we believe the uncertainty regarding the realization of our U.S. and Swiss net deferred tax assets requires a full valuation allowance against such net assets as of September 30, 2021. When performing our assessment on projections of future taxable income (losses), we consider factors such as the likelihood of regulatory approval and commercial success of products currently under development, among other factors.</w:t>
      </w:r>
    </w:p>
    <w:p>
      <w:pPr>
        <w:spacing w:after="0" w:line="19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balance of our unrecognized tax benefits (including penalties and interest) increased by approximately $7.3 million during the nine months ended September 30, 2021. The overall net increase is primarily driven by positions taken on prior year returns in addition to tax benefits related to current year operations and research and development tax credits. After considering valuation allowance impacts, the change in unrecognized tax benefits resulted in a $5.4 million increase to noncurrent other liabilities on the condensed consolidated balance sheet.</w:t>
      </w:r>
    </w:p>
    <w:p>
      <w:pPr>
        <w:spacing w:after="0" w:line="172" w:lineRule="exact"/>
        <w:rPr>
          <w:sz w:val="20"/>
          <w:szCs w:val="20"/>
          <w:color w:val="auto"/>
        </w:rPr>
      </w:pPr>
    </w:p>
    <w:p>
      <w:pPr>
        <w:ind w:left="440" w:hanging="39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8"/>
          </w:tcPr>
          <w:p>
            <w:pPr>
              <w:jc w:val="right"/>
              <w:ind w:right="7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7"/>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9"/>
          </w:tcPr>
          <w:p>
            <w:pPr>
              <w:ind w:lef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gridSpan w:val="4"/>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Basic Net Income (Loss) Per Share</w:t>
            </w:r>
          </w:p>
        </w:tc>
        <w:tc>
          <w:tcPr>
            <w:tcW w:w="1400" w:type="dxa"/>
            <w:vAlign w:val="bottom"/>
            <w:tcBorders>
              <w:bottom w:val="single" w:sz="8" w:color="CCEEFF"/>
            </w:tcBorders>
            <w:gridSpan w:val="2"/>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Basic net income (loss)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181,739</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5"/>
              </w:rPr>
              <w:t>(15,203)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384,730</w:t>
            </w:r>
          </w:p>
        </w:tc>
        <w:tc>
          <w:tcPr>
            <w:tcW w:w="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(445,547)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218,784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220,243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217,684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Diluted Net Income (Loss) Per Share</w:t>
            </w:r>
          </w:p>
        </w:tc>
        <w:tc>
          <w:tcPr>
            <w:tcW w:w="1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Diluted net income (loss)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181,739</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5"/>
              </w:rPr>
              <w:t>(15,203)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384,730</w:t>
            </w:r>
          </w:p>
        </w:tc>
        <w:tc>
          <w:tcPr>
            <w:tcW w:w="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(445,547)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218,784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220,243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217,684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stock options and awards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50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to compute diluted net income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222,248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218,784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222,113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217,684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8820" w:type="dxa"/>
            <w:vAlign w:val="bottom"/>
            <w:gridSpan w:val="26"/>
          </w:tcPr>
          <w:p>
            <w:pPr>
              <w:ind w:left="540"/>
              <w:spacing w:after="0"/>
              <w:rPr>
                <w:sz w:val="20"/>
                <w:szCs w:val="20"/>
                <w:color w:val="auto"/>
              </w:rPr>
            </w:pPr>
            <w:r>
              <w:rPr>
                <w:rFonts w:ascii="Arial" w:cs="Arial" w:eastAsia="Arial" w:hAnsi="Arial"/>
                <w:sz w:val="18"/>
                <w:szCs w:val="18"/>
                <w:color w:val="auto"/>
                <w:w w:val="91"/>
              </w:rPr>
              <w:t>The potential common shares that were excluded from the diluted net income (loss) per share computation are as</w:t>
            </w:r>
          </w:p>
        </w:tc>
        <w:tc>
          <w:tcPr>
            <w:tcW w:w="0" w:type="dxa"/>
            <w:vAlign w:val="bottom"/>
          </w:tcPr>
          <w:p>
            <w:pPr>
              <w:spacing w:after="0"/>
              <w:rPr>
                <w:sz w:val="1"/>
                <w:szCs w:val="1"/>
                <w:color w:val="auto"/>
              </w:rPr>
            </w:pPr>
          </w:p>
        </w:tc>
      </w:tr>
      <w:tr>
        <w:trPr>
          <w:trHeight w:val="230"/>
        </w:trPr>
        <w:tc>
          <w:tcPr>
            <w:tcW w:w="4180" w:type="dxa"/>
            <w:vAlign w:val="bottom"/>
            <w:gridSpan w:val="4"/>
          </w:tcPr>
          <w:p>
            <w:pPr>
              <w:spacing w:after="0"/>
              <w:rPr>
                <w:sz w:val="20"/>
                <w:szCs w:val="20"/>
                <w:color w:val="auto"/>
              </w:rPr>
            </w:pPr>
            <w:r>
              <w:rPr>
                <w:rFonts w:ascii="Arial" w:cs="Arial" w:eastAsia="Arial" w:hAnsi="Arial"/>
                <w:sz w:val="18"/>
                <w:szCs w:val="18"/>
                <w:color w:val="auto"/>
              </w:rPr>
              <w:t>follows: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6"/>
          </w:tcPr>
          <w:p>
            <w:pPr>
              <w:jc w:val="center"/>
              <w:ind w:left="275"/>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0"/>
          </w:tcPr>
          <w:p>
            <w:pPr>
              <w:jc w:val="center"/>
              <w:ind w:right="6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gridSpan w:val="6"/>
          </w:tcPr>
          <w:p>
            <w:pPr>
              <w:jc w:val="center"/>
              <w:ind w:left="295"/>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9"/>
          </w:tcPr>
          <w:p>
            <w:pPr>
              <w:jc w:val="center"/>
              <w:ind w:right="7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11,841,440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15,447,389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9,917,824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15,447,389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gridSpan w:val="4"/>
          </w:tcPr>
          <w:p>
            <w:pPr>
              <w:spacing w:after="0" w:line="201" w:lineRule="exact"/>
              <w:rPr>
                <w:sz w:val="20"/>
                <w:szCs w:val="20"/>
                <w:color w:val="auto"/>
              </w:rPr>
            </w:pPr>
            <w:r>
              <w:rPr>
                <w:rFonts w:ascii="Arial" w:cs="Arial" w:eastAsia="Arial" w:hAnsi="Arial"/>
                <w:sz w:val="18"/>
                <w:szCs w:val="18"/>
                <w:color w:val="auto"/>
                <w:w w:val="93"/>
              </w:rPr>
              <w:t>Common shares issuable upon conversion of the 1.25%</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Convertible Senior Notes due 2020</w:t>
            </w: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231,339</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231,339</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8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w w:val="98"/>
              </w:rPr>
              <w:t>Total potential common shares excluded from diluted</w:t>
            </w:r>
          </w:p>
        </w:tc>
        <w:tc>
          <w:tcPr>
            <w:tcW w:w="1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11,841,440</w:t>
            </w:r>
          </w:p>
        </w:tc>
        <w:tc>
          <w:tcPr>
            <w:tcW w:w="1160" w:type="dxa"/>
            <w:vAlign w:val="bottom"/>
            <w:gridSpan w:val="6"/>
            <w:vMerge w:val="restart"/>
            <w:shd w:val="clear" w:color="auto" w:fill="CCEEFF"/>
          </w:tcPr>
          <w:p>
            <w:pPr>
              <w:jc w:val="right"/>
              <w:spacing w:after="0"/>
              <w:rPr>
                <w:sz w:val="20"/>
                <w:szCs w:val="20"/>
                <w:color w:val="auto"/>
              </w:rPr>
            </w:pPr>
            <w:r>
              <w:rPr>
                <w:rFonts w:ascii="Arial" w:cs="Arial" w:eastAsia="Arial" w:hAnsi="Arial"/>
                <w:sz w:val="18"/>
                <w:szCs w:val="18"/>
                <w:color w:val="auto"/>
              </w:rPr>
              <w:t>15,678,728</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9,917,824</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15,678,728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per share computation</w:t>
            </w:r>
          </w:p>
        </w:tc>
        <w:tc>
          <w:tcPr>
            <w:tcW w:w="1020" w:type="dxa"/>
            <w:vAlign w:val="bottom"/>
            <w:gridSpan w:val="3"/>
            <w:vMerge w:val="continue"/>
            <w:shd w:val="clear" w:color="auto" w:fill="CCEEFF"/>
          </w:tcPr>
          <w:p>
            <w:pPr>
              <w:spacing w:after="0"/>
              <w:rPr>
                <w:sz w:val="18"/>
                <w:szCs w:val="18"/>
                <w:color w:val="auto"/>
              </w:rPr>
            </w:pPr>
          </w:p>
        </w:tc>
        <w:tc>
          <w:tcPr>
            <w:tcW w:w="1160" w:type="dxa"/>
            <w:vAlign w:val="bottom"/>
            <w:gridSpan w:val="6"/>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jc w:val="right"/>
              <w:ind w:right="275"/>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hanging="396"/>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August 2021, we entered into a revolving credit and guaranty agreement (the “Credit Agreement”) among the Incyte Corporation, as borrower, subsidiary Incyte Holdings Corporation, as a guarantor, the lenders from time to time party thereto (the “Lenders”), J.P. Morgan Chase Bank, N.A. as administrative agent, and the other financial institutions party thereto. Under the Credit Agreement, the Lenders have committed to provide an unsecured three-year revolving credit facility in an aggregate principal amount of up to $500.0 million.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the Company’s pro forma consolidated leverage ratio would not exceed 0.25 above its consolidated leverage ratio in effect immediately prior to giving effect to such increase.</w:t>
      </w:r>
    </w:p>
    <w:p>
      <w:pPr>
        <w:spacing w:after="0" w:line="8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Loans under the Credit Agreement will bear interest, at our option, at a per annum rate equal to either (a) a base rate plus an applicable rate per annum varying from 0.125% to 0.875% depending on our consolidated leverage ratio or (b) a Eurodollar rate plus an applicable rate per annum varying from 1.125% to 1.875% depending on our consolidated leverage ratio. Commitment fees payable on the undrawn amount range from 0.150% per annum to 0.225% per annum, based on our consolidated leverage ratio.</w:t>
      </w:r>
    </w:p>
    <w:p>
      <w:pPr>
        <w:spacing w:after="0" w:line="80" w:lineRule="exact"/>
        <w:rPr>
          <w:sz w:val="20"/>
          <w:szCs w:val="20"/>
          <w:color w:val="auto"/>
        </w:rPr>
      </w:pPr>
    </w:p>
    <w:p>
      <w:pPr>
        <w:jc w:val="both"/>
        <w:ind w:left="40" w:right="59" w:firstLine="500"/>
        <w:spacing w:after="0" w:line="259" w:lineRule="auto"/>
        <w:rPr>
          <w:sz w:val="20"/>
          <w:szCs w:val="20"/>
          <w:color w:val="auto"/>
        </w:rPr>
      </w:pPr>
      <w:r>
        <w:rPr>
          <w:rFonts w:ascii="Arial" w:cs="Arial" w:eastAsia="Arial" w:hAnsi="Arial"/>
          <w:sz w:val="18"/>
          <w:szCs w:val="18"/>
          <w:color w:val="auto"/>
        </w:rPr>
        <w:t>As of September 30, 2021, we are in compliance with all financial and operational covenants under the terms of the Credit Agreement and there were no outstanding borrowings or letters of credit outstanding. We capitalized approximately $1.3 million in debt issuance costs related to the execution of the Credit Agreement. The debt issuance costs are being amortized over the term of the facility.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In November 2019, the qui tam complaint underlying the DOJ inquiry was unsealed (“Complaint”), at which time we learned that a former employee whom we had terminated had made certain allegations relating to the programs described above. We filed an Answer to the Complaint on January 22, 2020 and on November 12, 2020 we filed a Motion for Summary Judgment (“Motion”). All briefing on the Motion was completed on December 22, 2020. While we deny that any improper claims were submitted to government payers, we agreed on May 4, 2021 to settle the matter with the DOJ Civil Division for $12.6 million, plus certain statutory fees, which was recorded in selling, general and administrative expense during the nine months ended September 30, 2021.</w:t>
      </w:r>
    </w:p>
    <w:p>
      <w:pPr>
        <w:spacing w:after="0" w:line="16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4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9,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as of and for the three and nine months ended September 30, 2021 should be read in conjunction with the unaudited condensed consolidated financial statements and notes to those statements included elsewhere in this Quarterly Report on Form 10-Q and our audited consolidated financial statements as of and for the year ended December 31, 2020 included in our Annual Report on Form 10-K for the year ended December 31, 2020 previously filed with the SEC.</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202"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the discovery, development, formulation, manufacturing and commercialization of our compounds, our drug candidates and JAKAFI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/JAKAVI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(ruxolitinib), PEMAZYRE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(pemigatinib), ICLUSIG</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(ponatinib), MONJUVI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(tafasitamab-cxix) /MINJUVI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(tafasitamab), and OPZELURA™ (ruxolitinib) cream;</w:t>
      </w:r>
    </w:p>
    <w:p>
      <w:pPr>
        <w:spacing w:after="0" w:line="2" w:lineRule="exact"/>
        <w:rPr>
          <w:rFonts w:ascii="Arial" w:cs="Arial" w:eastAsia="Arial" w:hAnsi="Arial"/>
          <w:sz w:val="17"/>
          <w:szCs w:val="17"/>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74"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our drug products and drug candidates;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relating to the anticipated completion dates for our Delaware headquarters expansion project and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Delaware headquarters expansion project and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and OPZELURA is our trademark. We also refer to trademarks of other corporations and organizations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87" w:lineRule="exact"/>
        <w:rPr>
          <w:sz w:val="20"/>
          <w:szCs w:val="20"/>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79" w:hanging="325"/>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reimbursement for JAKAFI/JAKAVI or our other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for our products, in particular JAKAFI/JAKAVI, could harm our business and result in a decrease in our revenue.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have adversely affected and can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34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5" w:lineRule="exact"/>
        <w:rPr>
          <w:rFonts w:ascii="Arial" w:cs="Arial" w:eastAsia="Arial" w:hAnsi="Arial"/>
          <w:sz w:val="16"/>
          <w:szCs w:val="16"/>
          <w:color w:val="auto"/>
        </w:rPr>
      </w:pPr>
    </w:p>
    <w:p>
      <w:pPr>
        <w:ind w:left="720" w:right="79" w:hanging="325"/>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commercial and clinical development operations from our European headquarters in Morges, Switzerland and our Japanese office in Tokyo.</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and Graft-Versus-Host Disease (GVHD), as well as solid tumors and hematologic malignancies. The other therapeutic area is Inflammation and Autoimmunity (IAI), which includes our newly established Dermatology commercial franchise. We are also eligible to receive milestones and royalties on molecules discovered by us and licensed to third parties.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(tafasitamab-cxix)/MINJUVI (tafasitamab),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2"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and GVHD.</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MF is a rare, life-threatening condition. MF, considered the most serious of the myeloproliferative</w:t>
      </w:r>
      <w:r>
        <w:rPr>
          <w:rFonts w:ascii="Arial" w:cs="Arial" w:eastAsia="Arial" w:hAnsi="Arial"/>
          <w:sz w:val="17"/>
          <w:szCs w:val="17"/>
          <w:i w:val="1"/>
          <w:iCs w:val="1"/>
          <w:color w:val="auto"/>
        </w:rPr>
        <w:t xml:space="preserve"> </w:t>
      </w:r>
      <w:r>
        <w:rPr>
          <w:rFonts w:ascii="Arial" w:cs="Arial" w:eastAsia="Arial" w:hAnsi="Arial"/>
          <w:sz w:val="17"/>
          <w:szCs w:val="17"/>
          <w:color w:val="auto"/>
        </w:rPr>
        <w:t>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8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6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The approval of MONJUVI was based on data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8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is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7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6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 and itacitinib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Based on positive Phase II data, we opened two pivotal trials of ruxolitinib in combination with parsaclisib (PI3Kδ) in first-line MF (LIMBER-313) and in MF patients with a suboptimal response to ruxolitinib monotherapy (LIMBER-304), and both trials are ongoing. Additional Phase II trials combining ruxolitinib with investigational agents from our portfolio such as INCB57643 (BET) and INCB00928 (ALK2) in patients with MF are in preparation, and additional discovery and development initiatives are also ongoing within the LIMBER program, which are evaluating both internally-discovered compounds, including itacitinib (JAK1), and candidates from collaboration partners.</w:t>
      </w:r>
    </w:p>
    <w:p>
      <w:pPr>
        <w:spacing w:after="0" w:line="17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Itacitinib is a selective JAK1 inhibitor being evaluated in GRAVITAS-309, a pivotal Phase III trial of itacitinib in patients with steroid-naïve chronic GVHD. The FDA has granted itacitinib orphan drug status for GVHD.</w:t>
      </w:r>
    </w:p>
    <w:p>
      <w:pPr>
        <w:spacing w:after="0" w:line="14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September 2021, we and Syndax Pharmaceuticals, Inc. announced an exclusive worldwide collaboration and license agreement to develop and commercialize axatilimab, Syndax’s anti-CSF-1R monoclonal antibody, pending regulatory clearance. Together, we plan to develop axatilimab as a therapy for patients with chronic GVHD as well as in additional immune-mediated diseases where CSF-1R-dependent monocytes and macrophages are believed to contribute to organ fibrosis. The global pivotal Phase II AGAVE-201 trial of axatilimab monotherapy in patients with chronic GVHD in the third line setting is ongoing. Additional trials of axatilimab are planned in patients with chronic GVHD, including a Phase II trial in combination with a JAK inhibitor in patients with steroid-refractory cGVHD.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82" w:lineRule="exact"/>
        <w:rPr>
          <w:sz w:val="20"/>
          <w:szCs w:val="20"/>
          <w:color w:val="auto"/>
        </w:rPr>
      </w:pPr>
    </w:p>
    <w:p>
      <w:pPr>
        <w:jc w:val="both"/>
        <w:ind w:left="40" w:right="59" w:firstLine="648"/>
        <w:spacing w:after="0" w:line="237"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6"/>
          <w:szCs w:val="26"/>
          <w:color w:val="auto"/>
          <w:vertAlign w:val="superscript"/>
        </w:rPr>
        <w:t>2</w:t>
      </w:r>
      <w:r>
        <w:rPr>
          <w:rFonts w:ascii="Arial" w:cs="Arial" w:eastAsia="Arial" w:hAnsi="Arial"/>
          <w:sz w:val="18"/>
          <w:szCs w:val="18"/>
          <w:color w:val="auto"/>
        </w:rPr>
        <w:t>) in patients with relapsed or refractory follicular or marginal zone lymphomas is ongoing, and we are preparing to initiate a proof-of-concept study (topMIND) of tafasitamab in combination with parsaclisib (PI3Kδ) in patients with relapsed or refractory B-cell malignancies, a proof-of-concept study (coreMIND) of tafasitamab in combination with parsaclisib in chronic lymphocytic leukemia (CLL) and a proof-of-concept study of tafasitamab, lenalidomide and plamotamab in patients with r/r DLBCL.</w:t>
      </w:r>
    </w:p>
    <w:p>
      <w:pPr>
        <w:spacing w:after="0" w:line="20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ongoing trials, we have initiated additional trials. FIGHT-207, a solid tumor-agnostic trial evaluating pemigatinib in patients with driver-alterations of FGF/FGFR, is now closed to recruitment. Based on findings from this study, we have identified populations that may potentially benefit from treatment with pemigatinib and intend to initiate Phase II studies in glioblastoma and non-small cell lung cancer.</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 and Phase</w:t>
      </w:r>
    </w:p>
    <w:p>
      <w:pPr>
        <w:spacing w:after="0" w:line="1" w:lineRule="exact"/>
        <w:rPr>
          <w:sz w:val="20"/>
          <w:szCs w:val="20"/>
          <w:color w:val="auto"/>
        </w:rPr>
      </w:pPr>
    </w:p>
    <w:p>
      <w:pPr>
        <w:ind w:left="40" w:right="59" w:firstLine="4"/>
        <w:spacing w:after="0" w:line="323" w:lineRule="auto"/>
        <w:tabs>
          <w:tab w:leader="none" w:pos="27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trials in those indications are in preparation. The FDA has granted orphan drug designation and Fast Track designation to parsaclisib as a treatment for patients with follicular lymphoma, marginal zone lymphoma and mantle cell lymphoma.</w:t>
      </w:r>
    </w:p>
    <w:p>
      <w:pPr>
        <w:spacing w:after="0" w:line="13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373"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October 2021, we announced the FDA acceptance of a NDA seeking approval of parsaclisib for the treatment of patients with relapsed or refractory follicular lymphoma, marginal zone lymphoma and mantle cell lymphoma. The submission is based on data from several Phase 2 studies (CITADEL-203, -204 and -205) evaluating parsaclisib as a treatment for relapsed or refractory NHLs (follicular, marginal zone and mantle cell).</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 Phase II trial of parsaclisib in patients with autoimmune hemolytic anemia (AIHA), a rare red blood cell disorder, is ongoing. In June 2021, Phase II data evaluating parsaclisib in AIHA were presented at EHA. The majority of patients achieved a response with parsaclisib over the initial 12-week treatment period. Treatment with parsaclisib was generally well tolerated. Based on these results, we expect to initiate a Phase III trial in warm AIHA. The FDA has granted orphan drug designation to parsaclisib as a treatment for patients with AIHA.</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microsatellite instability-high (MSI-H) endometrial cancer and Merkel cell carcinoma are ongoing.</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Phase III POD1UM-303 trial of retifanlimab in combination with platinum-based chemotherapy as a first-line treatment for patients with SCAC is underway. In July 2021, we announced that the FDA issued a complete response letter (CRL) for the BLA of retifanlimab for the treatment of squamous cell carcinoma of the anal canal (SCAC). In October 2021, we announced that we withdrew the Marketing Authorization Application (MAA) seeking approval of retifanlimab in SCAC.</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320" w:type="dxa"/>
            <w:vAlign w:val="bottom"/>
            <w:tcBorders>
              <w:top w:val="single" w:sz="8" w:color="auto"/>
            </w:tcBorders>
          </w:tcPr>
          <w:p>
            <w:pPr>
              <w:spacing w:after="0"/>
              <w:rPr>
                <w:sz w:val="21"/>
                <w:szCs w:val="21"/>
                <w:color w:val="auto"/>
              </w:rPr>
            </w:pPr>
          </w:p>
        </w:tc>
        <w:tc>
          <w:tcPr>
            <w:tcW w:w="66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32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r>
      <w:tr>
        <w:trPr>
          <w:trHeight w:val="142"/>
        </w:trPr>
        <w:tc>
          <w:tcPr>
            <w:tcW w:w="23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Once-a-day ruxolitinib</w:t>
            </w:r>
          </w:p>
        </w:tc>
        <w:tc>
          <w:tcPr>
            <w:tcW w:w="660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Myelofibrosis, polycythemia vera and GVHD: clinical pharmacology studies</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600" w:type="dxa"/>
            <w:vAlign w:val="bottom"/>
            <w:shd w:val="clear" w:color="auto" w:fill="CCEEFF"/>
          </w:tcPr>
          <w:p>
            <w:pPr>
              <w:spacing w:after="0"/>
              <w:rPr>
                <w:sz w:val="20"/>
                <w:szCs w:val="20"/>
                <w:color w:val="auto"/>
              </w:rPr>
            </w:pPr>
          </w:p>
        </w:tc>
      </w:tr>
      <w:tr>
        <w:trPr>
          <w:trHeight w:val="117"/>
        </w:trPr>
        <w:tc>
          <w:tcPr>
            <w:tcW w:w="2320" w:type="dxa"/>
            <w:vAlign w:val="bottom"/>
            <w:shd w:val="clear" w:color="auto" w:fill="CCEEFF"/>
          </w:tcPr>
          <w:p>
            <w:pPr>
              <w:spacing w:after="0"/>
              <w:rPr>
                <w:sz w:val="10"/>
                <w:szCs w:val="10"/>
                <w:color w:val="auto"/>
              </w:rPr>
            </w:pPr>
          </w:p>
        </w:tc>
        <w:tc>
          <w:tcPr>
            <w:tcW w:w="6600" w:type="dxa"/>
            <w:vAlign w:val="bottom"/>
            <w:shd w:val="clear" w:color="auto" w:fill="CCEEFF"/>
          </w:tcPr>
          <w:p>
            <w:pPr>
              <w:spacing w:after="0"/>
              <w:rPr>
                <w:sz w:val="10"/>
                <w:szCs w:val="10"/>
                <w:color w:val="auto"/>
              </w:rPr>
            </w:pPr>
          </w:p>
        </w:tc>
      </w:tr>
      <w:tr>
        <w:trPr>
          <w:trHeight w:val="149"/>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parsaclisib</w:t>
            </w:r>
          </w:p>
        </w:tc>
        <w:tc>
          <w:tcPr>
            <w:tcW w:w="660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III (first-line therapy) (LIMBER-313)</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600" w:type="dxa"/>
            <w:vAlign w:val="bottom"/>
          </w:tcPr>
          <w:p>
            <w:pPr>
              <w:ind w:left="18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130"/>
        </w:trPr>
        <w:tc>
          <w:tcPr>
            <w:tcW w:w="2320" w:type="dxa"/>
            <w:vAlign w:val="bottom"/>
          </w:tcPr>
          <w:p>
            <w:pPr>
              <w:spacing w:after="0"/>
              <w:rPr>
                <w:sz w:val="11"/>
                <w:szCs w:val="11"/>
                <w:color w:val="auto"/>
              </w:rPr>
            </w:pPr>
          </w:p>
        </w:tc>
        <w:tc>
          <w:tcPr>
            <w:tcW w:w="6600" w:type="dxa"/>
            <w:vAlign w:val="bottom"/>
          </w:tcPr>
          <w:p>
            <w:pPr>
              <w:spacing w:after="0"/>
              <w:rPr>
                <w:sz w:val="11"/>
                <w:szCs w:val="11"/>
                <w:color w:val="auto"/>
              </w:rPr>
            </w:pPr>
          </w:p>
        </w:tc>
      </w:tr>
      <w:tr>
        <w:trPr>
          <w:trHeight w:val="148"/>
        </w:trPr>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60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600" w:type="dxa"/>
            <w:vAlign w:val="bottom"/>
            <w:shd w:val="clear" w:color="auto" w:fill="CCEEFF"/>
          </w:tcPr>
          <w:p>
            <w:pPr>
              <w:spacing w:after="0"/>
              <w:rPr>
                <w:sz w:val="20"/>
                <w:szCs w:val="20"/>
                <w:color w:val="auto"/>
              </w:rPr>
            </w:pPr>
          </w:p>
        </w:tc>
      </w:tr>
      <w:tr>
        <w:trPr>
          <w:trHeight w:val="130"/>
        </w:trPr>
        <w:tc>
          <w:tcPr>
            <w:tcW w:w="2320" w:type="dxa"/>
            <w:vAlign w:val="bottom"/>
            <w:shd w:val="clear" w:color="auto" w:fill="CCEEFF"/>
          </w:tcPr>
          <w:p>
            <w:pPr>
              <w:spacing w:after="0"/>
              <w:rPr>
                <w:sz w:val="11"/>
                <w:szCs w:val="11"/>
                <w:color w:val="auto"/>
              </w:rPr>
            </w:pPr>
          </w:p>
        </w:tc>
        <w:tc>
          <w:tcPr>
            <w:tcW w:w="6600" w:type="dxa"/>
            <w:vAlign w:val="bottom"/>
            <w:shd w:val="clear" w:color="auto" w:fill="CCEEFF"/>
          </w:tcPr>
          <w:p>
            <w:pPr>
              <w:spacing w:after="0"/>
              <w:rPr>
                <w:sz w:val="11"/>
                <w:szCs w:val="11"/>
                <w:color w:val="auto"/>
              </w:rPr>
            </w:pPr>
          </w:p>
        </w:tc>
      </w:tr>
      <w:tr>
        <w:trPr>
          <w:trHeight w:val="149"/>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60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600" w:type="dxa"/>
            <w:vAlign w:val="bottom"/>
          </w:tcPr>
          <w:p>
            <w:pPr>
              <w:spacing w:after="0"/>
              <w:rPr>
                <w:sz w:val="20"/>
                <w:szCs w:val="20"/>
                <w:color w:val="auto"/>
              </w:rPr>
            </w:pPr>
          </w:p>
        </w:tc>
      </w:tr>
      <w:tr>
        <w:trPr>
          <w:trHeight w:val="130"/>
        </w:trPr>
        <w:tc>
          <w:tcPr>
            <w:tcW w:w="2320" w:type="dxa"/>
            <w:vAlign w:val="bottom"/>
          </w:tcPr>
          <w:p>
            <w:pPr>
              <w:spacing w:after="0"/>
              <w:rPr>
                <w:sz w:val="11"/>
                <w:szCs w:val="11"/>
                <w:color w:val="auto"/>
              </w:rPr>
            </w:pPr>
          </w:p>
        </w:tc>
        <w:tc>
          <w:tcPr>
            <w:tcW w:w="6600" w:type="dxa"/>
            <w:vAlign w:val="bottom"/>
          </w:tcPr>
          <w:p>
            <w:pPr>
              <w:spacing w:after="0"/>
              <w:rPr>
                <w:sz w:val="11"/>
                <w:szCs w:val="11"/>
                <w:color w:val="auto"/>
              </w:rPr>
            </w:pPr>
          </w:p>
        </w:tc>
      </w:tr>
      <w:tr>
        <w:trPr>
          <w:trHeight w:val="148"/>
        </w:trPr>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3"/>
                <w:szCs w:val="13"/>
                <w:b w:val="1"/>
                <w:bCs w:val="1"/>
                <w:color w:val="auto"/>
              </w:rPr>
              <w:t>ruxolitinib + CK0804</w:t>
            </w:r>
            <w:r>
              <w:rPr>
                <w:rFonts w:ascii="Arial" w:cs="Arial" w:eastAsia="Arial" w:hAnsi="Arial"/>
                <w:sz w:val="17"/>
                <w:szCs w:val="17"/>
                <w:b w:val="1"/>
                <w:bCs w:val="1"/>
                <w:color w:val="auto"/>
                <w:vertAlign w:val="superscript"/>
              </w:rPr>
              <w:t>1</w:t>
            </w:r>
          </w:p>
        </w:tc>
        <w:tc>
          <w:tcPr>
            <w:tcW w:w="660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Myelofibrosis: PoC in preparation</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600" w:type="dxa"/>
            <w:vAlign w:val="bottom"/>
            <w:shd w:val="clear" w:color="auto" w:fill="CCEEFF"/>
          </w:tcPr>
          <w:p>
            <w:pPr>
              <w:spacing w:after="0"/>
              <w:rPr>
                <w:sz w:val="20"/>
                <w:szCs w:val="20"/>
                <w:color w:val="auto"/>
              </w:rPr>
            </w:pPr>
          </w:p>
        </w:tc>
      </w:tr>
      <w:tr>
        <w:trPr>
          <w:trHeight w:val="130"/>
        </w:trPr>
        <w:tc>
          <w:tcPr>
            <w:tcW w:w="2320" w:type="dxa"/>
            <w:vAlign w:val="bottom"/>
            <w:shd w:val="clear" w:color="auto" w:fill="CCEEFF"/>
          </w:tcPr>
          <w:p>
            <w:pPr>
              <w:spacing w:after="0"/>
              <w:rPr>
                <w:sz w:val="11"/>
                <w:szCs w:val="11"/>
                <w:color w:val="auto"/>
              </w:rPr>
            </w:pPr>
          </w:p>
        </w:tc>
        <w:tc>
          <w:tcPr>
            <w:tcW w:w="6600" w:type="dxa"/>
            <w:vAlign w:val="bottom"/>
            <w:shd w:val="clear" w:color="auto" w:fill="CCEEFF"/>
          </w:tcPr>
          <w:p>
            <w:pPr>
              <w:spacing w:after="0"/>
              <w:rPr>
                <w:sz w:val="11"/>
                <w:szCs w:val="11"/>
                <w:color w:val="auto"/>
              </w:rPr>
            </w:pP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itacitinib (JAK1)</w:t>
            </w:r>
          </w:p>
        </w:tc>
        <w:tc>
          <w:tcPr>
            <w:tcW w:w="6600" w:type="dxa"/>
            <w:vAlign w:val="bottom"/>
          </w:tcPr>
          <w:p>
            <w:pPr>
              <w:ind w:left="180"/>
              <w:spacing w:after="0"/>
              <w:rPr>
                <w:sz w:val="20"/>
                <w:szCs w:val="20"/>
                <w:color w:val="auto"/>
              </w:rPr>
            </w:pPr>
            <w:r>
              <w:rPr>
                <w:rFonts w:ascii="Arial" w:cs="Arial" w:eastAsia="Arial" w:hAnsi="Arial"/>
                <w:sz w:val="18"/>
                <w:szCs w:val="18"/>
                <w:color w:val="auto"/>
              </w:rPr>
              <w:t>Treatment-naïve chronic GVHD: Phase III (GRAVITAS-309)</w:t>
            </w:r>
          </w:p>
        </w:tc>
      </w:tr>
      <w:tr>
        <w:trPr>
          <w:trHeight w:val="171"/>
        </w:trPr>
        <w:tc>
          <w:tcPr>
            <w:tcW w:w="2320" w:type="dxa"/>
            <w:vAlign w:val="bottom"/>
          </w:tcPr>
          <w:p>
            <w:pPr>
              <w:spacing w:after="0"/>
              <w:rPr>
                <w:sz w:val="14"/>
                <w:szCs w:val="14"/>
                <w:color w:val="auto"/>
              </w:rPr>
            </w:pPr>
          </w:p>
        </w:tc>
        <w:tc>
          <w:tcPr>
            <w:tcW w:w="6600" w:type="dxa"/>
            <w:vAlign w:val="bottom"/>
          </w:tcPr>
          <w:p>
            <w:pPr>
              <w:spacing w:after="0"/>
              <w:rPr>
                <w:sz w:val="14"/>
                <w:szCs w:val="14"/>
                <w:color w:val="auto"/>
              </w:rPr>
            </w:pPr>
          </w:p>
        </w:tc>
      </w:tr>
      <w:tr>
        <w:trPr>
          <w:trHeight w:val="385"/>
        </w:trPr>
        <w:tc>
          <w:tcPr>
            <w:tcW w:w="2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6"/>
                <w:szCs w:val="26"/>
                <w:color w:val="auto"/>
                <w:vertAlign w:val="superscript"/>
              </w:rPr>
              <w:t>2</w:t>
            </w:r>
          </w:p>
        </w:tc>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Chronic GVHD: Phase II (third-line therapy) (AGAVE-201)</w:t>
            </w:r>
          </w:p>
        </w:tc>
      </w:tr>
      <w:tr>
        <w:trPr>
          <w:trHeight w:val="149"/>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tafasitamab</w:t>
            </w:r>
          </w:p>
        </w:tc>
        <w:tc>
          <w:tcPr>
            <w:tcW w:w="6600" w:type="dxa"/>
            <w:vAlign w:val="bottom"/>
          </w:tcPr>
          <w:p>
            <w:pPr>
              <w:ind w:left="180"/>
              <w:spacing w:after="0" w:line="149" w:lineRule="exact"/>
              <w:rPr>
                <w:sz w:val="20"/>
                <w:szCs w:val="20"/>
                <w:color w:val="auto"/>
              </w:rPr>
            </w:pPr>
            <w:r>
              <w:rPr>
                <w:rFonts w:ascii="Arial" w:cs="Arial" w:eastAsia="Arial" w:hAnsi="Arial"/>
                <w:sz w:val="17"/>
                <w:szCs w:val="17"/>
                <w:color w:val="auto"/>
              </w:rPr>
              <w:t>r/r DLBCL: Phase II (L-MIND); Phase III (B-MIND)</w:t>
            </w:r>
          </w:p>
        </w:tc>
      </w:tr>
      <w:tr>
        <w:trPr>
          <w:trHeight w:val="216"/>
        </w:trPr>
        <w:tc>
          <w:tcPr>
            <w:tcW w:w="2320" w:type="dxa"/>
            <w:vAlign w:val="bottom"/>
          </w:tcPr>
          <w:p>
            <w:pPr>
              <w:ind w:left="100"/>
              <w:spacing w:after="0" w:line="216" w:lineRule="exact"/>
              <w:rPr>
                <w:sz w:val="20"/>
                <w:szCs w:val="20"/>
                <w:color w:val="auto"/>
              </w:rPr>
            </w:pPr>
            <w:r>
              <w:rPr>
                <w:rFonts w:ascii="Arial" w:cs="Arial" w:eastAsia="Arial" w:hAnsi="Arial"/>
                <w:sz w:val="17"/>
                <w:szCs w:val="17"/>
                <w:b w:val="1"/>
                <w:bCs w:val="1"/>
                <w:color w:val="auto"/>
              </w:rPr>
              <w:t>(CD19)</w:t>
            </w:r>
            <w:r>
              <w:rPr>
                <w:rFonts w:ascii="Arial" w:cs="Arial" w:eastAsia="Arial" w:hAnsi="Arial"/>
                <w:sz w:val="25"/>
                <w:szCs w:val="25"/>
                <w:b w:val="1"/>
                <w:bCs w:val="1"/>
                <w:color w:val="auto"/>
                <w:vertAlign w:val="superscript"/>
              </w:rPr>
              <w:t>3</w:t>
            </w:r>
          </w:p>
        </w:tc>
        <w:tc>
          <w:tcPr>
            <w:tcW w:w="6600" w:type="dxa"/>
            <w:vAlign w:val="bottom"/>
          </w:tcPr>
          <w:p>
            <w:pPr>
              <w:ind w:left="180"/>
              <w:spacing w:after="0"/>
              <w:rPr>
                <w:sz w:val="20"/>
                <w:szCs w:val="20"/>
                <w:color w:val="auto"/>
              </w:rPr>
            </w:pPr>
            <w:r>
              <w:rPr>
                <w:rFonts w:ascii="Arial" w:cs="Arial" w:eastAsia="Arial" w:hAnsi="Arial"/>
                <w:sz w:val="18"/>
                <w:szCs w:val="18"/>
                <w:color w:val="auto"/>
              </w:rPr>
              <w:t>1L DLBCL: Phase Ib (firstMIND); Phase III (frontMIND)</w:t>
            </w:r>
          </w:p>
        </w:tc>
      </w:tr>
      <w:tr>
        <w:trPr>
          <w:trHeight w:val="175"/>
        </w:trPr>
        <w:tc>
          <w:tcPr>
            <w:tcW w:w="2320" w:type="dxa"/>
            <w:vAlign w:val="bottom"/>
          </w:tcPr>
          <w:p>
            <w:pPr>
              <w:spacing w:after="0"/>
              <w:rPr>
                <w:sz w:val="15"/>
                <w:szCs w:val="15"/>
                <w:color w:val="auto"/>
              </w:rPr>
            </w:pPr>
          </w:p>
        </w:tc>
        <w:tc>
          <w:tcPr>
            <w:tcW w:w="6600" w:type="dxa"/>
            <w:vAlign w:val="bottom"/>
          </w:tcPr>
          <w:p>
            <w:pPr>
              <w:ind w:left="180"/>
              <w:spacing w:after="0" w:line="176" w:lineRule="exact"/>
              <w:rPr>
                <w:sz w:val="20"/>
                <w:szCs w:val="20"/>
                <w:color w:val="auto"/>
              </w:rPr>
            </w:pPr>
            <w:r>
              <w:rPr>
                <w:rFonts w:ascii="Arial" w:cs="Arial" w:eastAsia="Arial" w:hAnsi="Arial"/>
                <w:sz w:val="18"/>
                <w:szCs w:val="18"/>
                <w:color w:val="auto"/>
              </w:rPr>
              <w:t>r/r follicular &amp; marginal zone lymphomas: Phase III (inMIND)</w:t>
            </w:r>
          </w:p>
        </w:tc>
      </w:tr>
      <w:tr>
        <w:trPr>
          <w:trHeight w:val="176"/>
        </w:trPr>
        <w:tc>
          <w:tcPr>
            <w:tcW w:w="2320" w:type="dxa"/>
            <w:vAlign w:val="bottom"/>
          </w:tcPr>
          <w:p>
            <w:pPr>
              <w:spacing w:after="0"/>
              <w:rPr>
                <w:sz w:val="15"/>
                <w:szCs w:val="15"/>
                <w:color w:val="auto"/>
              </w:rPr>
            </w:pPr>
          </w:p>
        </w:tc>
        <w:tc>
          <w:tcPr>
            <w:tcW w:w="6600" w:type="dxa"/>
            <w:vAlign w:val="bottom"/>
          </w:tcPr>
          <w:p>
            <w:pPr>
              <w:ind w:left="180"/>
              <w:spacing w:after="0" w:line="176" w:lineRule="exact"/>
              <w:rPr>
                <w:sz w:val="20"/>
                <w:szCs w:val="20"/>
                <w:color w:val="auto"/>
              </w:rPr>
            </w:pPr>
            <w:r>
              <w:rPr>
                <w:rFonts w:ascii="Arial" w:cs="Arial" w:eastAsia="Arial" w:hAnsi="Arial"/>
                <w:sz w:val="18"/>
                <w:szCs w:val="18"/>
                <w:color w:val="auto"/>
              </w:rPr>
              <w:t>r/r chronic lymphocytic leukemia: Phase II (coreMIND) in preparation</w:t>
            </w:r>
          </w:p>
        </w:tc>
      </w:tr>
      <w:tr>
        <w:trPr>
          <w:trHeight w:val="176"/>
        </w:trPr>
        <w:tc>
          <w:tcPr>
            <w:tcW w:w="2320" w:type="dxa"/>
            <w:vAlign w:val="bottom"/>
          </w:tcPr>
          <w:p>
            <w:pPr>
              <w:spacing w:after="0"/>
              <w:rPr>
                <w:sz w:val="15"/>
                <w:szCs w:val="15"/>
                <w:color w:val="auto"/>
              </w:rPr>
            </w:pPr>
          </w:p>
        </w:tc>
        <w:tc>
          <w:tcPr>
            <w:tcW w:w="6600" w:type="dxa"/>
            <w:vAlign w:val="bottom"/>
          </w:tcPr>
          <w:p>
            <w:pPr>
              <w:ind w:left="180"/>
              <w:spacing w:after="0" w:line="176" w:lineRule="exact"/>
              <w:rPr>
                <w:sz w:val="20"/>
                <w:szCs w:val="20"/>
                <w:color w:val="auto"/>
              </w:rPr>
            </w:pPr>
            <w:r>
              <w:rPr>
                <w:rFonts w:ascii="Arial" w:cs="Arial" w:eastAsia="Arial" w:hAnsi="Arial"/>
                <w:sz w:val="18"/>
                <w:szCs w:val="18"/>
                <w:color w:val="auto"/>
              </w:rPr>
              <w:t>r/r B-cell malignancies: PoC with parsaclisib (PI3Kδ) (topMIND)</w:t>
            </w:r>
          </w:p>
        </w:tc>
      </w:tr>
      <w:tr>
        <w:trPr>
          <w:trHeight w:val="355"/>
        </w:trPr>
        <w:tc>
          <w:tcPr>
            <w:tcW w:w="2320" w:type="dxa"/>
            <w:vAlign w:val="bottom"/>
          </w:tcPr>
          <w:p>
            <w:pPr>
              <w:spacing w:after="0"/>
              <w:rPr>
                <w:sz w:val="24"/>
                <w:szCs w:val="24"/>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r/r B-cell malignancies: PoC with lenalidomide and plamotamab in preparation</w:t>
            </w:r>
            <w:r>
              <w:rPr>
                <w:rFonts w:ascii="Arial" w:cs="Arial" w:eastAsia="Arial" w:hAnsi="Arial"/>
                <w:sz w:val="26"/>
                <w:szCs w:val="26"/>
                <w:color w:val="auto"/>
                <w:vertAlign w:val="superscript"/>
              </w:rPr>
              <w:t>4</w:t>
            </w:r>
          </w:p>
        </w:tc>
      </w:tr>
      <w:tr>
        <w:trPr>
          <w:trHeight w:val="90"/>
        </w:trPr>
        <w:tc>
          <w:tcPr>
            <w:tcW w:w="2320" w:type="dxa"/>
            <w:vAlign w:val="bottom"/>
          </w:tcPr>
          <w:p>
            <w:pPr>
              <w:spacing w:after="0"/>
              <w:rPr>
                <w:sz w:val="7"/>
                <w:szCs w:val="7"/>
                <w:color w:val="auto"/>
              </w:rPr>
            </w:pPr>
          </w:p>
        </w:tc>
        <w:tc>
          <w:tcPr>
            <w:tcW w:w="6600" w:type="dxa"/>
            <w:vAlign w:val="bottom"/>
          </w:tcPr>
          <w:p>
            <w:pPr>
              <w:spacing w:after="0"/>
              <w:rPr>
                <w:sz w:val="7"/>
                <w:szCs w:val="7"/>
                <w:color w:val="auto"/>
              </w:rPr>
            </w:pPr>
          </w:p>
        </w:tc>
      </w:tr>
      <w:tr>
        <w:trPr>
          <w:trHeight w:val="149"/>
        </w:trPr>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pemigatinib</w:t>
            </w:r>
          </w:p>
        </w:tc>
        <w:tc>
          <w:tcPr>
            <w:tcW w:w="660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CCA: Phase III (FIGHT-302)</w:t>
            </w:r>
          </w:p>
        </w:tc>
      </w:tr>
      <w:tr>
        <w:trPr>
          <w:trHeight w:val="242"/>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(FGFR1/2/3)</w:t>
            </w:r>
          </w:p>
        </w:tc>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Myeloid/lymphoid neoplasms (MLN): Phase II (FIGHT-203)</w:t>
            </w:r>
          </w:p>
        </w:tc>
      </w:tr>
      <w:tr>
        <w:trPr>
          <w:trHeight w:val="176"/>
        </w:trPr>
        <w:tc>
          <w:tcPr>
            <w:tcW w:w="2320" w:type="dxa"/>
            <w:vAlign w:val="bottom"/>
            <w:shd w:val="clear" w:color="auto" w:fill="CCEEFF"/>
          </w:tcPr>
          <w:p>
            <w:pPr>
              <w:spacing w:after="0"/>
              <w:rPr>
                <w:sz w:val="15"/>
                <w:szCs w:val="15"/>
                <w:color w:val="auto"/>
              </w:rPr>
            </w:pPr>
          </w:p>
        </w:tc>
        <w:tc>
          <w:tcPr>
            <w:tcW w:w="66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Tumor agnostic: Phase II (FIGHT-207)</w:t>
            </w:r>
          </w:p>
        </w:tc>
      </w:tr>
      <w:tr>
        <w:trPr>
          <w:trHeight w:val="175"/>
        </w:trPr>
        <w:tc>
          <w:tcPr>
            <w:tcW w:w="2320" w:type="dxa"/>
            <w:vAlign w:val="bottom"/>
            <w:shd w:val="clear" w:color="auto" w:fill="CCEEFF"/>
          </w:tcPr>
          <w:p>
            <w:pPr>
              <w:spacing w:after="0"/>
              <w:rPr>
                <w:sz w:val="15"/>
                <w:szCs w:val="15"/>
                <w:color w:val="auto"/>
              </w:rPr>
            </w:pPr>
          </w:p>
        </w:tc>
        <w:tc>
          <w:tcPr>
            <w:tcW w:w="66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Glioblastoma: Phase II in preparation</w:t>
            </w:r>
          </w:p>
        </w:tc>
      </w:tr>
      <w:tr>
        <w:trPr>
          <w:trHeight w:val="230"/>
        </w:trPr>
        <w:tc>
          <w:tcPr>
            <w:tcW w:w="2320" w:type="dxa"/>
            <w:vAlign w:val="bottom"/>
            <w:shd w:val="clear" w:color="auto" w:fill="CCEEFF"/>
          </w:tcPr>
          <w:p>
            <w:pPr>
              <w:spacing w:after="0"/>
              <w:rPr>
                <w:sz w:val="20"/>
                <w:szCs w:val="20"/>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NSCLC: Phase II in preparation</w:t>
            </w:r>
          </w:p>
        </w:tc>
      </w:tr>
      <w:tr>
        <w:trPr>
          <w:trHeight w:val="148"/>
        </w:trPr>
        <w:tc>
          <w:tcPr>
            <w:tcW w:w="2320" w:type="dxa"/>
            <w:vAlign w:val="bottom"/>
            <w:shd w:val="clear" w:color="auto" w:fill="CCEEFF"/>
          </w:tcPr>
          <w:p>
            <w:pPr>
              <w:spacing w:after="0"/>
              <w:rPr>
                <w:sz w:val="12"/>
                <w:szCs w:val="12"/>
                <w:color w:val="auto"/>
              </w:rPr>
            </w:pPr>
          </w:p>
        </w:tc>
        <w:tc>
          <w:tcPr>
            <w:tcW w:w="6600" w:type="dxa"/>
            <w:vAlign w:val="bottom"/>
            <w:shd w:val="clear" w:color="auto" w:fill="CCEEFF"/>
          </w:tcPr>
          <w:p>
            <w:pPr>
              <w:spacing w:after="0"/>
              <w:rPr>
                <w:sz w:val="12"/>
                <w:szCs w:val="12"/>
                <w:color w:val="auto"/>
              </w:rPr>
            </w:pPr>
          </w:p>
        </w:tc>
      </w:tr>
      <w:tr>
        <w:trPr>
          <w:trHeight w:val="149"/>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parsaclisib</w:t>
            </w:r>
          </w:p>
        </w:tc>
        <w:tc>
          <w:tcPr>
            <w:tcW w:w="6600" w:type="dxa"/>
            <w:vAlign w:val="bottom"/>
          </w:tcPr>
          <w:p>
            <w:pPr>
              <w:ind w:left="180"/>
              <w:spacing w:after="0" w:line="149" w:lineRule="exact"/>
              <w:rPr>
                <w:sz w:val="20"/>
                <w:szCs w:val="20"/>
                <w:color w:val="auto"/>
              </w:rPr>
            </w:pPr>
            <w:r>
              <w:rPr>
                <w:rFonts w:ascii="Arial" w:cs="Arial" w:eastAsia="Arial" w:hAnsi="Arial"/>
                <w:sz w:val="17"/>
                <w:szCs w:val="17"/>
                <w:color w:val="auto"/>
              </w:rPr>
              <w:t>r/r follicular lymphoma: Phase II (CITADEL-203)</w:t>
            </w:r>
          </w:p>
        </w:tc>
      </w:tr>
      <w:tr>
        <w:trPr>
          <w:trHeight w:val="242"/>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(PI3Kδ)</w:t>
            </w:r>
          </w:p>
        </w:tc>
        <w:tc>
          <w:tcPr>
            <w:tcW w:w="6600" w:type="dxa"/>
            <w:vAlign w:val="bottom"/>
          </w:tcPr>
          <w:p>
            <w:pPr>
              <w:ind w:left="180"/>
              <w:spacing w:after="0"/>
              <w:rPr>
                <w:sz w:val="20"/>
                <w:szCs w:val="20"/>
                <w:color w:val="auto"/>
              </w:rPr>
            </w:pPr>
            <w:r>
              <w:rPr>
                <w:rFonts w:ascii="Arial" w:cs="Arial" w:eastAsia="Arial" w:hAnsi="Arial"/>
                <w:sz w:val="18"/>
                <w:szCs w:val="18"/>
                <w:color w:val="auto"/>
              </w:rPr>
              <w:t>r/r marginal zone lymphoma: Phase II (CITADEL-204)</w:t>
            </w:r>
          </w:p>
        </w:tc>
      </w:tr>
      <w:tr>
        <w:trPr>
          <w:trHeight w:val="176"/>
        </w:trPr>
        <w:tc>
          <w:tcPr>
            <w:tcW w:w="2320" w:type="dxa"/>
            <w:vAlign w:val="bottom"/>
          </w:tcPr>
          <w:p>
            <w:pPr>
              <w:spacing w:after="0"/>
              <w:rPr>
                <w:sz w:val="15"/>
                <w:szCs w:val="15"/>
                <w:color w:val="auto"/>
              </w:rPr>
            </w:pPr>
          </w:p>
        </w:tc>
        <w:tc>
          <w:tcPr>
            <w:tcW w:w="6600" w:type="dxa"/>
            <w:vAlign w:val="bottom"/>
          </w:tcPr>
          <w:p>
            <w:pPr>
              <w:ind w:left="180"/>
              <w:spacing w:after="0" w:line="176" w:lineRule="exact"/>
              <w:rPr>
                <w:sz w:val="20"/>
                <w:szCs w:val="20"/>
                <w:color w:val="auto"/>
              </w:rPr>
            </w:pPr>
            <w:r>
              <w:rPr>
                <w:rFonts w:ascii="Arial" w:cs="Arial" w:eastAsia="Arial" w:hAnsi="Arial"/>
                <w:sz w:val="18"/>
                <w:szCs w:val="18"/>
                <w:color w:val="auto"/>
              </w:rPr>
              <w:t>r/r mantle cell lymphoma: Phase II (CITADEL-205)</w:t>
            </w:r>
          </w:p>
        </w:tc>
      </w:tr>
      <w:tr>
        <w:trPr>
          <w:trHeight w:val="175"/>
        </w:trPr>
        <w:tc>
          <w:tcPr>
            <w:tcW w:w="2320" w:type="dxa"/>
            <w:vAlign w:val="bottom"/>
          </w:tcPr>
          <w:p>
            <w:pPr>
              <w:spacing w:after="0"/>
              <w:rPr>
                <w:sz w:val="15"/>
                <w:szCs w:val="15"/>
                <w:color w:val="auto"/>
              </w:rPr>
            </w:pPr>
          </w:p>
        </w:tc>
        <w:tc>
          <w:tcPr>
            <w:tcW w:w="6600" w:type="dxa"/>
            <w:vAlign w:val="bottom"/>
          </w:tcPr>
          <w:p>
            <w:pPr>
              <w:ind w:left="180"/>
              <w:spacing w:after="0" w:line="176" w:lineRule="exact"/>
              <w:rPr>
                <w:sz w:val="20"/>
                <w:szCs w:val="20"/>
                <w:color w:val="auto"/>
              </w:rPr>
            </w:pPr>
            <w:r>
              <w:rPr>
                <w:rFonts w:ascii="Arial" w:cs="Arial" w:eastAsia="Arial" w:hAnsi="Arial"/>
                <w:sz w:val="18"/>
                <w:szCs w:val="18"/>
                <w:color w:val="auto"/>
                <w:w w:val="97"/>
              </w:rPr>
              <w:t>r/r follicular and marginal zone lymphoma: Phase III (CITADEL-302) in preparation</w:t>
            </w:r>
          </w:p>
        </w:tc>
      </w:tr>
      <w:tr>
        <w:trPr>
          <w:trHeight w:val="175"/>
        </w:trPr>
        <w:tc>
          <w:tcPr>
            <w:tcW w:w="2320" w:type="dxa"/>
            <w:vAlign w:val="bottom"/>
          </w:tcPr>
          <w:p>
            <w:pPr>
              <w:spacing w:after="0"/>
              <w:rPr>
                <w:sz w:val="15"/>
                <w:szCs w:val="15"/>
                <w:color w:val="auto"/>
              </w:rPr>
            </w:pPr>
          </w:p>
        </w:tc>
        <w:tc>
          <w:tcPr>
            <w:tcW w:w="6600" w:type="dxa"/>
            <w:vAlign w:val="bottom"/>
          </w:tcPr>
          <w:p>
            <w:pPr>
              <w:ind w:left="180"/>
              <w:spacing w:after="0" w:line="176" w:lineRule="exact"/>
              <w:rPr>
                <w:sz w:val="20"/>
                <w:szCs w:val="20"/>
                <w:color w:val="auto"/>
              </w:rPr>
            </w:pPr>
            <w:r>
              <w:rPr>
                <w:rFonts w:ascii="Arial" w:cs="Arial" w:eastAsia="Arial" w:hAnsi="Arial"/>
                <w:sz w:val="18"/>
                <w:szCs w:val="18"/>
                <w:color w:val="auto"/>
              </w:rPr>
              <w:t>1L mantle cell lymphoma: Phase III (CITADEL-310) in preparation</w:t>
            </w:r>
          </w:p>
        </w:tc>
      </w:tr>
      <w:tr>
        <w:trPr>
          <w:trHeight w:val="230"/>
        </w:trPr>
        <w:tc>
          <w:tcPr>
            <w:tcW w:w="2320" w:type="dxa"/>
            <w:vAlign w:val="bottom"/>
          </w:tcPr>
          <w:p>
            <w:pPr>
              <w:spacing w:after="0"/>
              <w:rPr>
                <w:sz w:val="20"/>
                <w:szCs w:val="20"/>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Autoimmune hemolytic anemia: Phase II; Phase III in preparation</w:t>
            </w:r>
          </w:p>
        </w:tc>
      </w:tr>
      <w:tr>
        <w:trPr>
          <w:trHeight w:val="148"/>
        </w:trPr>
        <w:tc>
          <w:tcPr>
            <w:tcW w:w="2320" w:type="dxa"/>
            <w:vAlign w:val="bottom"/>
          </w:tcPr>
          <w:p>
            <w:pPr>
              <w:spacing w:after="0"/>
              <w:rPr>
                <w:sz w:val="12"/>
                <w:szCs w:val="12"/>
                <w:color w:val="auto"/>
              </w:rPr>
            </w:pPr>
          </w:p>
        </w:tc>
        <w:tc>
          <w:tcPr>
            <w:tcW w:w="6600" w:type="dxa"/>
            <w:vAlign w:val="bottom"/>
          </w:tcPr>
          <w:p>
            <w:pPr>
              <w:spacing w:after="0"/>
              <w:rPr>
                <w:sz w:val="12"/>
                <w:szCs w:val="12"/>
                <w:color w:val="auto"/>
              </w:rPr>
            </w:pPr>
          </w:p>
        </w:tc>
      </w:tr>
      <w:tr>
        <w:trPr>
          <w:trHeight w:val="149"/>
        </w:trPr>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retifanlimab</w:t>
            </w:r>
          </w:p>
        </w:tc>
        <w:tc>
          <w:tcPr>
            <w:tcW w:w="660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SCAC: Phase II (POD1UM-202); Phase III (PODIUM-303)</w:t>
            </w:r>
          </w:p>
        </w:tc>
      </w:tr>
      <w:tr>
        <w:trPr>
          <w:trHeight w:val="242"/>
        </w:trPr>
        <w:tc>
          <w:tcPr>
            <w:tcW w:w="2320" w:type="dxa"/>
            <w:vAlign w:val="bottom"/>
            <w:shd w:val="clear" w:color="auto" w:fill="CCEEFF"/>
          </w:tcPr>
          <w:p>
            <w:pPr>
              <w:ind w:left="100"/>
              <w:spacing w:after="0" w:line="242" w:lineRule="exact"/>
              <w:rPr>
                <w:sz w:val="20"/>
                <w:szCs w:val="20"/>
                <w:color w:val="auto"/>
              </w:rPr>
            </w:pPr>
            <w:r>
              <w:rPr>
                <w:rFonts w:ascii="Arial" w:cs="Arial" w:eastAsia="Arial" w:hAnsi="Arial"/>
                <w:sz w:val="18"/>
                <w:szCs w:val="18"/>
                <w:b w:val="1"/>
                <w:bCs w:val="1"/>
                <w:color w:val="auto"/>
              </w:rPr>
              <w:t>(PD-1)</w:t>
            </w:r>
            <w:r>
              <w:rPr>
                <w:rFonts w:ascii="Arial" w:cs="Arial" w:eastAsia="Arial" w:hAnsi="Arial"/>
                <w:sz w:val="26"/>
                <w:szCs w:val="26"/>
                <w:b w:val="1"/>
                <w:bCs w:val="1"/>
                <w:color w:val="auto"/>
                <w:vertAlign w:val="superscript"/>
              </w:rPr>
              <w:t>5</w:t>
            </w:r>
          </w:p>
        </w:tc>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2320" w:type="dxa"/>
            <w:vAlign w:val="bottom"/>
            <w:shd w:val="clear" w:color="auto" w:fill="CCEEFF"/>
          </w:tcPr>
          <w:p>
            <w:pPr>
              <w:spacing w:after="0"/>
              <w:rPr>
                <w:sz w:val="18"/>
                <w:szCs w:val="18"/>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Merkel cell carcinoma: Phase II (POD1UM-201)</w:t>
            </w:r>
          </w:p>
        </w:tc>
      </w:tr>
      <w:tr>
        <w:trPr>
          <w:trHeight w:val="230"/>
        </w:trPr>
        <w:tc>
          <w:tcPr>
            <w:tcW w:w="2320" w:type="dxa"/>
            <w:vAlign w:val="bottom"/>
            <w:shd w:val="clear" w:color="auto" w:fill="CCEEFF"/>
          </w:tcPr>
          <w:p>
            <w:pPr>
              <w:spacing w:after="0"/>
              <w:rPr>
                <w:sz w:val="20"/>
                <w:szCs w:val="20"/>
                <w:color w:val="auto"/>
              </w:rPr>
            </w:pPr>
          </w:p>
        </w:tc>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NSCLC: Phase III (POD1UM-304)</w:t>
            </w:r>
          </w:p>
        </w:tc>
      </w:tr>
      <w:tr>
        <w:trPr>
          <w:trHeight w:val="189"/>
        </w:trPr>
        <w:tc>
          <w:tcPr>
            <w:tcW w:w="2320" w:type="dxa"/>
            <w:vAlign w:val="bottom"/>
            <w:tcBorders>
              <w:bottom w:val="single" w:sz="8" w:color="auto"/>
            </w:tcBorders>
            <w:shd w:val="clear" w:color="auto" w:fill="CCEEFF"/>
          </w:tcPr>
          <w:p>
            <w:pPr>
              <w:spacing w:after="0"/>
              <w:rPr>
                <w:sz w:val="16"/>
                <w:szCs w:val="16"/>
                <w:color w:val="auto"/>
              </w:rPr>
            </w:pPr>
          </w:p>
        </w:tc>
        <w:tc>
          <w:tcPr>
            <w:tcW w:w="6600" w:type="dxa"/>
            <w:vAlign w:val="bottom"/>
            <w:tcBorders>
              <w:bottom w:val="single" w:sz="8" w:color="auto"/>
            </w:tcBorders>
            <w:shd w:val="clear" w:color="auto" w:fill="CCEEFF"/>
          </w:tcPr>
          <w:p>
            <w:pPr>
              <w:spacing w:after="0"/>
              <w:rPr>
                <w:sz w:val="16"/>
                <w:szCs w:val="16"/>
                <w:color w:val="auto"/>
              </w:rPr>
            </w:pPr>
          </w:p>
        </w:tc>
      </w:tr>
    </w:tbl>
    <w:p>
      <w:pPr>
        <w:spacing w:after="0" w:line="14" w:lineRule="exact"/>
        <w:rPr>
          <w:sz w:val="20"/>
          <w:szCs w:val="20"/>
          <w:color w:val="auto"/>
        </w:rPr>
      </w:pPr>
    </w:p>
    <w:p>
      <w:pPr>
        <w:ind w:left="200" w:hanging="156"/>
        <w:spacing w:after="0"/>
        <w:tabs>
          <w:tab w:leader="none" w:pos="20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Development collaboration with Cellenkos,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axatilimab development in collaboration with Syndax, pending regulatory clearance.</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24"/>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5657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INCB81776 (AXL/MER), epacadostat (IDO1), INCB86550 (PD-L1), INCB99280</w:t>
            </w:r>
          </w:p>
        </w:tc>
      </w:tr>
      <w:tr>
        <w:trPr>
          <w:trHeight w:val="353"/>
        </w:trPr>
        <w:tc>
          <w:tcPr>
            <w:tcW w:w="2240" w:type="dxa"/>
            <w:vAlign w:val="bottom"/>
            <w:shd w:val="clear" w:color="auto" w:fill="CCEEFF"/>
          </w:tcPr>
          <w:p>
            <w:pPr>
              <w:spacing w:after="0"/>
              <w:rPr>
                <w:sz w:val="24"/>
                <w:szCs w:val="24"/>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(PD-L1), INCB99318 (PD-L1), INCB106385 (A2A/A</w:t>
            </w:r>
            <w:r>
              <w:rPr>
                <w:rFonts w:ascii="Arial" w:cs="Arial" w:eastAsia="Arial" w:hAnsi="Arial"/>
                <w:sz w:val="26"/>
                <w:szCs w:val="26"/>
                <w:color w:val="auto"/>
                <w:vertAlign w:val="subscript"/>
              </w:rPr>
              <w:t>2B</w:t>
            </w:r>
            <w:r>
              <w:rPr>
                <w:rFonts w:ascii="Arial" w:cs="Arial" w:eastAsia="Arial" w:hAnsi="Arial"/>
                <w:sz w:val="18"/>
                <w:szCs w:val="18"/>
                <w:color w:val="auto"/>
              </w:rPr>
              <w:t>)</w:t>
            </w:r>
          </w:p>
        </w:tc>
      </w:tr>
      <w:tr>
        <w:trPr>
          <w:trHeight w:val="107"/>
        </w:trPr>
        <w:tc>
          <w:tcPr>
            <w:tcW w:w="2240" w:type="dxa"/>
            <w:vAlign w:val="bottom"/>
            <w:shd w:val="clear" w:color="auto" w:fill="CCEEFF"/>
          </w:tcPr>
          <w:p>
            <w:pPr>
              <w:spacing w:after="0"/>
              <w:rPr>
                <w:sz w:val="9"/>
                <w:szCs w:val="9"/>
                <w:color w:val="auto"/>
              </w:rPr>
            </w:pPr>
          </w:p>
        </w:tc>
        <w:tc>
          <w:tcPr>
            <w:tcW w:w="6680" w:type="dxa"/>
            <w:vAlign w:val="bottom"/>
            <w:shd w:val="clear" w:color="auto" w:fill="CCEEFF"/>
          </w:tcPr>
          <w:p>
            <w:pPr>
              <w:spacing w:after="0"/>
              <w:rPr>
                <w:sz w:val="9"/>
                <w:szCs w:val="9"/>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1</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 INCA00186 (CD73)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53"/>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6"/>
                <w:szCs w:val="26"/>
                <w:color w:val="auto"/>
                <w:vertAlign w:val="superscript"/>
              </w:rPr>
              <w:t>2</w:t>
            </w:r>
          </w:p>
        </w:tc>
      </w:tr>
      <w:tr>
        <w:trPr>
          <w:trHeight w:val="39"/>
        </w:trPr>
        <w:tc>
          <w:tcPr>
            <w:tcW w:w="2240" w:type="dxa"/>
            <w:vAlign w:val="bottom"/>
            <w:shd w:val="clear" w:color="auto" w:fill="CCEEFF"/>
          </w:tcPr>
          <w:p>
            <w:pPr>
              <w:spacing w:after="0"/>
              <w:rPr>
                <w:sz w:val="3"/>
                <w:szCs w:val="3"/>
                <w:color w:val="auto"/>
              </w:rPr>
            </w:pPr>
          </w:p>
        </w:tc>
        <w:tc>
          <w:tcPr>
            <w:tcW w:w="66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578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ind w:left="200" w:hanging="156"/>
        <w:spacing w:after="0" w:line="184" w:lineRule="auto"/>
        <w:tabs>
          <w:tab w:leader="none" w:pos="200" w:val="left"/>
        </w:tabs>
        <w:numPr>
          <w:ilvl w:val="0"/>
          <w:numId w:val="25"/>
        </w:numPr>
        <w:rPr>
          <w:rFonts w:ascii="Arial" w:cs="Arial" w:eastAsia="Arial" w:hAnsi="Arial"/>
          <w:sz w:val="26"/>
          <w:szCs w:val="26"/>
          <w:color w:val="auto"/>
          <w:vertAlign w:val="superscript"/>
        </w:rPr>
      </w:pPr>
      <w:r>
        <w:rPr>
          <w:rFonts w:ascii="Arial" w:cs="Arial" w:eastAsia="Arial" w:hAnsi="Arial"/>
          <w:sz w:val="17"/>
          <w:szCs w:val="17"/>
          <w:color w:val="auto"/>
        </w:rPr>
        <w:t>Discovery collaboration with Agenus Inc.</w:t>
      </w:r>
    </w:p>
    <w:p>
      <w:pPr>
        <w:spacing w:after="0" w:line="1" w:lineRule="exact"/>
        <w:rPr>
          <w:rFonts w:ascii="Arial" w:cs="Arial" w:eastAsia="Arial" w:hAnsi="Arial"/>
          <w:sz w:val="26"/>
          <w:szCs w:val="26"/>
          <w:color w:val="auto"/>
          <w:vertAlign w:val="superscript"/>
        </w:rPr>
      </w:pPr>
    </w:p>
    <w:p>
      <w:pPr>
        <w:ind w:left="200" w:hanging="156"/>
        <w:spacing w:after="0" w:line="186" w:lineRule="auto"/>
        <w:tabs>
          <w:tab w:leader="none" w:pos="20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recently established Incyte Dermatology as a new commercial franchise, which launched its first approved product, OPZELURA (ruxolitinib) cream, in October 2021, following FDA approval in September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September 2021, we announced that the FDA approved OPZELURA (ruxolitinib) cream, a novel cream formulation of 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57" w:lineRule="exact"/>
        <w:rPr>
          <w:sz w:val="20"/>
          <w:szCs w:val="20"/>
          <w:color w:val="auto"/>
        </w:rPr>
      </w:pPr>
    </w:p>
    <w:p>
      <w:pPr>
        <w:jc w:val="both"/>
        <w:ind w:left="40" w:right="59" w:firstLine="693"/>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93"/>
        <w:spacing w:after="0" w:line="287" w:lineRule="auto"/>
        <w:rPr>
          <w:sz w:val="20"/>
          <w:szCs w:val="20"/>
          <w:color w:val="auto"/>
        </w:rPr>
      </w:pPr>
      <w:r>
        <w:rPr>
          <w:rFonts w:ascii="Arial" w:cs="Arial" w:eastAsia="Arial" w:hAnsi="Arial"/>
          <w:sz w:val="16"/>
          <w:szCs w:val="16"/>
          <w:color w:val="auto"/>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Ruxolitinib cream is a potent, selective inhibitor of JAK1 and JAK2 that provides the opportunity to directly target diverse pathogenic pathways that underlie certain dermatologic conditions, including atopic dermatitis and vitiligo.</w:t>
      </w:r>
    </w:p>
    <w:p>
      <w:pPr>
        <w:spacing w:after="0" w:line="12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are currently evaluating ruxolitinib cream in a Phase III trial, TRuE-AD3, in pediatric atopic dermatitis patients ages ≥2 years to &lt; 12 years.</w:t>
      </w:r>
    </w:p>
    <w:p>
      <w:pPr>
        <w:spacing w:after="0" w:line="170"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May 2021, we announced positive topline results from the Phase III TRuE-V program evaluating ruxolitinib cream as a treatment for adolescent and adult patients with vitiligo. Both TRuE-V1 and TRuE-V2 studies met the primary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and key secondary endpoints, including patient reported outcomes. The overall efficacy and safety profile of ruxolitinib cream was consistent with previously reported Phase II data, and no new safety signals were observed.</w:t>
      </w:r>
    </w:p>
    <w:p>
      <w:pPr>
        <w:spacing w:after="0" w:line="14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October 2021, data from the Week 24 analysis of the Phase III TRuE-V program were presented at the European Academy of Dermatology and Venereology Congress (EADV).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≥75% improvement from baseline in the facial Vitiligo Area Scoring Index (F-VASI75), the primary endpoint. The overall safety profile of ruxolitinib cream in vitiligo was consistent with previous study data. In the TRuE-V studies, patients using ruxolitinib cream did not report clinically significant application site reactions. Treatment-emergent adverse events were consistent with previous studies, with no serious treatment-related adverse events reported.</w:t>
      </w:r>
    </w:p>
    <w:p>
      <w:pPr>
        <w:spacing w:after="0" w:line="19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October 2021, we announced the validation of the European Marketing Authorization Application (MAA) for ruxolitinib cream as a potential treatment for adolescents and adults (age &gt;12 years) with non-segmental vitiligo with facial involvement.</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are also developing INCB54707, which is an oral small molecule selective JAK1 inhibitor. INCB54707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underway in patients with HS. In March 2021, we initiated a Phase II trial evaluating INCB54707 in patients with vitiligo. A Phase II trial evaluating INCB54707 in patients with prurigo nodularis is ongoing.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b w:val="1"/>
                <w:bCs w:val="1"/>
                <w:color w:val="auto"/>
              </w:rPr>
              <w:t>ruxolitinib cream</w:t>
            </w:r>
            <w:r>
              <w:rPr>
                <w:rFonts w:ascii="Arial" w:cs="Arial" w:eastAsia="Arial" w:hAnsi="Arial"/>
                <w:sz w:val="16"/>
                <w:szCs w:val="16"/>
                <w:b w:val="1"/>
                <w:bCs w:val="1"/>
                <w:color w:val="auto"/>
                <w:vertAlign w:val="superscript"/>
              </w:rPr>
              <w:t>1</w:t>
            </w:r>
          </w:p>
        </w:tc>
        <w:tc>
          <w:tcPr>
            <w:tcW w:w="6980" w:type="dxa"/>
            <w:vAlign w:val="bottom"/>
            <w:shd w:val="clear" w:color="auto" w:fill="CCEEFF"/>
          </w:tcPr>
          <w:p>
            <w:pPr>
              <w:ind w:left="280"/>
              <w:spacing w:after="0" w:line="142" w:lineRule="exact"/>
              <w:rPr>
                <w:sz w:val="20"/>
                <w:szCs w:val="20"/>
                <w:color w:val="auto"/>
              </w:rPr>
            </w:pPr>
            <w:r>
              <w:rPr>
                <w:rFonts w:ascii="Arial" w:cs="Arial" w:eastAsia="Arial" w:hAnsi="Arial"/>
                <w:sz w:val="16"/>
                <w:szCs w:val="16"/>
                <w:color w:val="auto"/>
              </w:rPr>
              <w:t>Atopic dermatitis: Phase III pediatric study ongoing (TRuE-AD3)</w:t>
            </w:r>
          </w:p>
        </w:tc>
      </w:tr>
      <w:tr>
        <w:trPr>
          <w:trHeight w:val="216"/>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Vitiligo: Phase III (TRuE-V1, TRuE-V2; primary endpoint met in both studies); sNDA and</w:t>
            </w:r>
          </w:p>
        </w:tc>
      </w:tr>
      <w:tr>
        <w:trPr>
          <w:trHeight w:val="230"/>
        </w:trPr>
        <w:tc>
          <w:tcPr>
            <w:tcW w:w="1940" w:type="dxa"/>
            <w:vAlign w:val="bottom"/>
            <w:shd w:val="clear" w:color="auto" w:fill="CCEEFF"/>
          </w:tcPr>
          <w:p>
            <w:pPr>
              <w:spacing w:after="0"/>
              <w:rPr>
                <w:sz w:val="20"/>
                <w:szCs w:val="20"/>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MAA in progress</w:t>
            </w:r>
          </w:p>
        </w:tc>
      </w:tr>
      <w:tr>
        <w:trPr>
          <w:trHeight w:val="215"/>
        </w:trPr>
        <w:tc>
          <w:tcPr>
            <w:tcW w:w="194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r>
      <w:tr>
        <w:trPr>
          <w:trHeight w:val="188"/>
        </w:trPr>
        <w:tc>
          <w:tcPr>
            <w:tcW w:w="194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INCB54707 (JAK1)</w:t>
            </w:r>
          </w:p>
        </w:tc>
        <w:tc>
          <w:tcPr>
            <w:tcW w:w="6980" w:type="dxa"/>
            <w:vAlign w:val="bottom"/>
          </w:tcPr>
          <w:p>
            <w:pPr>
              <w:ind w:left="280"/>
              <w:spacing w:after="0" w:line="189" w:lineRule="exact"/>
              <w:rPr>
                <w:sz w:val="20"/>
                <w:szCs w:val="20"/>
                <w:color w:val="auto"/>
              </w:rPr>
            </w:pPr>
            <w:r>
              <w:rPr>
                <w:rFonts w:ascii="Arial" w:cs="Arial" w:eastAsia="Arial" w:hAnsi="Arial"/>
                <w:sz w:val="18"/>
                <w:szCs w:val="18"/>
                <w:color w:val="auto"/>
              </w:rPr>
              <w:t>Hidradenitis suppurativa: Phase II</w:t>
            </w:r>
          </w:p>
        </w:tc>
      </w:tr>
      <w:tr>
        <w:trPr>
          <w:trHeight w:val="203"/>
        </w:trPr>
        <w:tc>
          <w:tcPr>
            <w:tcW w:w="1940" w:type="dxa"/>
            <w:vAlign w:val="bottom"/>
          </w:tcPr>
          <w:p>
            <w:pPr>
              <w:spacing w:after="0"/>
              <w:rPr>
                <w:sz w:val="17"/>
                <w:szCs w:val="17"/>
                <w:color w:val="auto"/>
              </w:rPr>
            </w:pPr>
          </w:p>
        </w:tc>
        <w:tc>
          <w:tcPr>
            <w:tcW w:w="6980" w:type="dxa"/>
            <w:vAlign w:val="bottom"/>
          </w:tcPr>
          <w:p>
            <w:pPr>
              <w:ind w:left="280"/>
              <w:spacing w:after="0" w:line="202" w:lineRule="exact"/>
              <w:rPr>
                <w:sz w:val="20"/>
                <w:szCs w:val="20"/>
                <w:color w:val="auto"/>
              </w:rPr>
            </w:pPr>
            <w:r>
              <w:rPr>
                <w:rFonts w:ascii="Arial" w:cs="Arial" w:eastAsia="Arial" w:hAnsi="Arial"/>
                <w:sz w:val="18"/>
                <w:szCs w:val="18"/>
                <w:color w:val="auto"/>
              </w:rPr>
              <w:t>Vitiligo: Phase II</w:t>
            </w:r>
          </w:p>
        </w:tc>
      </w:tr>
      <w:tr>
        <w:trPr>
          <w:trHeight w:val="230"/>
        </w:trPr>
        <w:tc>
          <w:tcPr>
            <w:tcW w:w="1940" w:type="dxa"/>
            <w:vAlign w:val="bottom"/>
          </w:tcPr>
          <w:p>
            <w:pPr>
              <w:spacing w:after="0"/>
              <w:rPr>
                <w:sz w:val="20"/>
                <w:szCs w:val="20"/>
                <w:color w:val="auto"/>
              </w:rPr>
            </w:pPr>
          </w:p>
        </w:tc>
        <w:tc>
          <w:tcPr>
            <w:tcW w:w="6980" w:type="dxa"/>
            <w:vAlign w:val="bottom"/>
          </w:tcPr>
          <w:p>
            <w:pPr>
              <w:ind w:left="280"/>
              <w:spacing w:after="0"/>
              <w:rPr>
                <w:sz w:val="20"/>
                <w:szCs w:val="20"/>
                <w:color w:val="auto"/>
              </w:rPr>
            </w:pPr>
            <w:r>
              <w:rPr>
                <w:rFonts w:ascii="Arial" w:cs="Arial" w:eastAsia="Arial" w:hAnsi="Arial"/>
                <w:sz w:val="18"/>
                <w:szCs w:val="18"/>
                <w:color w:val="auto"/>
              </w:rPr>
              <w:t>Prurigo nodularis: Phase II</w:t>
            </w:r>
          </w:p>
        </w:tc>
      </w:tr>
      <w:tr>
        <w:trPr>
          <w:trHeight w:val="229"/>
        </w:trPr>
        <w:tc>
          <w:tcPr>
            <w:tcW w:w="1940" w:type="dxa"/>
            <w:vAlign w:val="bottom"/>
          </w:tcPr>
          <w:p>
            <w:pPr>
              <w:spacing w:after="0"/>
              <w:rPr>
                <w:sz w:val="19"/>
                <w:szCs w:val="19"/>
                <w:color w:val="auto"/>
              </w:rPr>
            </w:pPr>
          </w:p>
        </w:tc>
        <w:tc>
          <w:tcPr>
            <w:tcW w:w="6980" w:type="dxa"/>
            <w:vAlign w:val="bottom"/>
          </w:tcPr>
          <w:p>
            <w:pPr>
              <w:spacing w:after="0"/>
              <w:rPr>
                <w:sz w:val="19"/>
                <w:szCs w:val="19"/>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INCB00928 (ALK2)</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Fibrodysplasia ossificans progressiva: Phase II in preparation</w:t>
            </w:r>
          </w:p>
        </w:tc>
      </w:tr>
      <w:tr>
        <w:trPr>
          <w:trHeight w:val="144"/>
        </w:trPr>
        <w:tc>
          <w:tcPr>
            <w:tcW w:w="1940" w:type="dxa"/>
            <w:vAlign w:val="bottom"/>
            <w:tcBorders>
              <w:bottom w:val="single" w:sz="8" w:color="auto"/>
            </w:tcBorders>
            <w:shd w:val="clear" w:color="auto" w:fill="CCEEFF"/>
          </w:tcPr>
          <w:p>
            <w:pPr>
              <w:spacing w:after="0"/>
              <w:rPr>
                <w:sz w:val="12"/>
                <w:szCs w:val="12"/>
                <w:color w:val="auto"/>
              </w:rPr>
            </w:pPr>
          </w:p>
        </w:tc>
        <w:tc>
          <w:tcPr>
            <w:tcW w:w="6980" w:type="dxa"/>
            <w:vAlign w:val="bottom"/>
            <w:tcBorders>
              <w:bottom w:val="single" w:sz="8" w:color="auto"/>
            </w:tcBorders>
            <w:shd w:val="clear" w:color="auto" w:fill="CCEEFF"/>
          </w:tcPr>
          <w:p>
            <w:pPr>
              <w:spacing w:after="0"/>
              <w:rPr>
                <w:sz w:val="12"/>
                <w:szCs w:val="12"/>
                <w:color w:val="auto"/>
              </w:rPr>
            </w:pPr>
          </w:p>
        </w:tc>
      </w:tr>
    </w:tbl>
    <w:p>
      <w:pPr>
        <w:spacing w:after="0" w:line="202" w:lineRule="exact"/>
        <w:rPr>
          <w:sz w:val="20"/>
          <w:szCs w:val="20"/>
          <w:color w:val="auto"/>
        </w:rPr>
      </w:pPr>
    </w:p>
    <w:p>
      <w:pPr>
        <w:ind w:left="40" w:right="59" w:firstLine="4"/>
        <w:spacing w:after="0" w:line="207" w:lineRule="auto"/>
        <w:tabs>
          <w:tab w:leader="none" w:pos="227"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sNDA for baricitinib for the treatment of adults with moderate to severe AD due to the FDA's ongoing assessment of JAK inhibitors.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two Phase III trials of baricitinib in patients with SLE, BRAVE I and BRAVE II.</w:t>
      </w:r>
    </w:p>
    <w:p>
      <w:pPr>
        <w:spacing w:after="0" w:line="19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dyspnea, and decreased appetite. In September 2020, we and Novartis announced that GEOMETRY mono-1 results were published in The New England Journal of Medicine.</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42"/>
        </w:trPr>
        <w:tc>
          <w:tcPr>
            <w:tcW w:w="17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baricitinib</w:t>
            </w:r>
          </w:p>
        </w:tc>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Atopic dermatitis: Phase III (BREEZE-AD); approved in European Union and Japan; sNDA</w:t>
            </w:r>
          </w:p>
        </w:tc>
      </w:tr>
      <w:tr>
        <w:trPr>
          <w:trHeight w:val="215"/>
        </w:trPr>
        <w:tc>
          <w:tcPr>
            <w:tcW w:w="17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(JAK1/JAK2)</w:t>
            </w:r>
            <w:r>
              <w:rPr>
                <w:rFonts w:ascii="Arial" w:cs="Arial" w:eastAsia="Arial" w:hAnsi="Arial"/>
                <w:sz w:val="24"/>
                <w:szCs w:val="24"/>
                <w:b w:val="1"/>
                <w:bCs w:val="1"/>
                <w:color w:val="auto"/>
                <w:vertAlign w:val="superscript"/>
              </w:rPr>
              <w:t>1</w:t>
            </w: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review</w:t>
            </w:r>
          </w:p>
        </w:tc>
      </w:tr>
      <w:tr>
        <w:trPr>
          <w:trHeight w:val="203"/>
        </w:trPr>
        <w:tc>
          <w:tcPr>
            <w:tcW w:w="172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Severe alopecia areata: Phase III (BRAVE-AA1, BRAVE-AA2)</w:t>
            </w:r>
          </w:p>
        </w:tc>
      </w:tr>
      <w:tr>
        <w:trPr>
          <w:trHeight w:val="244"/>
        </w:trPr>
        <w:tc>
          <w:tcPr>
            <w:tcW w:w="1720" w:type="dxa"/>
            <w:vAlign w:val="bottom"/>
            <w:shd w:val="clear" w:color="auto" w:fill="CCEEFF"/>
          </w:tcPr>
          <w:p>
            <w:pPr>
              <w:spacing w:after="0"/>
              <w:rPr>
                <w:sz w:val="21"/>
                <w:szCs w:val="21"/>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Systemic lupus erythematosus: Phase III (BRAVE I, BRAVE II)</w:t>
            </w:r>
          </w:p>
        </w:tc>
      </w:tr>
      <w:tr>
        <w:trPr>
          <w:trHeight w:val="355"/>
        </w:trPr>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6"/>
                <w:szCs w:val="26"/>
                <w:b w:val="1"/>
                <w:bCs w:val="1"/>
                <w:color w:val="auto"/>
                <w:vertAlign w:val="superscript"/>
              </w:rPr>
              <w:t>2</w:t>
            </w:r>
          </w:p>
        </w:tc>
        <w:tc>
          <w:tcPr>
            <w:tcW w:w="7200" w:type="dxa"/>
            <w:vAlign w:val="bottom"/>
          </w:tcPr>
          <w:p>
            <w:pPr>
              <w:ind w:left="120"/>
              <w:spacing w:after="0"/>
              <w:rPr>
                <w:sz w:val="20"/>
                <w:szCs w:val="20"/>
                <w:color w:val="auto"/>
              </w:rPr>
            </w:pPr>
            <w:r>
              <w:rPr>
                <w:rFonts w:ascii="Arial" w:cs="Arial" w:eastAsia="Arial" w:hAnsi="Arial"/>
                <w:sz w:val="18"/>
                <w:szCs w:val="18"/>
                <w:color w:val="auto"/>
              </w:rPr>
              <w:t>NSCLC (with MET exon 14 skipping mutations): approved in United States and 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1" w:lineRule="exact"/>
        <w:rPr>
          <w:sz w:val="20"/>
          <w:szCs w:val="20"/>
          <w:color w:val="auto"/>
        </w:rPr>
      </w:pPr>
    </w:p>
    <w:p>
      <w:pPr>
        <w:ind w:left="200" w:hanging="156"/>
        <w:spacing w:after="0"/>
        <w:tabs>
          <w:tab w:leader="none" w:pos="20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9 of notes to our condensed consolidated financial statements.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December 2009, we entered into a License, Development and Commercialization Agreement with Lilly. Under the terms of the agreement, Lilly received exclusive worldwide development and commercialization rights to baricitinib</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Lab’s subsidiary received development and exclusive commercialization rights to INCMGA0012 in hematology and oncology in mainland China, Hong Kong, Macau and Taiwan. We retained an option to assist in the promotion of INCMGA0012 in Zai Lab’s licensed territories.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September 2021, we entered into a Collaboration and License Agreement with Syndax covering the worldwide development and commercialization of SNDX-6352 (axatilimab), Syndax’s anti-CSF-1R monoclonal antibody. Effectiveness of this agreement is subject to termination of the Hart-Scott-Rodino Antitrust Improvements Act waiting period. Under the terms of this agreement, we will receive exclusive commercialization rights outside of the United States, and Syndax will have co-commercialization rights in the United States with respect to axatilimab.</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(“the COVID-19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 The RUXCOVID study has been completed and the data will be further analyzed to determine any potential impact 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other studies of ruxolitinib in patients with COVID-19, including our Expanded Access Program in the United States, which allows eligible patients with severe COVID-19 associated cytokine storm to receive ruxolitinib.</w:t>
      </w:r>
    </w:p>
    <w:p>
      <w:pPr>
        <w:spacing w:after="0" w:line="17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8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 In August 2021, we and Lilly announced new data from an additional cohort of 101 adult patients from the COV-BARRIER trial. In this sub-study, patients with COVID-19 on mechanical ventilation or extracorporeal membrane oxygenation (ECMO) who received baricitinib plus standard of care were 46% less likely to die by Day 28 compared to patients who received placebo plus standard of care.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only when we have satisfied a performance obligation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transferring control of the promised good or service to a customer in an amount that reflects the consideration we expect to receive in exchange for those goods or services. We apply the following five-step model in order to determine this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revenues consist of sales of JAKAFI, PEMAZYRE, ICLUSIG, and MINJUVI.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purchase directly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Royalty revenues on commercial sales for JAKAVI and TABRECTA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85"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b w:val="1"/>
          <w:bCs w:val="1"/>
          <w:i w:val="1"/>
          <w:iCs w:val="1"/>
          <w:color w:val="auto"/>
        </w:rPr>
        <w:t xml:space="preserve">Stock Compensation. </w:t>
      </w:r>
      <w:r>
        <w:rPr>
          <w:rFonts w:ascii="Arial" w:cs="Arial" w:eastAsia="Arial" w:hAnsi="Arial"/>
          <w:sz w:val="17"/>
          <w:szCs w:val="17"/>
          <w:color w:val="auto"/>
        </w:rPr>
        <w:t>Share-based payment transactions with employees, which include stock options,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recognize the tax benefit from an uncertain tax position only if it is more-likely-than-not that the position will be sustained upon examination by the taxing authorities, including resolutions of any related appeals or litigation processes,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a discount rate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recorded net income of $181.7 million and basic and diluted net income per share of $0.82 for the three months ended September 30, 2021, as compared to net loss of $15.2 million and basic and diluted net loss per share of $0.07 in the corresponding period in 2020. We recorded net income of $384.7 million and basic net income per share of $1.75 and diluted net income per share of $1.73 for the nine months ended September 30, 2021, as compared to net loss of $445.5 million and basic and diluted net loss per share of $2.05 in the corresponding period in 2020.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r>
      <w:tr>
        <w:trPr>
          <w:trHeight w:val="128"/>
        </w:trPr>
        <w:tc>
          <w:tcPr>
            <w:tcW w:w="3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jc w:val="center"/>
              <w:ind w:left="43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jc w:val="center"/>
              <w:ind w:left="41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1,421.0</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ICLUSIG revenues,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MINJUVI revenues,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9"/>
        </w:trPr>
        <w:tc>
          <w:tcPr>
            <w:tcW w:w="3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1,509.3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TABRECTA product royalty revenues</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18"/>
                <w:szCs w:val="18"/>
                <w:color w:val="auto"/>
              </w:rPr>
            </w:pPr>
          </w:p>
        </w:tc>
      </w:tr>
      <w:tr>
        <w:trPr>
          <w:trHeight w:val="209"/>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Milestone and contract revenues</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Borders>
              <w:bottom w:val="single" w:sz="8" w:color="CCEEFF"/>
            </w:tcBorders>
          </w:tcPr>
          <w:p>
            <w:pPr>
              <w:spacing w:after="0"/>
              <w:rPr>
                <w:sz w:val="18"/>
                <w:szCs w:val="18"/>
                <w:color w:val="auto"/>
              </w:rPr>
            </w:pPr>
          </w:p>
        </w:tc>
      </w:tr>
      <w:tr>
        <w:trPr>
          <w:trHeight w:val="21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2,123.4</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1,877.2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increase in JAKAFI product revenues for the three months ended September 30, 2021 as compared to the corresponding period in 2020 was comprised of a volume increase of $41.4 million and a price increase of $18.2 million. The increase in JAKAFI product revenues for the nine months ended September 30, 2021 as compared to the corresponding period in 2020 was comprised of a volume increase of $66.4 million and a price increase of $54.7 million. Additionally,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Discounts and</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Co-Pay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Assistance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Rebates and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Chargebacks</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324,082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(43,144)</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(257,461)</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(17,731)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(318,336)</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(43,371)</w:t>
            </w: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97,232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6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milestone and contract revenues for the nine months ended September 30, 2021, were derived from a $10.0 million milestone under the Innovent research and collaboration and licensing agreement and a $35.0 million upfront payment under the InnoCare collaboration and license agreement. Our milestone and contract revenues for the nine months ended September 30, 2020, were derived from a $5.0 million milestone under the Innovent research collaboration and licensing agreement and $90.0 million in milestones under the Novartis collaboration and license agreement.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r>
      <w:tr>
        <w:trPr>
          <w:trHeight w:val="128"/>
        </w:trPr>
        <w:tc>
          <w:tcPr>
            <w:tcW w:w="3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jc w:val="center"/>
              <w:ind w:left="43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Royalty expense</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r>
      <w:tr>
        <w:trPr>
          <w:trHeight w:val="210"/>
        </w:trPr>
        <w:tc>
          <w:tcPr>
            <w:tcW w:w="370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39.9</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Cost of product revenues includes all product related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8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3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3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center"/>
              <w:ind w:left="31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center"/>
              <w:ind w:right="113"/>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 compensation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1,437.9</w:t>
            </w:r>
          </w:p>
        </w:tc>
        <w:tc>
          <w:tcPr>
            <w:tcW w:w="200" w:type="dxa"/>
            <w:vAlign w:val="bottom"/>
            <w:shd w:val="clear" w:color="auto" w:fill="CCEEFF"/>
          </w:tcPr>
          <w:p>
            <w:pPr>
              <w:spacing w:after="0"/>
              <w:rPr>
                <w:sz w:val="18"/>
                <w:szCs w:val="18"/>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Borders>
              <w:bottom w:val="single" w:sz="8" w:color="CCEEFF"/>
            </w:tcBorders>
          </w:tcPr>
          <w:p>
            <w:pPr>
              <w:spacing w:after="0"/>
              <w:rPr>
                <w:sz w:val="18"/>
                <w:szCs w:val="18"/>
                <w:color w:val="auto"/>
              </w:rPr>
            </w:pPr>
          </w:p>
        </w:tc>
      </w:tr>
      <w:tr>
        <w:trPr>
          <w:trHeight w:val="210"/>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r>
              <w:rPr>
                <w:rFonts w:ascii="Arial" w:cs="Arial" w:eastAsia="Arial" w:hAnsi="Arial"/>
                <w:sz w:val="18"/>
                <w:szCs w:val="18"/>
                <w:u w:val="single" w:color="auto"/>
                <w:color w:val="auto"/>
              </w:rPr>
              <w:t>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r>
              <w:rPr>
                <w:rFonts w:ascii="Arial" w:cs="Arial" w:eastAsia="Arial" w:hAnsi="Arial"/>
                <w:sz w:val="18"/>
                <w:szCs w:val="18"/>
                <w:u w:val="single" w:color="auto"/>
                <w:color w:val="auto"/>
              </w:rPr>
              <w:t>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1,810.0</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account for research and development costs by natural expense line and not costs by project. The increase in salary and benefits related expense for the three and nine months ended September 30, 2021 as compared to the corresponding periods in 2020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92" w:lineRule="exact"/>
        <w:rPr>
          <w:sz w:val="20"/>
          <w:szCs w:val="20"/>
          <w:color w:val="auto"/>
        </w:rPr>
      </w:pPr>
    </w:p>
    <w:p>
      <w:pPr>
        <w:jc w:val="both"/>
        <w:ind w:left="40" w:right="59" w:firstLine="693"/>
        <w:spacing w:after="0" w:line="342" w:lineRule="auto"/>
        <w:rPr>
          <w:sz w:val="20"/>
          <w:szCs w:val="20"/>
          <w:color w:val="auto"/>
        </w:rPr>
      </w:pPr>
      <w:r>
        <w:rPr>
          <w:rFonts w:ascii="Arial" w:cs="Arial" w:eastAsia="Arial" w:hAnsi="Arial"/>
          <w:sz w:val="16"/>
          <w:szCs w:val="16"/>
          <w:color w:val="auto"/>
        </w:rPr>
        <w:t>The decrease in clinical research and outside services expense for the three months ended September 30, 2021 as compared to the corresponding period in 2020 was primarily due to expense related to the purchase of an FDA priority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review voucher in the prior year that enabled OPZELURA to be the first JAK inhibitor approved in a topical formulation, and the decrease in such expense for the nine months ended September 30, 2021 as compared to the corresponding period in 2020 was also due to upfront consideration related to our collaborative agreements recorded in the 2020 period. Research and development expenses include upfront and milestone expenses related to our collaborative agreements of $4.3 million and $20.8 million, respectively, for the three and nine months ended September 30, 2021. Research and development expenses include upfront and milestone expenses related to our collaborative agreements and the cost of purchasing a priority review voucher of $141.5 million and $950.5 million, respectively, for the three and nine months ended September 30, 2020. Research and development expenses for the three and nine months ended September 30, 2021 and 2020 were net of $3.2 million, $15.7 million, $2.1 million and $7.0 million, respectively, of costs reimbursed by our collaborative partners.</w:t>
      </w:r>
    </w:p>
    <w:p>
      <w:pPr>
        <w:spacing w:after="0" w:line="18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80" w:type="dxa"/>
            <w:vAlign w:val="bottom"/>
          </w:tcPr>
          <w:p>
            <w:pPr>
              <w:spacing w:after="0"/>
              <w:rPr>
                <w:sz w:val="14"/>
                <w:szCs w:val="14"/>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4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4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left="298"/>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center"/>
              <w:ind w:right="94"/>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 compensation</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0" w:type="dxa"/>
            <w:vAlign w:val="bottom"/>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6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u w:val="single" w:color="auto"/>
                <w:color w:val="auto"/>
              </w:rPr>
              <w:t>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2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increase in salary and benefits related expense for the three and nine months ended September 30, 2021 as compared to the corresponding period in 2020 was due primarily to increased headcount. This increased headcount was due primarily to the ongoing commercialization efforts related to JAKAFI for intermediate or high-risk myelofibrosis, uncontrolled polycythemia vera and GVHD as well as increased headcount related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and nine months ended September 30, 2021, as compared to the corresponding period in 2020, was due primarily to expenses related to the establishment of our dermatology commercial organization and expenses related to activities to support the potential launch of ruxolitinib cream for the treatment of atopic dermatitis. The nine months ended September 30, 2021 also included expense recognized in connection with a legal settlement, as discussed in Note 15 of notes to our condensed consolidated financial statements.</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Acquisition-related contingent consideration, which consists of our future royalty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nine months ended September 30, 2021 was $2.9 million and $13.1 million, respectively, which is recorded in change in fair value of acquisition-related contingent consideration on the condensed consolidated statements of operations. The change in fair value of the acquisition-related contingent consideration for the three and nine months ended September 30, 2020 was $7.1 million and $19.8 million, respectively, which is recorded in change in fair value of acquisition-related contingent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consideration on the condensed consolidated statements of operations. The change in fair value for the three and nine months ended September 30, 2021 and 2020 was due primarily to the impact of updated projections of future ICLUSIG revenues in the European Union.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nine months ended September 30, 2021, our 50% share of the losses for tafasitamab was $9.1 million and $29.5 million, respectively, as recorded in collaboration loss sharing on the condensed consolidated statement of operations. For the three and nine months ended September 30, 2020, our 50% share of the losses for tafasitamab was $15.0 million and $30.4 million, respectively, as recorded in collaboration loss sharing on the condensed consolidated statement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three and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$1.9 million and $4.9 million, respectively. Other income (expense), net for the three and nine months ended September 30, 2020 was $4.9 million and $18.4 million, respectively. The decrease in other income (expense), net for the nine months ended September 30, 2021 primarily relates to a decrease in interest income.</w:t>
      </w:r>
    </w:p>
    <w:p>
      <w:pPr>
        <w:spacing w:after="0" w:line="17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three and nine months ended September 30, 2021 was $0.4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$1.2 million, respectively. Interest expense for the three and nine months ended September 30, 2020 was $0.5 million and $1.7 million, respectively. Included in interest expense for the three and nine months ended September 30, 2021 was approximately $0.4 million and $1.0 million, respectively, of interest expense on our finance lease liabilities. Included in interest expense for the three and nine months ended September 30, 2020 was $0.2 million and $0.6 million, respectively, of non-cash charges to amortize the discount on our convertible senior notes due November 2020 and approximately $0.3 million and $0.9 million, respectively, of interest expense on our finance lease liabilities.</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83"/>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r>
      <w:tr>
        <w:trPr>
          <w:trHeight w:val="129"/>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left="43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tcPr>
          <w:p>
            <w:pPr>
              <w:jc w:val="center"/>
              <w:ind w:left="41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Calithera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MorphoSys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Syros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w w:val="95"/>
              </w:rPr>
              <w:t>Total unrealized gain (loss) on long term investments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for the three and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$27.7 million and $65.7 million, respectively. The provision for income taxes for the three and nine months ended September 30, 2020 and was $11.7 million and $45.2 million, respectively. The tax expense for the three and nine months ended September 30, 2021 and 2020 represents primarily federal and state tax liabilities that are not fully sheltered by net operating losses or research and development tax credit carryforwards.</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Due to historical net losses, we had an accumulated deficit of $1.3 billion as of September 30, 2021. We have funded our research and development operations through cash received from customers, sales of equity securities,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issuance of convertible notes, and collaborative arrangements. At September 30, 2021, we had available cash, cash equivalents and marketable securities of $2.3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provided by operating activities for the nine months ended September 30, 2021 was $634.1 million and net cash used in operating activities for the nine months ended September 30, 2020 was $231.9 million. The increase in cash provided by operating activities was due primarily to cash outflows in March 2020 related to our collaboration and license agreement with MorphoSys and changes in working capital.</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investing activities, other than purchases, sales and maturities of marketable securities, have consisted predominantly of capital expenditures and purchases of long term investments. Net cash used by investing activities was $141.7 million for the nine months ended September 30, 2021, which represented purchases of marketable securities of $228.2 million, capital expenditures of $146.5 million and purchases of long term equity investments of $8.7 million, offset in part by the sale of long term investment of $10.5 million and the sale and maturities of marketable securities of $231.3 million. Net cash used in investing activities was $166.3 million for the nine months ended September 30, 2020, which represented purchases of marketable securities of $418.7 million, capital expenditures of $135.9 million, and purchases of long term equity investments of $95.5 million, offset in part by the sale of long term investment of $17.3 million and the sales and maturities of marketable securities of $466.6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used in financing activities was $2.8 million for the nine months ended September 30, 2021 and net cash provided by financing activities was $59.8 million for the nine months ended September 30, 2020, primarily representing proceeds from the issuance of common stock under our stock plans net of tax withholding, offset by cash paid to ARIAD/Takeda for contingent consideration.</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capital expenditures for construction activities and our non-operating contractual operating and finance lease obligations are discussed in Note 7 of notes to our condensed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September 30, 2021, we had no outstanding borrowings and were in compliance with all covenants under this facility. 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9 of notes to our condensed consolidated financial statements.</w:t>
      </w:r>
    </w:p>
    <w:p>
      <w:pPr>
        <w:spacing w:after="0" w:line="17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stock. Debt financing arrangements may require us to pledge certain assets or enter into covenants that could restrict our operations or our ability to incur further indebtedness.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September 30, 2021, marketable securities were $285.1 million. Due to the nature of these investments, if market interest rates were to increase immediately and uniformly by 10% from levels as of September 30, 2021, the decline in fair value would not be material.</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color w:val="auto"/>
        </w:rPr>
        <w:t>. There were no changes in our internal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reporting (as defined in Rules 13a-15(f) and 15d-15(f) under the Exchange Act) for the three months ended September 30, 2021, that materially affected or are reasonably likely to materially affect our internal control over financial reporting.</w:t>
      </w:r>
    </w:p>
    <w:p>
      <w:pPr>
        <w:spacing w:after="0" w:line="183"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MONJUVI in the United States and MINJUVI in the European Union for the treatment of certain lymphoma indications, and OPZELURA in the Unites States for the treatment of certain indications of atopic dermatitis, and our exclusive licensees sell OLUMIANT (baricitinib) for the treatment of specified rheumatoid arthritis and atopic dermatitis indications and TABRECTA for the treatment of a certain type of non small-cell lung cancer, we anticipate that JAKAFI product sales will continue to contribute a significant percentage of our total revenues over the next several years.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pacing w:after="0" w:line="211" w:lineRule="exact"/>
        <w:rPr>
          <w:sz w:val="20"/>
          <w:szCs w:val="20"/>
          <w:color w:val="auto"/>
        </w:rPr>
      </w:pPr>
    </w:p>
    <w:p>
      <w:pPr>
        <w:jc w:val="both"/>
        <w:ind w:left="1040" w:right="79" w:hanging="321"/>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5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6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and OPZELURA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398"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49"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We cannot predict the effects on sales of JAKAFI as a result of the labeling change, but it is possible that future sales of JAKAFI can be negatively affected by the updated labeling, which could have a material and adverse effect on our business, results of operations and prospects.</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testing of JAKAFI, ICLUSIG, PEMAZYRE, MONJUVI/MINJUVI and OPZELURA, the manufacturing, marketing and sale of JAKAFI, PEMAZYRE and OPZELURA and the marketing and sale of ICLUSIG and MONJUVI/MINJUVI expose us to product liability and other risks. Side effects and other problems experienced by patients from the use of our products could:</w:t>
      </w:r>
    </w:p>
    <w:p>
      <w:pPr>
        <w:spacing w:after="0" w:line="187" w:lineRule="exact"/>
        <w:rPr>
          <w:sz w:val="20"/>
          <w:szCs w:val="20"/>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and OPZELURA.</w:t>
      </w:r>
    </w:p>
    <w:p>
      <w:pPr>
        <w:spacing w:after="0" w:line="17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OPZELURA and our collaborator MorphoSys’s marketing of MONJUVI.</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include major pharmaceutical and biotechnology companies, as well as specialty pharmaceutical firms. Competitors for OPZELURA include existing over-the-counter topical treatments as well as oral and injectable therapies.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have and could adversely affect our business, results of operations, and financial condition.</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8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results of operations and financial condition, including the following:</w:t>
      </w:r>
    </w:p>
    <w:p>
      <w:pPr>
        <w:spacing w:after="0" w:line="170" w:lineRule="exact"/>
        <w:rPr>
          <w:sz w:val="20"/>
          <w:szCs w:val="20"/>
          <w:color w:val="auto"/>
        </w:rPr>
      </w:pPr>
    </w:p>
    <w:p>
      <w:pPr>
        <w:jc w:val="both"/>
        <w:ind w:left="720" w:right="59" w:hanging="325"/>
        <w:spacing w:after="0" w:line="287"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When the COVID-19 Pandemic commenced, to protect the health of our employees and their families, and our communities, in accordance with – and in some cases in advance or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71" w:lineRule="exact"/>
        <w:rPr>
          <w:rFonts w:ascii="Arial" w:cs="Arial" w:eastAsia="Arial" w:hAnsi="Arial"/>
          <w:sz w:val="16"/>
          <w:szCs w:val="16"/>
          <w:color w:val="auto"/>
        </w:rPr>
      </w:pPr>
    </w:p>
    <w:p>
      <w:pPr>
        <w:jc w:val="both"/>
        <w:ind w:left="720" w:right="59" w:hanging="325"/>
        <w:spacing w:after="0" w:line="293"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the work from home orders and travel restrictions.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164" w:lineRule="exact"/>
        <w:rPr>
          <w:rFonts w:ascii="Arial" w:cs="Arial" w:eastAsia="Arial" w:hAnsi="Arial"/>
          <w:sz w:val="16"/>
          <w:szCs w:val="16"/>
          <w:color w:val="auto"/>
        </w:rPr>
      </w:pPr>
    </w:p>
    <w:p>
      <w:pPr>
        <w:jc w:val="both"/>
        <w:ind w:left="720" w:right="59" w:hanging="325"/>
        <w:spacing w:after="0" w:line="269"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 affected and may continue to affect their ability to devote sufficient time and resources to our programs or to travel to sites to perform work for us.</w:t>
      </w:r>
    </w:p>
    <w:p>
      <w:pPr>
        <w:spacing w:after="0" w:line="178" w:lineRule="exact"/>
        <w:rPr>
          <w:rFonts w:ascii="Arial" w:cs="Arial" w:eastAsia="Arial" w:hAnsi="Arial"/>
          <w:sz w:val="17"/>
          <w:szCs w:val="17"/>
          <w:color w:val="auto"/>
        </w:rPr>
      </w:pPr>
    </w:p>
    <w:p>
      <w:pPr>
        <w:jc w:val="both"/>
        <w:ind w:left="720" w:right="59" w:hanging="325"/>
        <w:spacing w:after="0" w:line="273"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93"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96" w:lineRule="auto"/>
        <w:rPr>
          <w:sz w:val="20"/>
          <w:szCs w:val="20"/>
          <w:color w:val="auto"/>
        </w:rPr>
      </w:pPr>
      <w:r>
        <w:rPr>
          <w:rFonts w:ascii="Arial" w:cs="Arial" w:eastAsia="Arial" w:hAnsi="Arial"/>
          <w:sz w:val="16"/>
          <w:szCs w:val="16"/>
          <w:color w:val="auto"/>
        </w:rPr>
        <w:t>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61" w:lineRule="exact"/>
        <w:rPr>
          <w:sz w:val="20"/>
          <w:szCs w:val="20"/>
          <w:color w:val="auto"/>
        </w:rPr>
      </w:pPr>
    </w:p>
    <w:p>
      <w:pPr>
        <w:jc w:val="both"/>
        <w:ind w:left="720" w:right="79" w:hanging="325"/>
        <w:spacing w:after="0" w:line="263"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have invested significant resources in the development of our most advanced drug candidates. We have a number of drug candidates in Phase III clinical trials as monotherapies or in combination with other drugs and drug candidates, including itacitinib, parsaclisib, pemigatinib and ruxolitinib cream.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9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77" w:lineRule="exact"/>
        <w:rPr>
          <w:sz w:val="20"/>
          <w:szCs w:val="20"/>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w:t>
      </w:r>
    </w:p>
    <w:p>
      <w:pPr>
        <w:spacing w:after="0" w:line="18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w:t>
      </w:r>
    </w:p>
    <w:p>
      <w:pPr>
        <w:spacing w:after="0" w:line="17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limit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and to make drug prices more affordable and equitable, reform government program reimbursement methodologies for prescription drugs, allow importation of drugs into the United States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445"/>
        <w:spacing w:after="0" w:line="267"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are in the process of negotiating agreements with PBMs and payor accounts to provide rebates to those entities related to formulary coverage for OPZELURA, but we cannot guarantee that we will be able to agree to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maintaining broad coverage for OPZELURA, our anticipated revenue from and growth prospects for OPZELURA could be negatively affected.</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Zai Lab and InnoCare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could lead to litigation or arbitration, which could be costly and divert the efforts of our management and scientific staff, and could diminish the expected effectiveness of the collaboration.</w:t>
      </w:r>
    </w:p>
    <w:p>
      <w:pPr>
        <w:spacing w:after="0" w:line="17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2"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Zai Lab and InnoCare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and pending collaboration with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and OPZELURA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81"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do not currently operate manufacturing facilities for clinical or commercial production of JAKAFI, PEMAZYRE, OPZELURA and our other drug candidates or for ICLUSIG or MONJUVI/MINJUVI. We currently hire third parties to manufacture the raw materials, API and finished drug product of JAKAFI, ICLUSIG, PEMAZYRE, OPZELURA and our other drug candidates for clinical trials and our collaborator MorphoSys is currently responsible for sourcing manufacturing of MONJUVI/MINJUVI.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PEMAZYRE and OPZELURA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6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8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4" w:lineRule="auto"/>
        <w:rPr>
          <w:sz w:val="20"/>
          <w:szCs w:val="20"/>
          <w:color w:val="auto"/>
        </w:rPr>
      </w:pPr>
      <w:r>
        <w:rPr>
          <w:rFonts w:ascii="Arial" w:cs="Arial" w:eastAsia="Arial" w:hAnsi="Arial"/>
          <w:sz w:val="16"/>
          <w:szCs w:val="16"/>
          <w:color w:val="auto"/>
        </w:rPr>
        <w:t>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39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three month periods ended March 31, 2020, September 30, 2020 and March 31, 2021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86"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political and economic conditions in the countries in which we operate, including terrorism and political unrest, curtailment of trade and other business restrictions, and uncertainties associated with the implementation of the relationship between the United Kingdom and the European Union;</w:t>
      </w:r>
    </w:p>
    <w:p>
      <w:pPr>
        <w:spacing w:after="0" w:line="165"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 health risks, such as the spread globally of COVID-19 in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$1.3 billion as of September 30, 2021.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and OPZELURA, for several years, if ever.</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and OPZELURA, we may incur losses if our drug products do not generate significant revenues.</w:t>
      </w:r>
    </w:p>
    <w:p>
      <w:pPr>
        <w:spacing w:after="0" w:line="19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condensed consolidated balance sheets and condensed consolidated statements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results of operations, business and financial condition.</w:t>
      </w:r>
    </w:p>
    <w:p>
      <w:pPr>
        <w:spacing w:after="0" w:line="24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The Administration and Congress are considering significant changes to existing U.S. tax law, including an increase in the corporate tax rate and the effective tax rate on foreign earnings. These changes could substantially increase U.S. taxation of our operations. In addition, the Organisation for Economic Co-Operation and Development (OECD) in October 2021 announced an agreement on an outline for new tax rules that would align countries on a minimum corporate tax rate and an expansion of the taxing rights of market countries. If enacted by member countries, this agreement could result in tax increases in both the United States and many foreign jurisdictions where we operate or have a presence. These initiatives not only could significantly increase our tax provision, cash tax liabilities, and effective tax rate, but could also significantly increase tax uncertainty due to differing interpretations and increased audit scrutiny.</w:t>
      </w:r>
    </w:p>
    <w:p>
      <w:pPr>
        <w:spacing w:after="0" w:line="19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derived a substantial portion of our revenues for the year ended December 31, 2020 and the nine months ended September 30, 2021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choose to license any of these patents, our ability to commercialize our products could be harmed or the potential return to us from any product that may be successfully commercialized could be diminished.</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6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80" w:type="dxa"/>
            <w:vAlign w:val="bottom"/>
            <w:gridSpan w:val="3"/>
            <w:vMerge w:val="restart"/>
          </w:tcPr>
          <w:p>
            <w:pPr>
              <w:ind w:left="2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4"/>
                <w:szCs w:val="14"/>
                <w:color w:val="auto"/>
              </w:rPr>
            </w:pPr>
          </w:p>
        </w:tc>
        <w:tc>
          <w:tcPr>
            <w:tcW w:w="7780" w:type="dxa"/>
            <w:vAlign w:val="bottom"/>
            <w:tcBorders>
              <w:top w:val="single" w:sz="8" w:color="auto"/>
            </w:tcBorders>
            <w:gridSpan w:val="5"/>
          </w:tcPr>
          <w:p>
            <w:pPr>
              <w:spacing w:after="0" w:line="169"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Revolving Credit and Guaranty Agreement, dated as of August 18, 2021, among the Company, the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guarantors party thereto, the lenders party thereto, and JPMorgan Chase Bank, N.A., as Administrative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Agent.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780" w:type="dxa"/>
            <w:vAlign w:val="bottom"/>
            <w:gridSpan w:val="5"/>
          </w:tcPr>
          <w:p>
            <w:pPr>
              <w:spacing w:after="0"/>
              <w:rPr>
                <w:rFonts w:ascii="Arial" w:cs="Arial" w:eastAsia="Arial" w:hAnsi="Arial"/>
                <w:sz w:val="18"/>
                <w:szCs w:val="18"/>
                <w:color w:val="0000EE"/>
              </w:rPr>
            </w:pPr>
            <w:hyperlink w:anchor="page265">
              <w:r>
                <w:rPr>
                  <w:rFonts w:ascii="Arial" w:cs="Arial" w:eastAsia="Arial" w:hAnsi="Arial"/>
                  <w:sz w:val="18"/>
                  <w:szCs w:val="18"/>
                  <w:color w:val="0000EE"/>
                </w:rPr>
                <w:t>Rule 13a-14(a) Certification of Chief Executive Officer</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2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780" w:type="dxa"/>
            <w:vAlign w:val="bottom"/>
            <w:gridSpan w:val="5"/>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Rule 13a-14(a) Certification of Chief Financial Officer</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7">
              <w:r>
                <w:rPr>
                  <w:rFonts w:ascii="Arial" w:cs="Arial" w:eastAsia="Arial" w:hAnsi="Arial"/>
                  <w:sz w:val="18"/>
                  <w:szCs w:val="18"/>
                  <w:color w:val="0000EE"/>
                  <w:w w:val="92"/>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5"/>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Section 1350)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8">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5"/>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Section 1350)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780" w:type="dxa"/>
            <w:vAlign w:val="bottom"/>
            <w:gridSpan w:val="5"/>
          </w:tcPr>
          <w:p>
            <w:pPr>
              <w:spacing w:after="0"/>
              <w:rPr>
                <w:sz w:val="20"/>
                <w:szCs w:val="20"/>
                <w:color w:val="auto"/>
              </w:rPr>
            </w:pPr>
            <w:r>
              <w:rPr>
                <w:rFonts w:ascii="Arial" w:cs="Arial" w:eastAsia="Arial" w:hAnsi="Arial"/>
                <w:sz w:val="18"/>
                <w:szCs w:val="18"/>
                <w:color w:val="auto"/>
              </w:rPr>
              <w:t>Inline XBRL Instance Document (embedded within the Inline XBRL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5"/>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019" w:firstLine="9"/>
        <w:spacing w:after="0" w:line="500" w:lineRule="auto"/>
        <w:tabs>
          <w:tab w:leader="none" w:pos="1179"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jc w:val="both"/>
        <w:ind w:left="360" w:right="79" w:hanging="316"/>
        <w:spacing w:after="0" w:line="259"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-900430</wp:posOffset>
            </wp:positionV>
            <wp:extent cx="14141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760" w:type="dxa"/>
            <w:vAlign w:val="bottom"/>
            <w:gridSpan w:val="2"/>
          </w:tcPr>
          <w:p>
            <w:pPr>
              <w:ind w:left="1300"/>
              <w:spacing w:after="0"/>
              <w:rPr>
                <w:sz w:val="20"/>
                <w:szCs w:val="20"/>
                <w:color w:val="auto"/>
              </w:rPr>
            </w:pPr>
            <w:r>
              <w:rPr>
                <w:rFonts w:ascii="Arial" w:cs="Arial" w:eastAsia="Arial" w:hAnsi="Arial"/>
                <w:sz w:val="18"/>
                <w:szCs w:val="18"/>
                <w:color w:val="auto"/>
              </w:rPr>
              <w:t>INCYTE CORPORATION</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November 2, 2021</w:t>
            </w:r>
          </w:p>
        </w:tc>
        <w:tc>
          <w:tcPr>
            <w:tcW w:w="5760" w:type="dxa"/>
            <w:vAlign w:val="bottom"/>
            <w:gridSpan w:val="2"/>
          </w:tcPr>
          <w:p>
            <w:pPr>
              <w:ind w:left="1300"/>
              <w:spacing w:after="0"/>
              <w:rPr>
                <w:sz w:val="20"/>
                <w:szCs w:val="20"/>
                <w:color w:val="auto"/>
              </w:rPr>
            </w:pPr>
            <w:r>
              <w:rPr>
                <w:rFonts w:ascii="Arial" w:cs="Arial" w:eastAsia="Arial" w:hAnsi="Arial"/>
                <w:sz w:val="18"/>
                <w:szCs w:val="18"/>
                <w:color w:val="auto"/>
              </w:rPr>
              <w:t>By:  /s/ HERVÉ HOPPENOT</w:t>
            </w:r>
          </w:p>
        </w:tc>
      </w:tr>
      <w:tr>
        <w:trPr>
          <w:trHeight w:val="195"/>
        </w:trPr>
        <w:tc>
          <w:tcPr>
            <w:tcW w:w="3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3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November 2, 2021</w:t>
            </w:r>
          </w:p>
        </w:tc>
        <w:tc>
          <w:tcPr>
            <w:tcW w:w="5760" w:type="dxa"/>
            <w:vAlign w:val="bottom"/>
            <w:gridSpan w:val="2"/>
          </w:tcPr>
          <w:p>
            <w:pPr>
              <w:ind w:left="1300"/>
              <w:spacing w:after="0"/>
              <w:rPr>
                <w:sz w:val="20"/>
                <w:szCs w:val="20"/>
                <w:color w:val="auto"/>
              </w:rPr>
            </w:pPr>
            <w:r>
              <w:rPr>
                <w:rFonts w:ascii="Arial" w:cs="Arial" w:eastAsia="Arial" w:hAnsi="Arial"/>
                <w:sz w:val="18"/>
                <w:szCs w:val="18"/>
                <w:color w:val="auto"/>
              </w:rPr>
              <w:t>By:  /s/ CHRISTIANA STAMOULIS</w:t>
            </w:r>
          </w:p>
        </w:tc>
      </w:tr>
      <w:tr>
        <w:trPr>
          <w:trHeight w:val="195"/>
        </w:trPr>
        <w:tc>
          <w:tcPr>
            <w:tcW w:w="3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3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jc w:val="right"/>
        <w:ind w:right="679"/>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REVOLVING CREDIT AND GUARANTY AGREEMENT</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dated as of</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August 18, 2021,</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among</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INCYTE CORPORATION,</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as Borrower,</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THE GUARANTORS PARTY HERETO,</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THE LENDERS PARTY HERETO,</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as Administrative Agent</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BANK OF AMERICA, N.A.</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and</w:t>
      </w:r>
    </w:p>
    <w:p>
      <w:pPr>
        <w:spacing w:after="0" w:line="17"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MIZUHO BANK, LTD.,</w:t>
      </w:r>
    </w:p>
    <w:p>
      <w:pPr>
        <w:spacing w:after="0" w:line="17"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as Co-Syndication Agents</w:t>
      </w:r>
    </w:p>
    <w:p>
      <w:pPr>
        <w:spacing w:after="0" w:line="283"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_____________________________________</w:t>
      </w:r>
    </w:p>
    <w:p>
      <w:pPr>
        <w:spacing w:after="0" w:line="3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BANK OF AMERICA, N.A.,</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MIZUHO BANK, LTD.,</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1676400</wp:posOffset>
            </wp:positionV>
            <wp:extent cx="498919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2540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278765</wp:posOffset>
            </wp:positionV>
            <wp:extent cx="50749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749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0" w:name="page101"/>
    <w:bookmarkEnd w:id="100"/>
    <w:tbl>
      <w:tblPr>
        <w:tblLayout w:type="fixed"/>
        <w:tblInd w:w="540" w:type="dxa"/>
        <w:tblCellMar>
          <w:top w:w="0" w:type="dxa"/>
          <w:left w:w="0" w:type="dxa"/>
          <w:bottom w:w="0" w:type="dxa"/>
          <w:right w:w="0" w:type="dxa"/>
        </w:tblCellMar>
      </w:tblPr>
      <w:tr>
        <w:trPr>
          <w:trHeight w:val="280"/>
        </w:trPr>
        <w:tc>
          <w:tcPr>
            <w:tcW w:w="1760" w:type="dxa"/>
            <w:vAlign w:val="bottom"/>
          </w:tcPr>
          <w:p>
            <w:pPr>
              <w:spacing w:after="0"/>
              <w:rPr>
                <w:sz w:val="24"/>
                <w:szCs w:val="24"/>
                <w:color w:val="auto"/>
              </w:rPr>
            </w:pPr>
          </w:p>
        </w:tc>
        <w:tc>
          <w:tcPr>
            <w:tcW w:w="5140" w:type="dxa"/>
            <w:vAlign w:val="bottom"/>
          </w:tcPr>
          <w:p>
            <w:pPr>
              <w:ind w:left="1020"/>
              <w:spacing w:after="0"/>
              <w:rPr>
                <w:sz w:val="20"/>
                <w:szCs w:val="20"/>
                <w:color w:val="auto"/>
              </w:rPr>
            </w:pPr>
            <w:r>
              <w:rPr>
                <w:rFonts w:ascii="Arial" w:cs="Arial" w:eastAsia="Arial" w:hAnsi="Arial"/>
                <w:sz w:val="22"/>
                <w:szCs w:val="22"/>
                <w:b w:val="1"/>
                <w:bCs w:val="1"/>
                <w:color w:val="auto"/>
              </w:rPr>
              <w:t>TABLE OF CONTENTS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8"/>
        </w:trPr>
        <w:tc>
          <w:tcPr>
            <w:tcW w:w="17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3"/>
              </w:rPr>
              <w:t>Page</w:t>
            </w:r>
          </w:p>
        </w:tc>
      </w:tr>
      <w:tr>
        <w:trPr>
          <w:trHeight w:val="436"/>
        </w:trPr>
        <w:tc>
          <w:tcPr>
            <w:tcW w:w="6900" w:type="dxa"/>
            <w:vAlign w:val="bottom"/>
            <w:gridSpan w:val="2"/>
          </w:tcPr>
          <w:p>
            <w:pPr>
              <w:spacing w:after="0"/>
              <w:rPr>
                <w:sz w:val="20"/>
                <w:szCs w:val="20"/>
                <w:color w:val="auto"/>
              </w:rPr>
            </w:pPr>
            <w:r>
              <w:rPr>
                <w:rFonts w:ascii="Arial" w:cs="Arial" w:eastAsia="Arial" w:hAnsi="Arial"/>
                <w:sz w:val="22"/>
                <w:szCs w:val="22"/>
                <w:color w:val="auto"/>
                <w:highlight w:val="white"/>
              </w:rPr>
              <w:t>ARTICLE I DEFINITIONS AND ACCOUNTING TERMS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1.01.</w:t>
            </w:r>
          </w:p>
        </w:tc>
        <w:tc>
          <w:tcPr>
            <w:tcW w:w="5140" w:type="dxa"/>
            <w:vAlign w:val="bottom"/>
          </w:tcPr>
          <w:p>
            <w:pPr>
              <w:ind w:left="220"/>
              <w:spacing w:after="0"/>
              <w:rPr>
                <w:sz w:val="20"/>
                <w:szCs w:val="20"/>
                <w:color w:val="auto"/>
              </w:rPr>
            </w:pPr>
            <w:r>
              <w:rPr>
                <w:rFonts w:ascii="Arial" w:cs="Arial" w:eastAsia="Arial" w:hAnsi="Arial"/>
                <w:sz w:val="22"/>
                <w:szCs w:val="22"/>
                <w:color w:val="auto"/>
              </w:rPr>
              <w:t>Defined Terms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1.02.</w:t>
            </w:r>
          </w:p>
        </w:tc>
        <w:tc>
          <w:tcPr>
            <w:tcW w:w="5140" w:type="dxa"/>
            <w:vAlign w:val="bottom"/>
          </w:tcPr>
          <w:p>
            <w:pPr>
              <w:ind w:left="220"/>
              <w:spacing w:after="0"/>
              <w:rPr>
                <w:sz w:val="20"/>
                <w:szCs w:val="20"/>
                <w:color w:val="auto"/>
              </w:rPr>
            </w:pPr>
            <w:r>
              <w:rPr>
                <w:rFonts w:ascii="Arial" w:cs="Arial" w:eastAsia="Arial" w:hAnsi="Arial"/>
                <w:sz w:val="22"/>
                <w:szCs w:val="22"/>
                <w:color w:val="auto"/>
              </w:rPr>
              <w:t>Other Interpretive Provisions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36</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1.03.</w:t>
            </w:r>
          </w:p>
        </w:tc>
        <w:tc>
          <w:tcPr>
            <w:tcW w:w="5140" w:type="dxa"/>
            <w:vAlign w:val="bottom"/>
          </w:tcPr>
          <w:p>
            <w:pPr>
              <w:ind w:left="220"/>
              <w:spacing w:after="0"/>
              <w:rPr>
                <w:sz w:val="20"/>
                <w:szCs w:val="20"/>
                <w:color w:val="auto"/>
              </w:rPr>
            </w:pPr>
            <w:r>
              <w:rPr>
                <w:rFonts w:ascii="Arial" w:cs="Arial" w:eastAsia="Arial" w:hAnsi="Arial"/>
                <w:sz w:val="22"/>
                <w:szCs w:val="22"/>
                <w:color w:val="auto"/>
              </w:rPr>
              <w:t>Accounting Terms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1.04.</w:t>
            </w:r>
          </w:p>
        </w:tc>
        <w:tc>
          <w:tcPr>
            <w:tcW w:w="5140" w:type="dxa"/>
            <w:vAlign w:val="bottom"/>
          </w:tcPr>
          <w:p>
            <w:pPr>
              <w:ind w:left="220"/>
              <w:spacing w:after="0"/>
              <w:rPr>
                <w:sz w:val="20"/>
                <w:szCs w:val="20"/>
                <w:color w:val="auto"/>
              </w:rPr>
            </w:pPr>
            <w:r>
              <w:rPr>
                <w:rFonts w:ascii="Arial" w:cs="Arial" w:eastAsia="Arial" w:hAnsi="Arial"/>
                <w:sz w:val="22"/>
                <w:szCs w:val="22"/>
                <w:color w:val="auto"/>
              </w:rPr>
              <w:t>Exchange Rates; US Dollar Equivalents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1.05.</w:t>
            </w:r>
          </w:p>
        </w:tc>
        <w:tc>
          <w:tcPr>
            <w:tcW w:w="5140" w:type="dxa"/>
            <w:vAlign w:val="bottom"/>
          </w:tcPr>
          <w:p>
            <w:pPr>
              <w:ind w:left="220"/>
              <w:spacing w:after="0"/>
              <w:rPr>
                <w:sz w:val="20"/>
                <w:szCs w:val="20"/>
                <w:color w:val="auto"/>
              </w:rPr>
            </w:pPr>
            <w:r>
              <w:rPr>
                <w:rFonts w:ascii="Arial" w:cs="Arial" w:eastAsia="Arial" w:hAnsi="Arial"/>
                <w:sz w:val="22"/>
                <w:szCs w:val="22"/>
                <w:color w:val="auto"/>
              </w:rPr>
              <w:t>Additional Alternative Currencies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38</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1.06.</w:t>
            </w:r>
          </w:p>
        </w:tc>
        <w:tc>
          <w:tcPr>
            <w:tcW w:w="5140" w:type="dxa"/>
            <w:vAlign w:val="bottom"/>
          </w:tcPr>
          <w:p>
            <w:pPr>
              <w:ind w:left="220"/>
              <w:spacing w:after="0"/>
              <w:rPr>
                <w:sz w:val="20"/>
                <w:szCs w:val="20"/>
                <w:color w:val="auto"/>
              </w:rPr>
            </w:pPr>
            <w:r>
              <w:rPr>
                <w:rFonts w:ascii="Arial" w:cs="Arial" w:eastAsia="Arial" w:hAnsi="Arial"/>
                <w:sz w:val="22"/>
                <w:szCs w:val="22"/>
                <w:color w:val="auto"/>
              </w:rPr>
              <w:t>Divisions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1.07.</w:t>
            </w:r>
          </w:p>
        </w:tc>
        <w:tc>
          <w:tcPr>
            <w:tcW w:w="5140" w:type="dxa"/>
            <w:vAlign w:val="bottom"/>
          </w:tcPr>
          <w:p>
            <w:pPr>
              <w:ind w:left="220"/>
              <w:spacing w:after="0"/>
              <w:rPr>
                <w:sz w:val="20"/>
                <w:szCs w:val="20"/>
                <w:color w:val="auto"/>
              </w:rPr>
            </w:pPr>
            <w:r>
              <w:rPr>
                <w:rFonts w:ascii="Arial" w:cs="Arial" w:eastAsia="Arial" w:hAnsi="Arial"/>
                <w:sz w:val="22"/>
                <w:szCs w:val="22"/>
                <w:color w:val="auto"/>
              </w:rPr>
              <w:t>Letter of Credit Amounts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1.08.</w:t>
            </w:r>
          </w:p>
        </w:tc>
        <w:tc>
          <w:tcPr>
            <w:tcW w:w="5140" w:type="dxa"/>
            <w:vAlign w:val="bottom"/>
          </w:tcPr>
          <w:p>
            <w:pPr>
              <w:ind w:left="220"/>
              <w:spacing w:after="0"/>
              <w:rPr>
                <w:sz w:val="20"/>
                <w:szCs w:val="20"/>
                <w:color w:val="auto"/>
              </w:rPr>
            </w:pPr>
            <w:r>
              <w:rPr>
                <w:rFonts w:ascii="Arial" w:cs="Arial" w:eastAsia="Arial" w:hAnsi="Arial"/>
                <w:sz w:val="22"/>
                <w:szCs w:val="22"/>
                <w:color w:val="auto"/>
              </w:rPr>
              <w:t>Rounding</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1.09.</w:t>
            </w:r>
          </w:p>
        </w:tc>
        <w:tc>
          <w:tcPr>
            <w:tcW w:w="5140" w:type="dxa"/>
            <w:vAlign w:val="bottom"/>
          </w:tcPr>
          <w:p>
            <w:pPr>
              <w:ind w:left="220"/>
              <w:spacing w:after="0"/>
              <w:rPr>
                <w:sz w:val="20"/>
                <w:szCs w:val="20"/>
                <w:color w:val="auto"/>
              </w:rPr>
            </w:pPr>
            <w:r>
              <w:rPr>
                <w:rFonts w:ascii="Arial" w:cs="Arial" w:eastAsia="Arial" w:hAnsi="Arial"/>
                <w:sz w:val="22"/>
                <w:szCs w:val="22"/>
                <w:color w:val="auto"/>
              </w:rPr>
              <w:t>Interest Rates; LIBOR Notification</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6900" w:type="dxa"/>
            <w:vAlign w:val="bottom"/>
            <w:gridSpan w:val="2"/>
          </w:tcPr>
          <w:p>
            <w:pPr>
              <w:spacing w:after="0"/>
              <w:rPr>
                <w:sz w:val="20"/>
                <w:szCs w:val="20"/>
                <w:color w:val="auto"/>
              </w:rPr>
            </w:pPr>
            <w:r>
              <w:rPr>
                <w:rFonts w:ascii="Arial" w:cs="Arial" w:eastAsia="Arial" w:hAnsi="Arial"/>
                <w:sz w:val="22"/>
                <w:szCs w:val="22"/>
                <w:color w:val="auto"/>
                <w:highlight w:val="white"/>
              </w:rPr>
              <w:t>ARTICLE II THE COMMITMENTS AND CREDIT EXTENSIONS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2.01.</w:t>
            </w:r>
          </w:p>
        </w:tc>
        <w:tc>
          <w:tcPr>
            <w:tcW w:w="5140" w:type="dxa"/>
            <w:vAlign w:val="bottom"/>
          </w:tcPr>
          <w:p>
            <w:pPr>
              <w:ind w:left="220"/>
              <w:spacing w:after="0"/>
              <w:rPr>
                <w:sz w:val="20"/>
                <w:szCs w:val="20"/>
                <w:color w:val="auto"/>
              </w:rPr>
            </w:pPr>
            <w:r>
              <w:rPr>
                <w:rFonts w:ascii="Arial" w:cs="Arial" w:eastAsia="Arial" w:hAnsi="Arial"/>
                <w:sz w:val="22"/>
                <w:szCs w:val="22"/>
                <w:color w:val="auto"/>
              </w:rPr>
              <w:t>Committed Loans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40</w:t>
            </w:r>
          </w:p>
        </w:tc>
      </w:tr>
      <w:tr>
        <w:trPr>
          <w:trHeight w:val="320"/>
        </w:trPr>
        <w:tc>
          <w:tcPr>
            <w:tcW w:w="1760" w:type="dxa"/>
            <w:vAlign w:val="bottom"/>
          </w:tcPr>
          <w:p>
            <w:pPr>
              <w:ind w:left="160"/>
              <w:spacing w:after="0"/>
              <w:rPr>
                <w:sz w:val="20"/>
                <w:szCs w:val="20"/>
                <w:color w:val="auto"/>
              </w:rPr>
            </w:pPr>
            <w:r>
              <w:rPr>
                <w:rFonts w:ascii="Arial" w:cs="Arial" w:eastAsia="Arial" w:hAnsi="Arial"/>
                <w:sz w:val="22"/>
                <w:szCs w:val="22"/>
                <w:color w:val="auto"/>
              </w:rPr>
              <w:t>SECTION 2.02.</w:t>
            </w:r>
          </w:p>
        </w:tc>
        <w:tc>
          <w:tcPr>
            <w:tcW w:w="6100" w:type="dxa"/>
            <w:vAlign w:val="bottom"/>
            <w:gridSpan w:val="3"/>
          </w:tcPr>
          <w:p>
            <w:pPr>
              <w:ind w:left="220"/>
              <w:spacing w:after="0"/>
              <w:rPr>
                <w:sz w:val="20"/>
                <w:szCs w:val="20"/>
                <w:color w:val="auto"/>
              </w:rPr>
            </w:pPr>
            <w:r>
              <w:rPr>
                <w:rFonts w:ascii="Arial" w:cs="Arial" w:eastAsia="Arial" w:hAnsi="Arial"/>
                <w:sz w:val="22"/>
                <w:szCs w:val="22"/>
                <w:color w:val="auto"/>
                <w:w w:val="92"/>
              </w:rPr>
              <w:t>Borrowings, Conversions and Continuations of Committed Loans</w:t>
            </w:r>
          </w:p>
        </w:tc>
      </w:tr>
      <w:tr>
        <w:trPr>
          <w:trHeight w:val="274"/>
        </w:trPr>
        <w:tc>
          <w:tcPr>
            <w:tcW w:w="176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2.03.</w:t>
            </w:r>
          </w:p>
        </w:tc>
        <w:tc>
          <w:tcPr>
            <w:tcW w:w="5140" w:type="dxa"/>
            <w:vAlign w:val="bottom"/>
          </w:tcPr>
          <w:p>
            <w:pPr>
              <w:ind w:left="220"/>
              <w:spacing w:after="0"/>
              <w:rPr>
                <w:sz w:val="20"/>
                <w:szCs w:val="20"/>
                <w:color w:val="auto"/>
              </w:rPr>
            </w:pPr>
            <w:r>
              <w:rPr>
                <w:rFonts w:ascii="Arial" w:cs="Arial" w:eastAsia="Arial" w:hAnsi="Arial"/>
                <w:sz w:val="22"/>
                <w:szCs w:val="22"/>
                <w:color w:val="auto"/>
              </w:rPr>
              <w:t>Bid Loans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2.04.</w:t>
            </w:r>
          </w:p>
        </w:tc>
        <w:tc>
          <w:tcPr>
            <w:tcW w:w="5140" w:type="dxa"/>
            <w:vAlign w:val="bottom"/>
          </w:tcPr>
          <w:p>
            <w:pPr>
              <w:ind w:left="220"/>
              <w:spacing w:after="0"/>
              <w:rPr>
                <w:sz w:val="20"/>
                <w:szCs w:val="20"/>
                <w:color w:val="auto"/>
              </w:rPr>
            </w:pPr>
            <w:r>
              <w:rPr>
                <w:rFonts w:ascii="Arial" w:cs="Arial" w:eastAsia="Arial" w:hAnsi="Arial"/>
                <w:sz w:val="22"/>
                <w:szCs w:val="22"/>
                <w:color w:val="auto"/>
              </w:rPr>
              <w:t>Letters of Credit</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46</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2.05.</w:t>
            </w:r>
          </w:p>
        </w:tc>
        <w:tc>
          <w:tcPr>
            <w:tcW w:w="5140" w:type="dxa"/>
            <w:vAlign w:val="bottom"/>
          </w:tcPr>
          <w:p>
            <w:pPr>
              <w:ind w:left="220"/>
              <w:spacing w:after="0"/>
              <w:rPr>
                <w:sz w:val="20"/>
                <w:szCs w:val="20"/>
                <w:color w:val="auto"/>
              </w:rPr>
            </w:pPr>
            <w:r>
              <w:rPr>
                <w:rFonts w:ascii="Arial" w:cs="Arial" w:eastAsia="Arial" w:hAnsi="Arial"/>
                <w:sz w:val="22"/>
                <w:szCs w:val="22"/>
                <w:color w:val="auto"/>
              </w:rPr>
              <w:t>Prepayments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58</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2.06.</w:t>
            </w:r>
          </w:p>
        </w:tc>
        <w:tc>
          <w:tcPr>
            <w:tcW w:w="5140" w:type="dxa"/>
            <w:vAlign w:val="bottom"/>
          </w:tcPr>
          <w:p>
            <w:pPr>
              <w:ind w:left="220"/>
              <w:spacing w:after="0"/>
              <w:rPr>
                <w:sz w:val="20"/>
                <w:szCs w:val="20"/>
                <w:color w:val="auto"/>
              </w:rPr>
            </w:pPr>
            <w:r>
              <w:rPr>
                <w:rFonts w:ascii="Arial" w:cs="Arial" w:eastAsia="Arial" w:hAnsi="Arial"/>
                <w:sz w:val="22"/>
                <w:szCs w:val="22"/>
                <w:color w:val="auto"/>
              </w:rPr>
              <w:t>Termination or Reduction of Commitments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2.07.</w:t>
            </w:r>
          </w:p>
        </w:tc>
        <w:tc>
          <w:tcPr>
            <w:tcW w:w="5140" w:type="dxa"/>
            <w:vAlign w:val="bottom"/>
          </w:tcPr>
          <w:p>
            <w:pPr>
              <w:ind w:left="220"/>
              <w:spacing w:after="0"/>
              <w:rPr>
                <w:sz w:val="20"/>
                <w:szCs w:val="20"/>
                <w:color w:val="auto"/>
              </w:rPr>
            </w:pPr>
            <w:r>
              <w:rPr>
                <w:rFonts w:ascii="Arial" w:cs="Arial" w:eastAsia="Arial" w:hAnsi="Arial"/>
                <w:sz w:val="22"/>
                <w:szCs w:val="22"/>
                <w:color w:val="auto"/>
              </w:rPr>
              <w:t>Repayment of Loans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2.08.</w:t>
            </w:r>
          </w:p>
        </w:tc>
        <w:tc>
          <w:tcPr>
            <w:tcW w:w="5140" w:type="dxa"/>
            <w:vAlign w:val="bottom"/>
          </w:tcPr>
          <w:p>
            <w:pPr>
              <w:ind w:left="220"/>
              <w:spacing w:after="0"/>
              <w:rPr>
                <w:sz w:val="20"/>
                <w:szCs w:val="20"/>
                <w:color w:val="auto"/>
              </w:rPr>
            </w:pPr>
            <w:r>
              <w:rPr>
                <w:rFonts w:ascii="Arial" w:cs="Arial" w:eastAsia="Arial" w:hAnsi="Arial"/>
                <w:sz w:val="22"/>
                <w:szCs w:val="22"/>
                <w:color w:val="auto"/>
              </w:rPr>
              <w:t>Interest</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2.09.</w:t>
            </w:r>
          </w:p>
        </w:tc>
        <w:tc>
          <w:tcPr>
            <w:tcW w:w="5140" w:type="dxa"/>
            <w:vAlign w:val="bottom"/>
          </w:tcPr>
          <w:p>
            <w:pPr>
              <w:ind w:left="220"/>
              <w:spacing w:after="0"/>
              <w:rPr>
                <w:sz w:val="20"/>
                <w:szCs w:val="20"/>
                <w:color w:val="auto"/>
              </w:rPr>
            </w:pPr>
            <w:r>
              <w:rPr>
                <w:rFonts w:ascii="Arial" w:cs="Arial" w:eastAsia="Arial" w:hAnsi="Arial"/>
                <w:sz w:val="22"/>
                <w:szCs w:val="22"/>
                <w:color w:val="auto"/>
              </w:rPr>
              <w:t>Fees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61</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2.10.</w:t>
            </w:r>
          </w:p>
        </w:tc>
        <w:tc>
          <w:tcPr>
            <w:tcW w:w="5140" w:type="dxa"/>
            <w:vAlign w:val="bottom"/>
          </w:tcPr>
          <w:p>
            <w:pPr>
              <w:ind w:left="220"/>
              <w:spacing w:after="0"/>
              <w:rPr>
                <w:sz w:val="20"/>
                <w:szCs w:val="20"/>
                <w:color w:val="auto"/>
              </w:rPr>
            </w:pPr>
            <w:r>
              <w:rPr>
                <w:rFonts w:ascii="Arial" w:cs="Arial" w:eastAsia="Arial" w:hAnsi="Arial"/>
                <w:sz w:val="22"/>
                <w:szCs w:val="22"/>
                <w:color w:val="auto"/>
              </w:rPr>
              <w:t>Computation of Interest and Fees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62</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2.11.</w:t>
            </w:r>
          </w:p>
        </w:tc>
        <w:tc>
          <w:tcPr>
            <w:tcW w:w="5140" w:type="dxa"/>
            <w:vAlign w:val="bottom"/>
          </w:tcPr>
          <w:p>
            <w:pPr>
              <w:ind w:left="220"/>
              <w:spacing w:after="0"/>
              <w:rPr>
                <w:sz w:val="20"/>
                <w:szCs w:val="20"/>
                <w:color w:val="auto"/>
              </w:rPr>
            </w:pPr>
            <w:r>
              <w:rPr>
                <w:rFonts w:ascii="Arial" w:cs="Arial" w:eastAsia="Arial" w:hAnsi="Arial"/>
                <w:sz w:val="22"/>
                <w:szCs w:val="22"/>
                <w:color w:val="auto"/>
              </w:rPr>
              <w:t>Evidence of Debt</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62</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2.12.</w:t>
            </w:r>
          </w:p>
        </w:tc>
        <w:tc>
          <w:tcPr>
            <w:tcW w:w="5140" w:type="dxa"/>
            <w:vAlign w:val="bottom"/>
          </w:tcPr>
          <w:p>
            <w:pPr>
              <w:ind w:left="220"/>
              <w:spacing w:after="0"/>
              <w:rPr>
                <w:sz w:val="20"/>
                <w:szCs w:val="20"/>
                <w:color w:val="auto"/>
              </w:rPr>
            </w:pPr>
            <w:r>
              <w:rPr>
                <w:rFonts w:ascii="Arial" w:cs="Arial" w:eastAsia="Arial" w:hAnsi="Arial"/>
                <w:sz w:val="22"/>
                <w:szCs w:val="22"/>
                <w:color w:val="auto"/>
              </w:rPr>
              <w:t>Payments Generally; Agent’ Clawback</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63</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2.13.</w:t>
            </w:r>
          </w:p>
        </w:tc>
        <w:tc>
          <w:tcPr>
            <w:tcW w:w="5140" w:type="dxa"/>
            <w:vAlign w:val="bottom"/>
          </w:tcPr>
          <w:p>
            <w:pPr>
              <w:ind w:left="220"/>
              <w:spacing w:after="0"/>
              <w:rPr>
                <w:sz w:val="20"/>
                <w:szCs w:val="20"/>
                <w:color w:val="auto"/>
              </w:rPr>
            </w:pPr>
            <w:r>
              <w:rPr>
                <w:rFonts w:ascii="Arial" w:cs="Arial" w:eastAsia="Arial" w:hAnsi="Arial"/>
                <w:sz w:val="22"/>
                <w:szCs w:val="22"/>
                <w:color w:val="auto"/>
              </w:rPr>
              <w:t>Sharing of Payments by Lenders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2.14.</w:t>
            </w:r>
          </w:p>
        </w:tc>
        <w:tc>
          <w:tcPr>
            <w:tcW w:w="5140" w:type="dxa"/>
            <w:vAlign w:val="bottom"/>
          </w:tcPr>
          <w:p>
            <w:pPr>
              <w:ind w:left="220"/>
              <w:spacing w:after="0"/>
              <w:rPr>
                <w:sz w:val="20"/>
                <w:szCs w:val="20"/>
                <w:color w:val="auto"/>
              </w:rPr>
            </w:pPr>
            <w:r>
              <w:rPr>
                <w:rFonts w:ascii="Arial" w:cs="Arial" w:eastAsia="Arial" w:hAnsi="Arial"/>
                <w:sz w:val="22"/>
                <w:szCs w:val="22"/>
                <w:color w:val="auto"/>
              </w:rPr>
              <w:t>Expansion Option</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2.15.</w:t>
            </w:r>
          </w:p>
        </w:tc>
        <w:tc>
          <w:tcPr>
            <w:tcW w:w="5140" w:type="dxa"/>
            <w:vAlign w:val="bottom"/>
          </w:tcPr>
          <w:p>
            <w:pPr>
              <w:ind w:left="220"/>
              <w:spacing w:after="0"/>
              <w:rPr>
                <w:sz w:val="20"/>
                <w:szCs w:val="20"/>
                <w:color w:val="auto"/>
              </w:rPr>
            </w:pPr>
            <w:r>
              <w:rPr>
                <w:rFonts w:ascii="Arial" w:cs="Arial" w:eastAsia="Arial" w:hAnsi="Arial"/>
                <w:sz w:val="22"/>
                <w:szCs w:val="22"/>
                <w:color w:val="auto"/>
              </w:rPr>
              <w:t>Cash Collateral</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2.16.</w:t>
            </w:r>
          </w:p>
        </w:tc>
        <w:tc>
          <w:tcPr>
            <w:tcW w:w="5140" w:type="dxa"/>
            <w:vAlign w:val="bottom"/>
          </w:tcPr>
          <w:p>
            <w:pPr>
              <w:ind w:left="220"/>
              <w:spacing w:after="0"/>
              <w:rPr>
                <w:sz w:val="20"/>
                <w:szCs w:val="20"/>
                <w:color w:val="auto"/>
              </w:rPr>
            </w:pPr>
            <w:r>
              <w:rPr>
                <w:rFonts w:ascii="Arial" w:cs="Arial" w:eastAsia="Arial" w:hAnsi="Arial"/>
                <w:sz w:val="22"/>
                <w:szCs w:val="22"/>
                <w:color w:val="auto"/>
              </w:rPr>
              <w:t>Defaulting Lenders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70</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2.17.</w:t>
            </w:r>
          </w:p>
        </w:tc>
        <w:tc>
          <w:tcPr>
            <w:tcW w:w="5140" w:type="dxa"/>
            <w:vAlign w:val="bottom"/>
          </w:tcPr>
          <w:p>
            <w:pPr>
              <w:ind w:left="220"/>
              <w:spacing w:after="0"/>
              <w:rPr>
                <w:sz w:val="20"/>
                <w:szCs w:val="20"/>
                <w:color w:val="auto"/>
              </w:rPr>
            </w:pPr>
            <w:r>
              <w:rPr>
                <w:rFonts w:ascii="Arial" w:cs="Arial" w:eastAsia="Arial" w:hAnsi="Arial"/>
                <w:sz w:val="22"/>
                <w:szCs w:val="22"/>
                <w:color w:val="auto"/>
              </w:rPr>
              <w:t>Alternate Rate of Interest.</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72</w:t>
            </w:r>
          </w:p>
        </w:tc>
      </w:tr>
      <w:tr>
        <w:trPr>
          <w:trHeight w:val="351"/>
        </w:trPr>
        <w:tc>
          <w:tcPr>
            <w:tcW w:w="6900" w:type="dxa"/>
            <w:vAlign w:val="bottom"/>
            <w:gridSpan w:val="2"/>
          </w:tcPr>
          <w:p>
            <w:pPr>
              <w:spacing w:after="0"/>
              <w:rPr>
                <w:sz w:val="20"/>
                <w:szCs w:val="20"/>
                <w:color w:val="auto"/>
              </w:rPr>
            </w:pPr>
            <w:r>
              <w:rPr>
                <w:rFonts w:ascii="Arial" w:cs="Arial" w:eastAsia="Arial" w:hAnsi="Arial"/>
                <w:sz w:val="22"/>
                <w:szCs w:val="22"/>
                <w:color w:val="auto"/>
                <w:highlight w:val="white"/>
              </w:rPr>
              <w:t>ARTICLE III TAXES, YIELD PROTECTION AND ILLEGALITY</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80</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3.01.</w:t>
            </w:r>
          </w:p>
        </w:tc>
        <w:tc>
          <w:tcPr>
            <w:tcW w:w="5140" w:type="dxa"/>
            <w:vAlign w:val="bottom"/>
          </w:tcPr>
          <w:p>
            <w:pPr>
              <w:ind w:left="220"/>
              <w:spacing w:after="0"/>
              <w:rPr>
                <w:sz w:val="20"/>
                <w:szCs w:val="20"/>
                <w:color w:val="auto"/>
              </w:rPr>
            </w:pPr>
            <w:r>
              <w:rPr>
                <w:rFonts w:ascii="Arial" w:cs="Arial" w:eastAsia="Arial" w:hAnsi="Arial"/>
                <w:sz w:val="22"/>
                <w:szCs w:val="22"/>
                <w:color w:val="auto"/>
              </w:rPr>
              <w:t>Taxes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3.02.</w:t>
            </w:r>
          </w:p>
        </w:tc>
        <w:tc>
          <w:tcPr>
            <w:tcW w:w="5140" w:type="dxa"/>
            <w:vAlign w:val="bottom"/>
          </w:tcPr>
          <w:p>
            <w:pPr>
              <w:ind w:left="220"/>
              <w:spacing w:after="0"/>
              <w:rPr>
                <w:sz w:val="20"/>
                <w:szCs w:val="20"/>
                <w:color w:val="auto"/>
              </w:rPr>
            </w:pPr>
            <w:r>
              <w:rPr>
                <w:rFonts w:ascii="Arial" w:cs="Arial" w:eastAsia="Arial" w:hAnsi="Arial"/>
                <w:sz w:val="22"/>
                <w:szCs w:val="22"/>
                <w:color w:val="auto"/>
              </w:rPr>
              <w:t>Illegality</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85</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3.03.</w:t>
            </w:r>
          </w:p>
        </w:tc>
        <w:tc>
          <w:tcPr>
            <w:tcW w:w="5140" w:type="dxa"/>
            <w:vAlign w:val="bottom"/>
          </w:tcPr>
          <w:p>
            <w:pPr>
              <w:ind w:left="220"/>
              <w:spacing w:after="0"/>
              <w:rPr>
                <w:sz w:val="20"/>
                <w:szCs w:val="20"/>
                <w:color w:val="auto"/>
              </w:rPr>
            </w:pPr>
            <w:r>
              <w:rPr>
                <w:rFonts w:ascii="Arial" w:cs="Arial" w:eastAsia="Arial" w:hAnsi="Arial"/>
                <w:sz w:val="22"/>
                <w:szCs w:val="22"/>
                <w:color w:val="auto"/>
              </w:rPr>
              <w:t>[Intentionally Omitted]</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85</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3.04.</w:t>
            </w:r>
          </w:p>
        </w:tc>
        <w:tc>
          <w:tcPr>
            <w:tcW w:w="5140" w:type="dxa"/>
            <w:vAlign w:val="bottom"/>
          </w:tcPr>
          <w:p>
            <w:pPr>
              <w:ind w:left="220"/>
              <w:spacing w:after="0"/>
              <w:rPr>
                <w:sz w:val="20"/>
                <w:szCs w:val="20"/>
                <w:color w:val="auto"/>
              </w:rPr>
            </w:pPr>
            <w:r>
              <w:rPr>
                <w:rFonts w:ascii="Arial" w:cs="Arial" w:eastAsia="Arial" w:hAnsi="Arial"/>
                <w:sz w:val="22"/>
                <w:szCs w:val="22"/>
                <w:color w:val="auto"/>
                <w:w w:val="98"/>
              </w:rPr>
              <w:t>Increased Costs; Additional Reserve Requirements</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-7369175</wp:posOffset>
            </wp:positionV>
            <wp:extent cx="4989195" cy="73634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736346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498919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89195"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01" w:name="page102"/>
    <w:bookmarkEnd w:id="101"/>
    <w:tbl>
      <w:tblPr>
        <w:tblLayout w:type="fixed"/>
        <w:tblInd w:w="540" w:type="dxa"/>
        <w:tblCellMar>
          <w:top w:w="0" w:type="dxa"/>
          <w:left w:w="0" w:type="dxa"/>
          <w:bottom w:w="0" w:type="dxa"/>
          <w:right w:w="0" w:type="dxa"/>
        </w:tblCellMar>
      </w:tblPr>
      <w:tr>
        <w:trPr>
          <w:trHeight w:val="274"/>
        </w:trPr>
        <w:tc>
          <w:tcPr>
            <w:tcW w:w="1760" w:type="dxa"/>
            <w:vAlign w:val="bottom"/>
          </w:tcPr>
          <w:p>
            <w:pPr>
              <w:ind w:left="160"/>
              <w:spacing w:after="0"/>
              <w:rPr>
                <w:sz w:val="20"/>
                <w:szCs w:val="20"/>
                <w:color w:val="auto"/>
              </w:rPr>
            </w:pPr>
            <w:r>
              <w:rPr>
                <w:rFonts w:ascii="Arial" w:cs="Arial" w:eastAsia="Arial" w:hAnsi="Arial"/>
                <w:sz w:val="22"/>
                <w:szCs w:val="22"/>
                <w:color w:val="auto"/>
              </w:rPr>
              <w:t>SECTION 3.05.</w:t>
            </w:r>
          </w:p>
        </w:tc>
        <w:tc>
          <w:tcPr>
            <w:tcW w:w="5160" w:type="dxa"/>
            <w:vAlign w:val="bottom"/>
          </w:tcPr>
          <w:p>
            <w:pPr>
              <w:ind w:left="220"/>
              <w:spacing w:after="0"/>
              <w:rPr>
                <w:sz w:val="20"/>
                <w:szCs w:val="20"/>
                <w:color w:val="auto"/>
              </w:rPr>
            </w:pPr>
            <w:r>
              <w:rPr>
                <w:rFonts w:ascii="Arial" w:cs="Arial" w:eastAsia="Arial" w:hAnsi="Arial"/>
                <w:sz w:val="22"/>
                <w:szCs w:val="22"/>
                <w:color w:val="auto"/>
              </w:rPr>
              <w:t>Compensation for Losses</w:t>
            </w:r>
          </w:p>
        </w:tc>
        <w:tc>
          <w:tcPr>
            <w:tcW w:w="94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3.06.</w:t>
            </w:r>
          </w:p>
        </w:tc>
        <w:tc>
          <w:tcPr>
            <w:tcW w:w="5160" w:type="dxa"/>
            <w:vAlign w:val="bottom"/>
          </w:tcPr>
          <w:p>
            <w:pPr>
              <w:ind w:left="220"/>
              <w:spacing w:after="0"/>
              <w:rPr>
                <w:sz w:val="20"/>
                <w:szCs w:val="20"/>
                <w:color w:val="auto"/>
              </w:rPr>
            </w:pPr>
            <w:r>
              <w:rPr>
                <w:rFonts w:ascii="Arial" w:cs="Arial" w:eastAsia="Arial" w:hAnsi="Arial"/>
                <w:sz w:val="22"/>
                <w:szCs w:val="22"/>
                <w:color w:val="auto"/>
              </w:rPr>
              <w:t>Mitigation Obligations</w:t>
            </w:r>
          </w:p>
        </w:tc>
        <w:tc>
          <w:tcPr>
            <w:tcW w:w="94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3.07.</w:t>
            </w:r>
          </w:p>
        </w:tc>
        <w:tc>
          <w:tcPr>
            <w:tcW w:w="5160" w:type="dxa"/>
            <w:vAlign w:val="bottom"/>
          </w:tcPr>
          <w:p>
            <w:pPr>
              <w:ind w:left="220"/>
              <w:spacing w:after="0"/>
              <w:rPr>
                <w:sz w:val="20"/>
                <w:szCs w:val="20"/>
                <w:color w:val="auto"/>
              </w:rPr>
            </w:pPr>
            <w:r>
              <w:rPr>
                <w:rFonts w:ascii="Arial" w:cs="Arial" w:eastAsia="Arial" w:hAnsi="Arial"/>
                <w:sz w:val="22"/>
                <w:szCs w:val="22"/>
                <w:color w:val="auto"/>
              </w:rPr>
              <w:t>Survival</w:t>
            </w:r>
          </w:p>
        </w:tc>
        <w:tc>
          <w:tcPr>
            <w:tcW w:w="9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51"/>
        </w:trPr>
        <w:tc>
          <w:tcPr>
            <w:tcW w:w="6920" w:type="dxa"/>
            <w:vAlign w:val="bottom"/>
            <w:gridSpan w:val="2"/>
          </w:tcPr>
          <w:p>
            <w:pPr>
              <w:spacing w:after="0"/>
              <w:rPr>
                <w:sz w:val="20"/>
                <w:szCs w:val="20"/>
                <w:color w:val="auto"/>
              </w:rPr>
            </w:pPr>
            <w:r>
              <w:rPr>
                <w:rFonts w:ascii="Arial" w:cs="Arial" w:eastAsia="Arial" w:hAnsi="Arial"/>
                <w:sz w:val="22"/>
                <w:szCs w:val="22"/>
                <w:color w:val="auto"/>
                <w:highlight w:val="white"/>
              </w:rPr>
              <w:t>ARTICLE IV CONDITIONS PRECEDENT</w:t>
            </w:r>
          </w:p>
        </w:tc>
        <w:tc>
          <w:tcPr>
            <w:tcW w:w="9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4.01.</w:t>
            </w:r>
          </w:p>
        </w:tc>
        <w:tc>
          <w:tcPr>
            <w:tcW w:w="5160" w:type="dxa"/>
            <w:vAlign w:val="bottom"/>
          </w:tcPr>
          <w:p>
            <w:pPr>
              <w:ind w:left="220"/>
              <w:spacing w:after="0"/>
              <w:rPr>
                <w:sz w:val="20"/>
                <w:szCs w:val="20"/>
                <w:color w:val="auto"/>
              </w:rPr>
            </w:pPr>
            <w:r>
              <w:rPr>
                <w:rFonts w:ascii="Arial" w:cs="Arial" w:eastAsia="Arial" w:hAnsi="Arial"/>
                <w:sz w:val="22"/>
                <w:szCs w:val="22"/>
                <w:color w:val="auto"/>
              </w:rPr>
              <w:t>Conditions to Effectiveness</w:t>
            </w:r>
          </w:p>
        </w:tc>
        <w:tc>
          <w:tcPr>
            <w:tcW w:w="9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4.02.</w:t>
            </w:r>
          </w:p>
        </w:tc>
        <w:tc>
          <w:tcPr>
            <w:tcW w:w="5160" w:type="dxa"/>
            <w:vAlign w:val="bottom"/>
          </w:tcPr>
          <w:p>
            <w:pPr>
              <w:ind w:left="220"/>
              <w:spacing w:after="0"/>
              <w:rPr>
                <w:sz w:val="20"/>
                <w:szCs w:val="20"/>
                <w:color w:val="auto"/>
              </w:rPr>
            </w:pPr>
            <w:r>
              <w:rPr>
                <w:rFonts w:ascii="Arial" w:cs="Arial" w:eastAsia="Arial" w:hAnsi="Arial"/>
                <w:sz w:val="22"/>
                <w:szCs w:val="22"/>
                <w:color w:val="auto"/>
              </w:rPr>
              <w:t>Conditions to all Credit Extensions</w:t>
            </w:r>
          </w:p>
        </w:tc>
        <w:tc>
          <w:tcPr>
            <w:tcW w:w="94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51"/>
        </w:trPr>
        <w:tc>
          <w:tcPr>
            <w:tcW w:w="6920" w:type="dxa"/>
            <w:vAlign w:val="bottom"/>
            <w:gridSpan w:val="2"/>
          </w:tcPr>
          <w:p>
            <w:pPr>
              <w:spacing w:after="0"/>
              <w:rPr>
                <w:sz w:val="20"/>
                <w:szCs w:val="20"/>
                <w:color w:val="auto"/>
              </w:rPr>
            </w:pPr>
            <w:r>
              <w:rPr>
                <w:rFonts w:ascii="Arial" w:cs="Arial" w:eastAsia="Arial" w:hAnsi="Arial"/>
                <w:sz w:val="22"/>
                <w:szCs w:val="22"/>
                <w:color w:val="auto"/>
                <w:highlight w:val="white"/>
              </w:rPr>
              <w:t>ARTICLE V REPRESENTATIONS AND WARRANTIES</w:t>
            </w:r>
          </w:p>
        </w:tc>
        <w:tc>
          <w:tcPr>
            <w:tcW w:w="9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5.01.</w:t>
            </w:r>
          </w:p>
        </w:tc>
        <w:tc>
          <w:tcPr>
            <w:tcW w:w="5160" w:type="dxa"/>
            <w:vAlign w:val="bottom"/>
          </w:tcPr>
          <w:p>
            <w:pPr>
              <w:ind w:left="220"/>
              <w:spacing w:after="0"/>
              <w:rPr>
                <w:sz w:val="20"/>
                <w:szCs w:val="20"/>
                <w:color w:val="auto"/>
              </w:rPr>
            </w:pPr>
            <w:r>
              <w:rPr>
                <w:rFonts w:ascii="Arial" w:cs="Arial" w:eastAsia="Arial" w:hAnsi="Arial"/>
                <w:sz w:val="22"/>
                <w:szCs w:val="22"/>
                <w:color w:val="auto"/>
              </w:rPr>
              <w:t>Existence, Qualification and Power</w:t>
            </w:r>
          </w:p>
        </w:tc>
        <w:tc>
          <w:tcPr>
            <w:tcW w:w="9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5.02.</w:t>
            </w:r>
          </w:p>
        </w:tc>
        <w:tc>
          <w:tcPr>
            <w:tcW w:w="5160" w:type="dxa"/>
            <w:vAlign w:val="bottom"/>
          </w:tcPr>
          <w:p>
            <w:pPr>
              <w:ind w:left="220"/>
              <w:spacing w:after="0"/>
              <w:rPr>
                <w:sz w:val="20"/>
                <w:szCs w:val="20"/>
                <w:color w:val="auto"/>
              </w:rPr>
            </w:pPr>
            <w:r>
              <w:rPr>
                <w:rFonts w:ascii="Arial" w:cs="Arial" w:eastAsia="Arial" w:hAnsi="Arial"/>
                <w:sz w:val="22"/>
                <w:szCs w:val="22"/>
                <w:color w:val="auto"/>
              </w:rPr>
              <w:t>Authorization; No Contravention</w:t>
            </w:r>
          </w:p>
        </w:tc>
        <w:tc>
          <w:tcPr>
            <w:tcW w:w="94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5.03.</w:t>
            </w:r>
          </w:p>
        </w:tc>
        <w:tc>
          <w:tcPr>
            <w:tcW w:w="5160" w:type="dxa"/>
            <w:vAlign w:val="bottom"/>
          </w:tcPr>
          <w:p>
            <w:pPr>
              <w:ind w:left="220"/>
              <w:spacing w:after="0"/>
              <w:rPr>
                <w:sz w:val="20"/>
                <w:szCs w:val="20"/>
                <w:color w:val="auto"/>
              </w:rPr>
            </w:pPr>
            <w:r>
              <w:rPr>
                <w:rFonts w:ascii="Arial" w:cs="Arial" w:eastAsia="Arial" w:hAnsi="Arial"/>
                <w:sz w:val="22"/>
                <w:szCs w:val="22"/>
                <w:color w:val="auto"/>
              </w:rPr>
              <w:t>Material Governmental Authorization</w:t>
            </w:r>
          </w:p>
        </w:tc>
        <w:tc>
          <w:tcPr>
            <w:tcW w:w="9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5.04.</w:t>
            </w:r>
          </w:p>
        </w:tc>
        <w:tc>
          <w:tcPr>
            <w:tcW w:w="5160" w:type="dxa"/>
            <w:vAlign w:val="bottom"/>
          </w:tcPr>
          <w:p>
            <w:pPr>
              <w:ind w:left="220"/>
              <w:spacing w:after="0"/>
              <w:rPr>
                <w:sz w:val="20"/>
                <w:szCs w:val="20"/>
                <w:color w:val="auto"/>
              </w:rPr>
            </w:pPr>
            <w:r>
              <w:rPr>
                <w:rFonts w:ascii="Arial" w:cs="Arial" w:eastAsia="Arial" w:hAnsi="Arial"/>
                <w:sz w:val="22"/>
                <w:szCs w:val="22"/>
                <w:color w:val="auto"/>
              </w:rPr>
              <w:t>Binding Effect</w:t>
            </w:r>
          </w:p>
        </w:tc>
        <w:tc>
          <w:tcPr>
            <w:tcW w:w="9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5.05.</w:t>
            </w:r>
          </w:p>
        </w:tc>
        <w:tc>
          <w:tcPr>
            <w:tcW w:w="5160" w:type="dxa"/>
            <w:vAlign w:val="bottom"/>
          </w:tcPr>
          <w:p>
            <w:pPr>
              <w:ind w:left="220"/>
              <w:spacing w:after="0"/>
              <w:rPr>
                <w:sz w:val="20"/>
                <w:szCs w:val="20"/>
                <w:color w:val="auto"/>
              </w:rPr>
            </w:pPr>
            <w:r>
              <w:rPr>
                <w:rFonts w:ascii="Arial" w:cs="Arial" w:eastAsia="Arial" w:hAnsi="Arial"/>
                <w:sz w:val="22"/>
                <w:szCs w:val="22"/>
                <w:color w:val="auto"/>
              </w:rPr>
              <w:t>Financial Statements; No Material Adverse Effect</w:t>
            </w:r>
          </w:p>
        </w:tc>
        <w:tc>
          <w:tcPr>
            <w:tcW w:w="9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5.06.</w:t>
            </w:r>
          </w:p>
        </w:tc>
        <w:tc>
          <w:tcPr>
            <w:tcW w:w="5160" w:type="dxa"/>
            <w:vAlign w:val="bottom"/>
          </w:tcPr>
          <w:p>
            <w:pPr>
              <w:ind w:left="220"/>
              <w:spacing w:after="0"/>
              <w:rPr>
                <w:sz w:val="20"/>
                <w:szCs w:val="20"/>
                <w:color w:val="auto"/>
              </w:rPr>
            </w:pPr>
            <w:r>
              <w:rPr>
                <w:rFonts w:ascii="Arial" w:cs="Arial" w:eastAsia="Arial" w:hAnsi="Arial"/>
                <w:sz w:val="22"/>
                <w:szCs w:val="22"/>
                <w:color w:val="auto"/>
              </w:rPr>
              <w:t>Litigation</w:t>
            </w:r>
          </w:p>
        </w:tc>
        <w:tc>
          <w:tcPr>
            <w:tcW w:w="9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5.07.</w:t>
            </w:r>
          </w:p>
        </w:tc>
        <w:tc>
          <w:tcPr>
            <w:tcW w:w="5160" w:type="dxa"/>
            <w:vAlign w:val="bottom"/>
          </w:tcPr>
          <w:p>
            <w:pPr>
              <w:ind w:left="220"/>
              <w:spacing w:after="0"/>
              <w:rPr>
                <w:sz w:val="20"/>
                <w:szCs w:val="20"/>
                <w:color w:val="auto"/>
              </w:rPr>
            </w:pPr>
            <w:r>
              <w:rPr>
                <w:rFonts w:ascii="Arial" w:cs="Arial" w:eastAsia="Arial" w:hAnsi="Arial"/>
                <w:sz w:val="22"/>
                <w:szCs w:val="22"/>
                <w:color w:val="auto"/>
              </w:rPr>
              <w:t>Anti-Corruption Laws and Sanctions</w:t>
            </w:r>
          </w:p>
        </w:tc>
        <w:tc>
          <w:tcPr>
            <w:tcW w:w="9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5.08.</w:t>
            </w:r>
          </w:p>
        </w:tc>
        <w:tc>
          <w:tcPr>
            <w:tcW w:w="5160" w:type="dxa"/>
            <w:vAlign w:val="bottom"/>
          </w:tcPr>
          <w:p>
            <w:pPr>
              <w:ind w:left="220"/>
              <w:spacing w:after="0"/>
              <w:rPr>
                <w:sz w:val="20"/>
                <w:szCs w:val="20"/>
                <w:color w:val="auto"/>
              </w:rPr>
            </w:pPr>
            <w:r>
              <w:rPr>
                <w:rFonts w:ascii="Arial" w:cs="Arial" w:eastAsia="Arial" w:hAnsi="Arial"/>
                <w:sz w:val="22"/>
                <w:szCs w:val="22"/>
                <w:color w:val="auto"/>
              </w:rPr>
              <w:t>Margin Regulations; Investment Company Act</w:t>
            </w:r>
          </w:p>
        </w:tc>
        <w:tc>
          <w:tcPr>
            <w:tcW w:w="9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5.09.</w:t>
            </w:r>
          </w:p>
        </w:tc>
        <w:tc>
          <w:tcPr>
            <w:tcW w:w="5160" w:type="dxa"/>
            <w:vAlign w:val="bottom"/>
          </w:tcPr>
          <w:p>
            <w:pPr>
              <w:ind w:left="220"/>
              <w:spacing w:after="0"/>
              <w:rPr>
                <w:sz w:val="20"/>
                <w:szCs w:val="20"/>
                <w:color w:val="auto"/>
              </w:rPr>
            </w:pPr>
            <w:r>
              <w:rPr>
                <w:rFonts w:ascii="Arial" w:cs="Arial" w:eastAsia="Arial" w:hAnsi="Arial"/>
                <w:sz w:val="22"/>
                <w:szCs w:val="22"/>
                <w:color w:val="auto"/>
              </w:rPr>
              <w:t>Disclosure</w:t>
            </w:r>
          </w:p>
        </w:tc>
        <w:tc>
          <w:tcPr>
            <w:tcW w:w="9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5.10.</w:t>
            </w:r>
          </w:p>
        </w:tc>
        <w:tc>
          <w:tcPr>
            <w:tcW w:w="5160" w:type="dxa"/>
            <w:vAlign w:val="bottom"/>
          </w:tcPr>
          <w:p>
            <w:pPr>
              <w:ind w:left="220"/>
              <w:spacing w:after="0"/>
              <w:rPr>
                <w:sz w:val="20"/>
                <w:szCs w:val="20"/>
                <w:color w:val="auto"/>
              </w:rPr>
            </w:pPr>
            <w:r>
              <w:rPr>
                <w:rFonts w:ascii="Arial" w:cs="Arial" w:eastAsia="Arial" w:hAnsi="Arial"/>
                <w:sz w:val="22"/>
                <w:szCs w:val="22"/>
                <w:color w:val="auto"/>
              </w:rPr>
              <w:t>Compliance with Laws</w:t>
            </w:r>
          </w:p>
        </w:tc>
        <w:tc>
          <w:tcPr>
            <w:tcW w:w="9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5.11.</w:t>
            </w:r>
          </w:p>
        </w:tc>
        <w:tc>
          <w:tcPr>
            <w:tcW w:w="5160" w:type="dxa"/>
            <w:vAlign w:val="bottom"/>
          </w:tcPr>
          <w:p>
            <w:pPr>
              <w:ind w:left="220"/>
              <w:spacing w:after="0"/>
              <w:rPr>
                <w:sz w:val="20"/>
                <w:szCs w:val="20"/>
                <w:color w:val="auto"/>
              </w:rPr>
            </w:pPr>
            <w:r>
              <w:rPr>
                <w:rFonts w:ascii="Arial" w:cs="Arial" w:eastAsia="Arial" w:hAnsi="Arial"/>
                <w:sz w:val="22"/>
                <w:szCs w:val="22"/>
                <w:color w:val="auto"/>
              </w:rPr>
              <w:t>Properties</w:t>
            </w:r>
          </w:p>
        </w:tc>
        <w:tc>
          <w:tcPr>
            <w:tcW w:w="94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51"/>
        </w:trPr>
        <w:tc>
          <w:tcPr>
            <w:tcW w:w="6920" w:type="dxa"/>
            <w:vAlign w:val="bottom"/>
            <w:gridSpan w:val="2"/>
          </w:tcPr>
          <w:p>
            <w:pPr>
              <w:spacing w:after="0"/>
              <w:rPr>
                <w:sz w:val="20"/>
                <w:szCs w:val="20"/>
                <w:color w:val="auto"/>
              </w:rPr>
            </w:pPr>
            <w:r>
              <w:rPr>
                <w:rFonts w:ascii="Arial" w:cs="Arial" w:eastAsia="Arial" w:hAnsi="Arial"/>
                <w:sz w:val="22"/>
                <w:szCs w:val="22"/>
                <w:color w:val="auto"/>
                <w:highlight w:val="white"/>
              </w:rPr>
              <w:t>ARTICLE VI AFFIRMATIVE COVENANTS</w:t>
            </w:r>
          </w:p>
        </w:tc>
        <w:tc>
          <w:tcPr>
            <w:tcW w:w="94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6.01.</w:t>
            </w:r>
          </w:p>
        </w:tc>
        <w:tc>
          <w:tcPr>
            <w:tcW w:w="5160" w:type="dxa"/>
            <w:vAlign w:val="bottom"/>
          </w:tcPr>
          <w:p>
            <w:pPr>
              <w:ind w:left="220"/>
              <w:spacing w:after="0"/>
              <w:rPr>
                <w:sz w:val="20"/>
                <w:szCs w:val="20"/>
                <w:color w:val="auto"/>
              </w:rPr>
            </w:pPr>
            <w:r>
              <w:rPr>
                <w:rFonts w:ascii="Arial" w:cs="Arial" w:eastAsia="Arial" w:hAnsi="Arial"/>
                <w:sz w:val="22"/>
                <w:szCs w:val="22"/>
                <w:color w:val="auto"/>
              </w:rPr>
              <w:t>Financial Statements</w:t>
            </w:r>
          </w:p>
        </w:tc>
        <w:tc>
          <w:tcPr>
            <w:tcW w:w="94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6.02.</w:t>
            </w:r>
          </w:p>
        </w:tc>
        <w:tc>
          <w:tcPr>
            <w:tcW w:w="5160" w:type="dxa"/>
            <w:vAlign w:val="bottom"/>
          </w:tcPr>
          <w:p>
            <w:pPr>
              <w:ind w:left="220"/>
              <w:spacing w:after="0"/>
              <w:rPr>
                <w:sz w:val="20"/>
                <w:szCs w:val="20"/>
                <w:color w:val="auto"/>
              </w:rPr>
            </w:pPr>
            <w:r>
              <w:rPr>
                <w:rFonts w:ascii="Arial" w:cs="Arial" w:eastAsia="Arial" w:hAnsi="Arial"/>
                <w:sz w:val="22"/>
                <w:szCs w:val="22"/>
                <w:color w:val="auto"/>
              </w:rPr>
              <w:t>Certificates; Notice of Default; Other Information</w:t>
            </w:r>
          </w:p>
        </w:tc>
        <w:tc>
          <w:tcPr>
            <w:tcW w:w="94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6.03.</w:t>
            </w:r>
          </w:p>
        </w:tc>
        <w:tc>
          <w:tcPr>
            <w:tcW w:w="5160" w:type="dxa"/>
            <w:vAlign w:val="bottom"/>
          </w:tcPr>
          <w:p>
            <w:pPr>
              <w:ind w:left="220"/>
              <w:spacing w:after="0"/>
              <w:rPr>
                <w:sz w:val="20"/>
                <w:szCs w:val="20"/>
                <w:color w:val="auto"/>
              </w:rPr>
            </w:pPr>
            <w:r>
              <w:rPr>
                <w:rFonts w:ascii="Arial" w:cs="Arial" w:eastAsia="Arial" w:hAnsi="Arial"/>
                <w:sz w:val="22"/>
                <w:szCs w:val="22"/>
                <w:color w:val="auto"/>
              </w:rPr>
              <w:t>Payment of Taxes</w:t>
            </w:r>
          </w:p>
        </w:tc>
        <w:tc>
          <w:tcPr>
            <w:tcW w:w="94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6.04.</w:t>
            </w:r>
          </w:p>
        </w:tc>
        <w:tc>
          <w:tcPr>
            <w:tcW w:w="5160" w:type="dxa"/>
            <w:vAlign w:val="bottom"/>
          </w:tcPr>
          <w:p>
            <w:pPr>
              <w:ind w:left="220"/>
              <w:spacing w:after="0"/>
              <w:rPr>
                <w:sz w:val="20"/>
                <w:szCs w:val="20"/>
                <w:color w:val="auto"/>
              </w:rPr>
            </w:pPr>
            <w:r>
              <w:rPr>
                <w:rFonts w:ascii="Arial" w:cs="Arial" w:eastAsia="Arial" w:hAnsi="Arial"/>
                <w:sz w:val="22"/>
                <w:szCs w:val="22"/>
                <w:color w:val="auto"/>
              </w:rPr>
              <w:t>Preservation of Existence, Etc</w:t>
            </w:r>
          </w:p>
        </w:tc>
        <w:tc>
          <w:tcPr>
            <w:tcW w:w="94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6.05.</w:t>
            </w:r>
          </w:p>
        </w:tc>
        <w:tc>
          <w:tcPr>
            <w:tcW w:w="5160" w:type="dxa"/>
            <w:vAlign w:val="bottom"/>
          </w:tcPr>
          <w:p>
            <w:pPr>
              <w:ind w:left="220"/>
              <w:spacing w:after="0"/>
              <w:rPr>
                <w:sz w:val="20"/>
                <w:szCs w:val="20"/>
                <w:color w:val="auto"/>
              </w:rPr>
            </w:pPr>
            <w:r>
              <w:rPr>
                <w:rFonts w:ascii="Arial" w:cs="Arial" w:eastAsia="Arial" w:hAnsi="Arial"/>
                <w:sz w:val="22"/>
                <w:szCs w:val="22"/>
                <w:color w:val="auto"/>
              </w:rPr>
              <w:t>Compliance with Laws</w:t>
            </w:r>
          </w:p>
        </w:tc>
        <w:tc>
          <w:tcPr>
            <w:tcW w:w="94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6.06.</w:t>
            </w:r>
          </w:p>
        </w:tc>
        <w:tc>
          <w:tcPr>
            <w:tcW w:w="5160" w:type="dxa"/>
            <w:vAlign w:val="bottom"/>
          </w:tcPr>
          <w:p>
            <w:pPr>
              <w:ind w:left="220"/>
              <w:spacing w:after="0"/>
              <w:rPr>
                <w:sz w:val="20"/>
                <w:szCs w:val="20"/>
                <w:color w:val="auto"/>
              </w:rPr>
            </w:pPr>
            <w:r>
              <w:rPr>
                <w:rFonts w:ascii="Arial" w:cs="Arial" w:eastAsia="Arial" w:hAnsi="Arial"/>
                <w:sz w:val="22"/>
                <w:szCs w:val="22"/>
                <w:color w:val="auto"/>
              </w:rPr>
              <w:t>Use of Proceeds</w:t>
            </w:r>
          </w:p>
        </w:tc>
        <w:tc>
          <w:tcPr>
            <w:tcW w:w="94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6.07.</w:t>
            </w:r>
          </w:p>
        </w:tc>
        <w:tc>
          <w:tcPr>
            <w:tcW w:w="5160" w:type="dxa"/>
            <w:vAlign w:val="bottom"/>
          </w:tcPr>
          <w:p>
            <w:pPr>
              <w:ind w:left="220"/>
              <w:spacing w:after="0"/>
              <w:rPr>
                <w:sz w:val="20"/>
                <w:szCs w:val="20"/>
                <w:color w:val="auto"/>
              </w:rPr>
            </w:pPr>
            <w:r>
              <w:rPr>
                <w:rFonts w:ascii="Arial" w:cs="Arial" w:eastAsia="Arial" w:hAnsi="Arial"/>
                <w:sz w:val="22"/>
                <w:szCs w:val="22"/>
                <w:color w:val="auto"/>
              </w:rPr>
              <w:t>Maintenance of Property and Insurance</w:t>
            </w:r>
          </w:p>
        </w:tc>
        <w:tc>
          <w:tcPr>
            <w:tcW w:w="94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51"/>
        </w:trPr>
        <w:tc>
          <w:tcPr>
            <w:tcW w:w="6920" w:type="dxa"/>
            <w:vAlign w:val="bottom"/>
            <w:gridSpan w:val="2"/>
          </w:tcPr>
          <w:p>
            <w:pPr>
              <w:spacing w:after="0"/>
              <w:rPr>
                <w:sz w:val="20"/>
                <w:szCs w:val="20"/>
                <w:color w:val="auto"/>
              </w:rPr>
            </w:pPr>
            <w:r>
              <w:rPr>
                <w:rFonts w:ascii="Arial" w:cs="Arial" w:eastAsia="Arial" w:hAnsi="Arial"/>
                <w:sz w:val="22"/>
                <w:szCs w:val="22"/>
                <w:color w:val="auto"/>
                <w:highlight w:val="white"/>
              </w:rPr>
              <w:t>ARTICLE VII NEGATIVE COVENANTS</w:t>
            </w:r>
          </w:p>
        </w:tc>
        <w:tc>
          <w:tcPr>
            <w:tcW w:w="94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7.01.</w:t>
            </w:r>
          </w:p>
        </w:tc>
        <w:tc>
          <w:tcPr>
            <w:tcW w:w="5160" w:type="dxa"/>
            <w:vAlign w:val="bottom"/>
          </w:tcPr>
          <w:p>
            <w:pPr>
              <w:ind w:left="220"/>
              <w:spacing w:after="0"/>
              <w:rPr>
                <w:sz w:val="20"/>
                <w:szCs w:val="20"/>
                <w:color w:val="auto"/>
              </w:rPr>
            </w:pPr>
            <w:r>
              <w:rPr>
                <w:rFonts w:ascii="Arial" w:cs="Arial" w:eastAsia="Arial" w:hAnsi="Arial"/>
                <w:sz w:val="22"/>
                <w:szCs w:val="22"/>
                <w:color w:val="auto"/>
              </w:rPr>
              <w:t>Liens</w:t>
            </w:r>
          </w:p>
        </w:tc>
        <w:tc>
          <w:tcPr>
            <w:tcW w:w="94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7.02.</w:t>
            </w:r>
          </w:p>
        </w:tc>
        <w:tc>
          <w:tcPr>
            <w:tcW w:w="5160" w:type="dxa"/>
            <w:vAlign w:val="bottom"/>
          </w:tcPr>
          <w:p>
            <w:pPr>
              <w:ind w:left="220"/>
              <w:spacing w:after="0"/>
              <w:rPr>
                <w:sz w:val="20"/>
                <w:szCs w:val="20"/>
                <w:color w:val="auto"/>
              </w:rPr>
            </w:pPr>
            <w:r>
              <w:rPr>
                <w:rFonts w:ascii="Arial" w:cs="Arial" w:eastAsia="Arial" w:hAnsi="Arial"/>
                <w:sz w:val="22"/>
                <w:szCs w:val="22"/>
                <w:color w:val="auto"/>
              </w:rPr>
              <w:t>Subsidiary Indebtedness</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100</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7.03.</w:t>
            </w:r>
          </w:p>
        </w:tc>
        <w:tc>
          <w:tcPr>
            <w:tcW w:w="5160" w:type="dxa"/>
            <w:vAlign w:val="bottom"/>
          </w:tcPr>
          <w:p>
            <w:pPr>
              <w:ind w:left="220"/>
              <w:spacing w:after="0"/>
              <w:rPr>
                <w:sz w:val="20"/>
                <w:szCs w:val="20"/>
                <w:color w:val="auto"/>
              </w:rPr>
            </w:pPr>
            <w:r>
              <w:rPr>
                <w:rFonts w:ascii="Arial" w:cs="Arial" w:eastAsia="Arial" w:hAnsi="Arial"/>
                <w:sz w:val="22"/>
                <w:szCs w:val="22"/>
                <w:color w:val="auto"/>
              </w:rPr>
              <w:t>Fundamental Changes</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102</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7.04.</w:t>
            </w:r>
          </w:p>
        </w:tc>
        <w:tc>
          <w:tcPr>
            <w:tcW w:w="5160" w:type="dxa"/>
            <w:vAlign w:val="bottom"/>
          </w:tcPr>
          <w:p>
            <w:pPr>
              <w:ind w:left="220"/>
              <w:spacing w:after="0"/>
              <w:rPr>
                <w:sz w:val="20"/>
                <w:szCs w:val="20"/>
                <w:color w:val="auto"/>
              </w:rPr>
            </w:pPr>
            <w:r>
              <w:rPr>
                <w:rFonts w:ascii="Arial" w:cs="Arial" w:eastAsia="Arial" w:hAnsi="Arial"/>
                <w:sz w:val="22"/>
                <w:szCs w:val="22"/>
                <w:color w:val="auto"/>
              </w:rPr>
              <w:t>Dispositions</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102</w:t>
            </w:r>
          </w:p>
        </w:tc>
      </w:tr>
      <w:tr>
        <w:trPr>
          <w:trHeight w:val="337"/>
        </w:trPr>
        <w:tc>
          <w:tcPr>
            <w:tcW w:w="1760" w:type="dxa"/>
            <w:vAlign w:val="bottom"/>
          </w:tcPr>
          <w:p>
            <w:pPr>
              <w:ind w:left="160"/>
              <w:spacing w:after="0"/>
              <w:rPr>
                <w:sz w:val="20"/>
                <w:szCs w:val="20"/>
                <w:color w:val="auto"/>
              </w:rPr>
            </w:pPr>
            <w:r>
              <w:rPr>
                <w:rFonts w:ascii="Arial" w:cs="Arial" w:eastAsia="Arial" w:hAnsi="Arial"/>
                <w:sz w:val="22"/>
                <w:szCs w:val="22"/>
                <w:color w:val="auto"/>
              </w:rPr>
              <w:t>SECTION 7.05.</w:t>
            </w:r>
          </w:p>
        </w:tc>
        <w:tc>
          <w:tcPr>
            <w:tcW w:w="5160" w:type="dxa"/>
            <w:vAlign w:val="bottom"/>
          </w:tcPr>
          <w:p>
            <w:pPr>
              <w:ind w:left="220"/>
              <w:spacing w:after="0"/>
              <w:rPr>
                <w:sz w:val="20"/>
                <w:szCs w:val="20"/>
                <w:color w:val="auto"/>
              </w:rPr>
            </w:pPr>
            <w:r>
              <w:rPr>
                <w:rFonts w:ascii="Arial" w:cs="Arial" w:eastAsia="Arial" w:hAnsi="Arial"/>
                <w:sz w:val="22"/>
                <w:szCs w:val="22"/>
                <w:color w:val="auto"/>
              </w:rPr>
              <w:t>Restricted Payments</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104</w:t>
            </w:r>
          </w:p>
        </w:tc>
      </w:tr>
      <w:tr>
        <w:trPr>
          <w:trHeight w:val="351"/>
        </w:trPr>
        <w:tc>
          <w:tcPr>
            <w:tcW w:w="1760" w:type="dxa"/>
            <w:vAlign w:val="bottom"/>
          </w:tcPr>
          <w:p>
            <w:pPr>
              <w:ind w:left="160"/>
              <w:spacing w:after="0"/>
              <w:rPr>
                <w:sz w:val="20"/>
                <w:szCs w:val="20"/>
                <w:color w:val="auto"/>
              </w:rPr>
            </w:pPr>
            <w:r>
              <w:rPr>
                <w:rFonts w:ascii="Arial" w:cs="Arial" w:eastAsia="Arial" w:hAnsi="Arial"/>
                <w:sz w:val="22"/>
                <w:szCs w:val="22"/>
                <w:color w:val="auto"/>
              </w:rPr>
              <w:t>SECTION 7.06.</w:t>
            </w:r>
          </w:p>
        </w:tc>
        <w:tc>
          <w:tcPr>
            <w:tcW w:w="5160" w:type="dxa"/>
            <w:vAlign w:val="bottom"/>
          </w:tcPr>
          <w:p>
            <w:pPr>
              <w:ind w:left="220"/>
              <w:spacing w:after="0"/>
              <w:rPr>
                <w:sz w:val="20"/>
                <w:szCs w:val="20"/>
                <w:color w:val="auto"/>
              </w:rPr>
            </w:pPr>
            <w:r>
              <w:rPr>
                <w:rFonts w:ascii="Arial" w:cs="Arial" w:eastAsia="Arial" w:hAnsi="Arial"/>
                <w:sz w:val="22"/>
                <w:szCs w:val="22"/>
                <w:color w:val="auto"/>
              </w:rPr>
              <w:t>Consolidated Leverage Ratio</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105</w:t>
            </w:r>
          </w:p>
        </w:tc>
      </w:tr>
      <w:tr>
        <w:trPr>
          <w:trHeight w:val="351"/>
        </w:trPr>
        <w:tc>
          <w:tcPr>
            <w:tcW w:w="6920" w:type="dxa"/>
            <w:vAlign w:val="bottom"/>
            <w:gridSpan w:val="2"/>
          </w:tcPr>
          <w:p>
            <w:pPr>
              <w:spacing w:after="0"/>
              <w:rPr>
                <w:sz w:val="20"/>
                <w:szCs w:val="20"/>
                <w:color w:val="auto"/>
              </w:rPr>
            </w:pPr>
            <w:r>
              <w:rPr>
                <w:rFonts w:ascii="Arial" w:cs="Arial" w:eastAsia="Arial" w:hAnsi="Arial"/>
                <w:sz w:val="22"/>
                <w:szCs w:val="22"/>
                <w:color w:val="auto"/>
                <w:highlight w:val="white"/>
              </w:rPr>
              <w:t>ARTICLE VIII EVENTS OF DEFAULT AND REMEDIES</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105</w:t>
            </w:r>
          </w:p>
        </w:tc>
      </w:tr>
      <w:tr>
        <w:trPr>
          <w:trHeight w:val="338"/>
        </w:trPr>
        <w:tc>
          <w:tcPr>
            <w:tcW w:w="1760" w:type="dxa"/>
            <w:vAlign w:val="bottom"/>
          </w:tcPr>
          <w:p>
            <w:pPr>
              <w:ind w:left="160"/>
              <w:spacing w:after="0"/>
              <w:rPr>
                <w:sz w:val="20"/>
                <w:szCs w:val="20"/>
                <w:color w:val="auto"/>
              </w:rPr>
            </w:pPr>
            <w:r>
              <w:rPr>
                <w:rFonts w:ascii="Arial" w:cs="Arial" w:eastAsia="Arial" w:hAnsi="Arial"/>
                <w:sz w:val="22"/>
                <w:szCs w:val="22"/>
                <w:color w:val="auto"/>
              </w:rPr>
              <w:t>SECTION 8.01.</w:t>
            </w:r>
          </w:p>
        </w:tc>
        <w:tc>
          <w:tcPr>
            <w:tcW w:w="5160" w:type="dxa"/>
            <w:vAlign w:val="bottom"/>
          </w:tcPr>
          <w:p>
            <w:pPr>
              <w:ind w:left="220"/>
              <w:spacing w:after="0"/>
              <w:rPr>
                <w:sz w:val="20"/>
                <w:szCs w:val="20"/>
                <w:color w:val="auto"/>
              </w:rPr>
            </w:pPr>
            <w:r>
              <w:rPr>
                <w:rFonts w:ascii="Arial" w:cs="Arial" w:eastAsia="Arial" w:hAnsi="Arial"/>
                <w:sz w:val="22"/>
                <w:szCs w:val="22"/>
                <w:color w:val="auto"/>
              </w:rPr>
              <w:t>Events of Default</w:t>
            </w:r>
          </w:p>
        </w:tc>
        <w:tc>
          <w:tcPr>
            <w:tcW w:w="940" w:type="dxa"/>
            <w:vAlign w:val="bottom"/>
          </w:tcPr>
          <w:p>
            <w:pPr>
              <w:jc w:val="right"/>
              <w:spacing w:after="0"/>
              <w:rPr>
                <w:sz w:val="20"/>
                <w:szCs w:val="20"/>
                <w:color w:val="auto"/>
              </w:rPr>
            </w:pPr>
            <w:r>
              <w:rPr>
                <w:rFonts w:ascii="Arial" w:cs="Arial" w:eastAsia="Arial" w:hAnsi="Arial"/>
                <w:sz w:val="22"/>
                <w:szCs w:val="22"/>
                <w:color w:val="auto"/>
                <w:highlight w:val="white"/>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-7643495</wp:posOffset>
            </wp:positionV>
            <wp:extent cx="4989195" cy="76377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89195" cy="763778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498919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89195"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2" w:name="page103"/>
    <w:bookmarkEnd w:id="102"/>
    <w:tbl>
      <w:tblPr>
        <w:tblLayout w:type="fixed"/>
        <w:tblInd w:w="540" w:type="dxa"/>
        <w:tblCellMar>
          <w:top w:w="0" w:type="dxa"/>
          <w:left w:w="0" w:type="dxa"/>
          <w:bottom w:w="0" w:type="dxa"/>
          <w:right w:w="0" w:type="dxa"/>
        </w:tblCellMar>
      </w:tblPr>
      <w:tr>
        <w:trPr>
          <w:trHeight w:val="274"/>
        </w:trPr>
        <w:tc>
          <w:tcPr>
            <w:tcW w:w="1820" w:type="dxa"/>
            <w:vAlign w:val="bottom"/>
          </w:tcPr>
          <w:p>
            <w:pPr>
              <w:ind w:left="160"/>
              <w:spacing w:after="0"/>
              <w:rPr>
                <w:sz w:val="20"/>
                <w:szCs w:val="20"/>
                <w:color w:val="auto"/>
              </w:rPr>
            </w:pPr>
            <w:r>
              <w:rPr>
                <w:rFonts w:ascii="Arial" w:cs="Arial" w:eastAsia="Arial" w:hAnsi="Arial"/>
                <w:sz w:val="22"/>
                <w:szCs w:val="22"/>
                <w:color w:val="auto"/>
              </w:rPr>
              <w:t>SECTION 8.02.</w:t>
            </w:r>
          </w:p>
        </w:tc>
        <w:tc>
          <w:tcPr>
            <w:tcW w:w="5620" w:type="dxa"/>
            <w:vAlign w:val="bottom"/>
          </w:tcPr>
          <w:p>
            <w:pPr>
              <w:ind w:left="160"/>
              <w:spacing w:after="0"/>
              <w:rPr>
                <w:sz w:val="20"/>
                <w:szCs w:val="20"/>
                <w:color w:val="auto"/>
              </w:rPr>
            </w:pPr>
            <w:r>
              <w:rPr>
                <w:rFonts w:ascii="Arial" w:cs="Arial" w:eastAsia="Arial" w:hAnsi="Arial"/>
                <w:sz w:val="22"/>
                <w:szCs w:val="22"/>
                <w:color w:val="auto"/>
              </w:rPr>
              <w:t>Remedies Upon Event of Default</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107</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8.03.</w:t>
            </w:r>
          </w:p>
        </w:tc>
        <w:tc>
          <w:tcPr>
            <w:tcW w:w="5620" w:type="dxa"/>
            <w:vAlign w:val="bottom"/>
          </w:tcPr>
          <w:p>
            <w:pPr>
              <w:ind w:left="160"/>
              <w:spacing w:after="0"/>
              <w:rPr>
                <w:sz w:val="20"/>
                <w:szCs w:val="20"/>
                <w:color w:val="auto"/>
              </w:rPr>
            </w:pPr>
            <w:r>
              <w:rPr>
                <w:rFonts w:ascii="Arial" w:cs="Arial" w:eastAsia="Arial" w:hAnsi="Arial"/>
                <w:sz w:val="22"/>
                <w:szCs w:val="22"/>
                <w:color w:val="auto"/>
              </w:rPr>
              <w:t>Application of Funds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108</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rPr>
              <w:t>SECTION 8.04.</w:t>
            </w:r>
          </w:p>
        </w:tc>
        <w:tc>
          <w:tcPr>
            <w:tcW w:w="5620" w:type="dxa"/>
            <w:vAlign w:val="bottom"/>
          </w:tcPr>
          <w:p>
            <w:pPr>
              <w:ind w:left="160"/>
              <w:spacing w:after="0"/>
              <w:rPr>
                <w:sz w:val="20"/>
                <w:szCs w:val="20"/>
                <w:color w:val="auto"/>
              </w:rPr>
            </w:pPr>
            <w:r>
              <w:rPr>
                <w:rFonts w:ascii="Arial" w:cs="Arial" w:eastAsia="Arial" w:hAnsi="Arial"/>
                <w:sz w:val="22"/>
                <w:szCs w:val="22"/>
                <w:color w:val="auto"/>
              </w:rPr>
              <w:t>Cleanup Period</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109</w:t>
            </w:r>
          </w:p>
        </w:tc>
      </w:tr>
      <w:tr>
        <w:trPr>
          <w:trHeight w:val="351"/>
        </w:trPr>
        <w:tc>
          <w:tcPr>
            <w:tcW w:w="7440" w:type="dxa"/>
            <w:vAlign w:val="bottom"/>
            <w:gridSpan w:val="2"/>
          </w:tcPr>
          <w:p>
            <w:pPr>
              <w:spacing w:after="0"/>
              <w:rPr>
                <w:sz w:val="20"/>
                <w:szCs w:val="20"/>
                <w:color w:val="auto"/>
              </w:rPr>
            </w:pPr>
            <w:r>
              <w:rPr>
                <w:rFonts w:ascii="Arial" w:cs="Arial" w:eastAsia="Arial" w:hAnsi="Arial"/>
                <w:sz w:val="22"/>
                <w:szCs w:val="22"/>
                <w:color w:val="auto"/>
                <w:highlight w:val="white"/>
              </w:rPr>
              <w:t>ARTICLE IX GUARANTEE</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109</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9.01.</w:t>
            </w:r>
          </w:p>
        </w:tc>
        <w:tc>
          <w:tcPr>
            <w:tcW w:w="5620" w:type="dxa"/>
            <w:vAlign w:val="bottom"/>
          </w:tcPr>
          <w:p>
            <w:pPr>
              <w:ind w:left="160"/>
              <w:spacing w:after="0"/>
              <w:rPr>
                <w:sz w:val="20"/>
                <w:szCs w:val="20"/>
                <w:color w:val="auto"/>
              </w:rPr>
            </w:pPr>
            <w:r>
              <w:rPr>
                <w:rFonts w:ascii="Arial" w:cs="Arial" w:eastAsia="Arial" w:hAnsi="Arial"/>
                <w:sz w:val="22"/>
                <w:szCs w:val="22"/>
                <w:color w:val="auto"/>
              </w:rPr>
              <w:t>Guarantee of Obligations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109</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rPr>
              <w:t>SECTION 9.02.</w:t>
            </w:r>
          </w:p>
        </w:tc>
        <w:tc>
          <w:tcPr>
            <w:tcW w:w="5620" w:type="dxa"/>
            <w:vAlign w:val="bottom"/>
          </w:tcPr>
          <w:p>
            <w:pPr>
              <w:ind w:left="160"/>
              <w:spacing w:after="0"/>
              <w:rPr>
                <w:sz w:val="20"/>
                <w:szCs w:val="20"/>
                <w:color w:val="auto"/>
              </w:rPr>
            </w:pPr>
            <w:r>
              <w:rPr>
                <w:rFonts w:ascii="Arial" w:cs="Arial" w:eastAsia="Arial" w:hAnsi="Arial"/>
                <w:sz w:val="22"/>
                <w:szCs w:val="22"/>
                <w:color w:val="auto"/>
              </w:rPr>
              <w:t>Limitation on Obligations Guaranteed</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110</w:t>
            </w:r>
          </w:p>
        </w:tc>
      </w:tr>
      <w:tr>
        <w:trPr>
          <w:trHeight w:val="333"/>
        </w:trPr>
        <w:tc>
          <w:tcPr>
            <w:tcW w:w="1820" w:type="dxa"/>
            <w:vAlign w:val="bottom"/>
          </w:tcPr>
          <w:p>
            <w:pPr>
              <w:ind w:left="160"/>
              <w:spacing w:after="0"/>
              <w:rPr>
                <w:sz w:val="20"/>
                <w:szCs w:val="20"/>
                <w:color w:val="auto"/>
              </w:rPr>
            </w:pPr>
            <w:r>
              <w:rPr>
                <w:rFonts w:ascii="Arial" w:cs="Arial" w:eastAsia="Arial" w:hAnsi="Arial"/>
                <w:sz w:val="22"/>
                <w:szCs w:val="22"/>
                <w:color w:val="auto"/>
              </w:rPr>
              <w:t>SECTION 9.03.</w:t>
            </w:r>
          </w:p>
        </w:tc>
        <w:tc>
          <w:tcPr>
            <w:tcW w:w="6040" w:type="dxa"/>
            <w:vAlign w:val="bottom"/>
            <w:gridSpan w:val="2"/>
          </w:tcPr>
          <w:p>
            <w:pPr>
              <w:ind w:left="160"/>
              <w:spacing w:after="0"/>
              <w:rPr>
                <w:sz w:val="20"/>
                <w:szCs w:val="20"/>
                <w:color w:val="auto"/>
              </w:rPr>
            </w:pPr>
            <w:r>
              <w:rPr>
                <w:rFonts w:ascii="Arial" w:cs="Arial" w:eastAsia="Arial" w:hAnsi="Arial"/>
                <w:sz w:val="22"/>
                <w:szCs w:val="22"/>
                <w:color w:val="auto"/>
                <w:w w:val="91"/>
              </w:rPr>
              <w:t>Nature of Guarantee; Continuing Guarantee; Waivers of Defenses</w:t>
            </w:r>
          </w:p>
        </w:tc>
      </w:tr>
      <w:tr>
        <w:trPr>
          <w:trHeight w:val="274"/>
        </w:trPr>
        <w:tc>
          <w:tcPr>
            <w:tcW w:w="18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110</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9.04.</w:t>
            </w:r>
          </w:p>
        </w:tc>
        <w:tc>
          <w:tcPr>
            <w:tcW w:w="5620" w:type="dxa"/>
            <w:vAlign w:val="bottom"/>
          </w:tcPr>
          <w:p>
            <w:pPr>
              <w:ind w:left="160"/>
              <w:spacing w:after="0"/>
              <w:rPr>
                <w:sz w:val="20"/>
                <w:szCs w:val="20"/>
                <w:color w:val="auto"/>
              </w:rPr>
            </w:pPr>
            <w:r>
              <w:rPr>
                <w:rFonts w:ascii="Arial" w:cs="Arial" w:eastAsia="Arial" w:hAnsi="Arial"/>
                <w:sz w:val="22"/>
                <w:szCs w:val="22"/>
                <w:color w:val="auto"/>
                <w:w w:val="99"/>
              </w:rPr>
              <w:t>Rights of Reimbursement, Contribution and Subrogation</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112</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rPr>
              <w:t>SECTION 9.05.</w:t>
            </w:r>
          </w:p>
        </w:tc>
        <w:tc>
          <w:tcPr>
            <w:tcW w:w="5620" w:type="dxa"/>
            <w:vAlign w:val="bottom"/>
          </w:tcPr>
          <w:p>
            <w:pPr>
              <w:ind w:left="160"/>
              <w:spacing w:after="0"/>
              <w:rPr>
                <w:sz w:val="20"/>
                <w:szCs w:val="20"/>
                <w:color w:val="auto"/>
              </w:rPr>
            </w:pPr>
            <w:r>
              <w:rPr>
                <w:rFonts w:ascii="Arial" w:cs="Arial" w:eastAsia="Arial" w:hAnsi="Arial"/>
                <w:sz w:val="22"/>
                <w:szCs w:val="22"/>
                <w:color w:val="auto"/>
              </w:rPr>
              <w:t>Payments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113</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9.06.</w:t>
            </w:r>
          </w:p>
        </w:tc>
        <w:tc>
          <w:tcPr>
            <w:tcW w:w="5620" w:type="dxa"/>
            <w:vAlign w:val="bottom"/>
          </w:tcPr>
          <w:p>
            <w:pPr>
              <w:ind w:left="160"/>
              <w:spacing w:after="0"/>
              <w:rPr>
                <w:sz w:val="20"/>
                <w:szCs w:val="20"/>
                <w:color w:val="auto"/>
              </w:rPr>
            </w:pPr>
            <w:r>
              <w:rPr>
                <w:rFonts w:ascii="Arial" w:cs="Arial" w:eastAsia="Arial" w:hAnsi="Arial"/>
                <w:sz w:val="22"/>
                <w:szCs w:val="22"/>
                <w:color w:val="auto"/>
              </w:rPr>
              <w:t>Subordination of Other Obligations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113</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9.07.</w:t>
            </w:r>
          </w:p>
        </w:tc>
        <w:tc>
          <w:tcPr>
            <w:tcW w:w="5620" w:type="dxa"/>
            <w:vAlign w:val="bottom"/>
          </w:tcPr>
          <w:p>
            <w:pPr>
              <w:ind w:left="160"/>
              <w:spacing w:after="0"/>
              <w:rPr>
                <w:sz w:val="20"/>
                <w:szCs w:val="20"/>
                <w:color w:val="auto"/>
              </w:rPr>
            </w:pPr>
            <w:r>
              <w:rPr>
                <w:rFonts w:ascii="Arial" w:cs="Arial" w:eastAsia="Arial" w:hAnsi="Arial"/>
                <w:sz w:val="22"/>
                <w:szCs w:val="22"/>
                <w:color w:val="auto"/>
                <w:w w:val="97"/>
              </w:rPr>
              <w:t>Financial Condition of the Borrower and other Guarantors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113</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rPr>
              <w:t>SECTION 9.08.</w:t>
            </w:r>
          </w:p>
        </w:tc>
        <w:tc>
          <w:tcPr>
            <w:tcW w:w="5620" w:type="dxa"/>
            <w:vAlign w:val="bottom"/>
          </w:tcPr>
          <w:p>
            <w:pPr>
              <w:ind w:left="160"/>
              <w:spacing w:after="0"/>
              <w:rPr>
                <w:sz w:val="20"/>
                <w:szCs w:val="20"/>
                <w:color w:val="auto"/>
              </w:rPr>
            </w:pPr>
            <w:r>
              <w:rPr>
                <w:rFonts w:ascii="Arial" w:cs="Arial" w:eastAsia="Arial" w:hAnsi="Arial"/>
                <w:sz w:val="22"/>
                <w:szCs w:val="22"/>
                <w:color w:val="auto"/>
              </w:rPr>
              <w:t>Bankruptcy, Etc</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113</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9.09.</w:t>
            </w:r>
          </w:p>
        </w:tc>
        <w:tc>
          <w:tcPr>
            <w:tcW w:w="5620" w:type="dxa"/>
            <w:vAlign w:val="bottom"/>
          </w:tcPr>
          <w:p>
            <w:pPr>
              <w:ind w:left="160"/>
              <w:spacing w:after="0"/>
              <w:rPr>
                <w:sz w:val="20"/>
                <w:szCs w:val="20"/>
                <w:color w:val="auto"/>
              </w:rPr>
            </w:pPr>
            <w:r>
              <w:rPr>
                <w:rFonts w:ascii="Arial" w:cs="Arial" w:eastAsia="Arial" w:hAnsi="Arial"/>
                <w:sz w:val="22"/>
                <w:szCs w:val="22"/>
                <w:color w:val="auto"/>
              </w:rPr>
              <w:t>Duration of Guarantee</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114</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rPr>
              <w:t>SECTION 9.10.</w:t>
            </w:r>
          </w:p>
        </w:tc>
        <w:tc>
          <w:tcPr>
            <w:tcW w:w="5620" w:type="dxa"/>
            <w:vAlign w:val="bottom"/>
          </w:tcPr>
          <w:p>
            <w:pPr>
              <w:ind w:left="160"/>
              <w:spacing w:after="0"/>
              <w:rPr>
                <w:sz w:val="20"/>
                <w:szCs w:val="20"/>
                <w:color w:val="auto"/>
              </w:rPr>
            </w:pPr>
            <w:r>
              <w:rPr>
                <w:rFonts w:ascii="Arial" w:cs="Arial" w:eastAsia="Arial" w:hAnsi="Arial"/>
                <w:sz w:val="22"/>
                <w:szCs w:val="22"/>
                <w:color w:val="auto"/>
              </w:rPr>
              <w:t>Reinstatement</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114</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rPr>
              <w:t>SECTION 9.11.</w:t>
            </w:r>
          </w:p>
        </w:tc>
        <w:tc>
          <w:tcPr>
            <w:tcW w:w="5620" w:type="dxa"/>
            <w:vAlign w:val="bottom"/>
          </w:tcPr>
          <w:p>
            <w:pPr>
              <w:ind w:left="160"/>
              <w:spacing w:after="0"/>
              <w:rPr>
                <w:sz w:val="20"/>
                <w:szCs w:val="20"/>
                <w:color w:val="auto"/>
              </w:rPr>
            </w:pPr>
            <w:r>
              <w:rPr>
                <w:rFonts w:ascii="Arial" w:cs="Arial" w:eastAsia="Arial" w:hAnsi="Arial"/>
                <w:sz w:val="22"/>
                <w:szCs w:val="22"/>
                <w:color w:val="auto"/>
              </w:rPr>
              <w:t>Additional Guarantors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114</w:t>
            </w:r>
          </w:p>
        </w:tc>
      </w:tr>
      <w:tr>
        <w:trPr>
          <w:trHeight w:val="351"/>
        </w:trPr>
        <w:tc>
          <w:tcPr>
            <w:tcW w:w="7440" w:type="dxa"/>
            <w:vAlign w:val="bottom"/>
            <w:gridSpan w:val="2"/>
          </w:tcPr>
          <w:p>
            <w:pPr>
              <w:spacing w:after="0"/>
              <w:rPr>
                <w:sz w:val="20"/>
                <w:szCs w:val="20"/>
                <w:color w:val="auto"/>
              </w:rPr>
            </w:pPr>
            <w:r>
              <w:rPr>
                <w:rFonts w:ascii="Arial" w:cs="Arial" w:eastAsia="Arial" w:hAnsi="Arial"/>
                <w:sz w:val="22"/>
                <w:szCs w:val="22"/>
                <w:color w:val="auto"/>
                <w:highlight w:val="white"/>
              </w:rPr>
              <w:t>ARTICLE X The Administrative Agent</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115</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10.01.</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Authorization and Action</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115</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10.02.</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w w:val="95"/>
              </w:rPr>
              <w:t>Administrative Agent’s Reliance, Limitation of Liability, Etc.</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117</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10.03.</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Posting of Communications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119</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10.04.</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The Administrative Agent Individually</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120</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10.05.</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Successor Administrative Agent</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120</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10.06.</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Acknowledgements of Lenders and L/C Issuers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121</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10.07.</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Certain ERISA Matters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123</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10.08.</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Guarantee Matters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125</w:t>
            </w:r>
          </w:p>
        </w:tc>
      </w:tr>
      <w:tr>
        <w:trPr>
          <w:trHeight w:val="351"/>
        </w:trPr>
        <w:tc>
          <w:tcPr>
            <w:tcW w:w="7440" w:type="dxa"/>
            <w:vAlign w:val="bottom"/>
            <w:gridSpan w:val="2"/>
          </w:tcPr>
          <w:p>
            <w:pPr>
              <w:spacing w:after="0"/>
              <w:rPr>
                <w:sz w:val="20"/>
                <w:szCs w:val="20"/>
                <w:color w:val="auto"/>
              </w:rPr>
            </w:pPr>
            <w:r>
              <w:rPr>
                <w:rFonts w:ascii="Arial" w:cs="Arial" w:eastAsia="Arial" w:hAnsi="Arial"/>
                <w:sz w:val="22"/>
                <w:szCs w:val="22"/>
                <w:color w:val="auto"/>
                <w:highlight w:val="white"/>
              </w:rPr>
              <w:t>ARTICLE XI MISCELLANEOUS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125</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11.01.</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Amendments, Etc</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125</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11.02.</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Notices; Effectiveness; Electronic Communication</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127</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11.03.</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No Waiver; Cumulative Remedies; Enforcement</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129</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11.04.</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Expenses; Indemnity; Damage Waiver</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129</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11.05.</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Payments Set Aside</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131</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11.06.</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Successors and Assigns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132</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11.07.</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Treatment of Certain Information; Confidentiality</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139</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11.08.</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Right of Setoff</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141</w:t>
            </w:r>
          </w:p>
        </w:tc>
      </w:tr>
      <w:tr>
        <w:trPr>
          <w:trHeight w:val="351"/>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11.09.</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rPr>
              <w:t>Interest Rate Limitation</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141</w:t>
            </w:r>
          </w:p>
        </w:tc>
      </w:tr>
      <w:tr>
        <w:trPr>
          <w:trHeight w:val="338"/>
        </w:trPr>
        <w:tc>
          <w:tcPr>
            <w:tcW w:w="1820" w:type="dxa"/>
            <w:vAlign w:val="bottom"/>
          </w:tcPr>
          <w:p>
            <w:pPr>
              <w:ind w:left="160"/>
              <w:spacing w:after="0"/>
              <w:rPr>
                <w:sz w:val="20"/>
                <w:szCs w:val="20"/>
                <w:color w:val="auto"/>
              </w:rPr>
            </w:pPr>
            <w:r>
              <w:rPr>
                <w:rFonts w:ascii="Arial" w:cs="Arial" w:eastAsia="Arial" w:hAnsi="Arial"/>
                <w:sz w:val="22"/>
                <w:szCs w:val="22"/>
                <w:color w:val="auto"/>
                <w:highlight w:val="white"/>
                <w:w w:val="99"/>
              </w:rPr>
              <w:t>SECTION 11.10.</w:t>
            </w:r>
          </w:p>
        </w:tc>
        <w:tc>
          <w:tcPr>
            <w:tcW w:w="5620" w:type="dxa"/>
            <w:vAlign w:val="bottom"/>
          </w:tcPr>
          <w:p>
            <w:pPr>
              <w:ind w:left="160"/>
              <w:spacing w:after="0"/>
              <w:rPr>
                <w:sz w:val="20"/>
                <w:szCs w:val="20"/>
                <w:color w:val="auto"/>
              </w:rPr>
            </w:pPr>
            <w:r>
              <w:rPr>
                <w:rFonts w:ascii="Arial" w:cs="Arial" w:eastAsia="Arial" w:hAnsi="Arial"/>
                <w:sz w:val="22"/>
                <w:szCs w:val="22"/>
                <w:color w:val="auto"/>
                <w:highlight w:val="white"/>
                <w:w w:val="90"/>
              </w:rPr>
              <w:t>Counterparts; Integration; Electronic Execution; Effectiveness</w:t>
            </w:r>
          </w:p>
        </w:tc>
        <w:tc>
          <w:tcPr>
            <w:tcW w:w="420" w:type="dxa"/>
            <w:vAlign w:val="bottom"/>
          </w:tcPr>
          <w:p>
            <w:pPr>
              <w:jc w:val="right"/>
              <w:spacing w:after="0"/>
              <w:rPr>
                <w:sz w:val="20"/>
                <w:szCs w:val="20"/>
                <w:color w:val="auto"/>
              </w:rPr>
            </w:pPr>
            <w:r>
              <w:rPr>
                <w:rFonts w:ascii="Arial" w:cs="Arial" w:eastAsia="Arial" w:hAnsi="Arial"/>
                <w:sz w:val="22"/>
                <w:szCs w:val="22"/>
                <w:color w:val="auto"/>
                <w:highlight w:val="white"/>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-7797800</wp:posOffset>
            </wp:positionV>
            <wp:extent cx="4989195" cy="77577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89195" cy="7757795"/>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498919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89195"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3" w:name="page104"/>
    <w:bookmarkEnd w:id="103"/>
    <w:tbl>
      <w:tblPr>
        <w:tblLayout w:type="fixed"/>
        <w:tblInd w:w="700" w:type="dxa"/>
        <w:tblCellMar>
          <w:top w:w="0" w:type="dxa"/>
          <w:left w:w="0" w:type="dxa"/>
          <w:bottom w:w="0" w:type="dxa"/>
          <w:right w:w="0" w:type="dxa"/>
        </w:tblCellMar>
      </w:tblPr>
      <w:tr>
        <w:trPr>
          <w:trHeight w:val="274"/>
        </w:trPr>
        <w:tc>
          <w:tcPr>
            <w:tcW w:w="6840" w:type="dxa"/>
            <w:vAlign w:val="bottom"/>
            <w:gridSpan w:val="2"/>
          </w:tcPr>
          <w:p>
            <w:pPr>
              <w:spacing w:after="0"/>
              <w:rPr>
                <w:sz w:val="20"/>
                <w:szCs w:val="20"/>
                <w:color w:val="auto"/>
              </w:rPr>
            </w:pPr>
            <w:r>
              <w:rPr>
                <w:rFonts w:ascii="Arial" w:cs="Arial" w:eastAsia="Arial" w:hAnsi="Arial"/>
                <w:sz w:val="22"/>
                <w:szCs w:val="22"/>
                <w:color w:val="auto"/>
                <w:highlight w:val="white"/>
              </w:rPr>
              <w:t>SECTION 11.11.   Survival of Representations and Warranties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143</w:t>
            </w:r>
          </w:p>
        </w:tc>
      </w:tr>
      <w:tr>
        <w:trPr>
          <w:trHeight w:val="351"/>
        </w:trPr>
        <w:tc>
          <w:tcPr>
            <w:tcW w:w="1640" w:type="dxa"/>
            <w:vAlign w:val="bottom"/>
          </w:tcPr>
          <w:p>
            <w:pPr>
              <w:spacing w:after="0"/>
              <w:rPr>
                <w:sz w:val="20"/>
                <w:szCs w:val="20"/>
                <w:color w:val="auto"/>
              </w:rPr>
            </w:pPr>
            <w:r>
              <w:rPr>
                <w:rFonts w:ascii="Arial" w:cs="Arial" w:eastAsia="Arial" w:hAnsi="Arial"/>
                <w:sz w:val="22"/>
                <w:szCs w:val="22"/>
                <w:color w:val="auto"/>
                <w:highlight w:val="white"/>
                <w:w w:val="98"/>
              </w:rPr>
              <w:t>SECTION 11.12.</w:t>
            </w:r>
          </w:p>
        </w:tc>
        <w:tc>
          <w:tcPr>
            <w:tcW w:w="5200" w:type="dxa"/>
            <w:vAlign w:val="bottom"/>
          </w:tcPr>
          <w:p>
            <w:pPr>
              <w:ind w:left="180"/>
              <w:spacing w:after="0"/>
              <w:rPr>
                <w:sz w:val="20"/>
                <w:szCs w:val="20"/>
                <w:color w:val="auto"/>
              </w:rPr>
            </w:pPr>
            <w:r>
              <w:rPr>
                <w:rFonts w:ascii="Arial" w:cs="Arial" w:eastAsia="Arial" w:hAnsi="Arial"/>
                <w:sz w:val="22"/>
                <w:szCs w:val="22"/>
                <w:color w:val="auto"/>
                <w:highlight w:val="white"/>
              </w:rPr>
              <w:t>Severability</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143</w:t>
            </w:r>
          </w:p>
        </w:tc>
      </w:tr>
      <w:tr>
        <w:trPr>
          <w:trHeight w:val="338"/>
        </w:trPr>
        <w:tc>
          <w:tcPr>
            <w:tcW w:w="6840" w:type="dxa"/>
            <w:vAlign w:val="bottom"/>
            <w:gridSpan w:val="2"/>
          </w:tcPr>
          <w:p>
            <w:pPr>
              <w:spacing w:after="0"/>
              <w:rPr>
                <w:sz w:val="20"/>
                <w:szCs w:val="20"/>
                <w:color w:val="auto"/>
              </w:rPr>
            </w:pPr>
            <w:r>
              <w:rPr>
                <w:rFonts w:ascii="Arial" w:cs="Arial" w:eastAsia="Arial" w:hAnsi="Arial"/>
                <w:sz w:val="22"/>
                <w:szCs w:val="22"/>
                <w:color w:val="auto"/>
                <w:highlight w:val="white"/>
              </w:rPr>
              <w:t>SECTION 11.13.   Replacement of Lenders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143</w:t>
            </w:r>
          </w:p>
        </w:tc>
      </w:tr>
      <w:tr>
        <w:trPr>
          <w:trHeight w:val="351"/>
        </w:trPr>
        <w:tc>
          <w:tcPr>
            <w:tcW w:w="6840" w:type="dxa"/>
            <w:vAlign w:val="bottom"/>
            <w:gridSpan w:val="2"/>
          </w:tcPr>
          <w:p>
            <w:pPr>
              <w:spacing w:after="0"/>
              <w:rPr>
                <w:sz w:val="20"/>
                <w:szCs w:val="20"/>
                <w:color w:val="auto"/>
              </w:rPr>
            </w:pPr>
            <w:r>
              <w:rPr>
                <w:rFonts w:ascii="Arial" w:cs="Arial" w:eastAsia="Arial" w:hAnsi="Arial"/>
                <w:sz w:val="22"/>
                <w:szCs w:val="22"/>
                <w:color w:val="auto"/>
                <w:highlight w:val="white"/>
              </w:rPr>
              <w:t>SECTION 11.14.   Governing Law; Jurisdiction; Etc</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144</w:t>
            </w:r>
          </w:p>
        </w:tc>
      </w:tr>
      <w:tr>
        <w:trPr>
          <w:trHeight w:val="351"/>
        </w:trPr>
        <w:tc>
          <w:tcPr>
            <w:tcW w:w="6840" w:type="dxa"/>
            <w:vAlign w:val="bottom"/>
            <w:gridSpan w:val="2"/>
          </w:tcPr>
          <w:p>
            <w:pPr>
              <w:spacing w:after="0"/>
              <w:rPr>
                <w:sz w:val="20"/>
                <w:szCs w:val="20"/>
                <w:color w:val="auto"/>
              </w:rPr>
            </w:pPr>
            <w:r>
              <w:rPr>
                <w:rFonts w:ascii="Arial" w:cs="Arial" w:eastAsia="Arial" w:hAnsi="Arial"/>
                <w:sz w:val="22"/>
                <w:szCs w:val="22"/>
                <w:color w:val="auto"/>
                <w:highlight w:val="white"/>
              </w:rPr>
              <w:t>SECTION 11.15.   WAIVER OF JURY TRIAL</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145</w:t>
            </w:r>
          </w:p>
        </w:tc>
      </w:tr>
      <w:tr>
        <w:trPr>
          <w:trHeight w:val="337"/>
        </w:trPr>
        <w:tc>
          <w:tcPr>
            <w:tcW w:w="1640" w:type="dxa"/>
            <w:vAlign w:val="bottom"/>
          </w:tcPr>
          <w:p>
            <w:pPr>
              <w:spacing w:after="0"/>
              <w:rPr>
                <w:sz w:val="20"/>
                <w:szCs w:val="20"/>
                <w:color w:val="auto"/>
              </w:rPr>
            </w:pPr>
            <w:r>
              <w:rPr>
                <w:rFonts w:ascii="Arial" w:cs="Arial" w:eastAsia="Arial" w:hAnsi="Arial"/>
                <w:sz w:val="22"/>
                <w:szCs w:val="22"/>
                <w:color w:val="auto"/>
                <w:highlight w:val="white"/>
                <w:w w:val="98"/>
              </w:rPr>
              <w:t>SECTION 11.16.</w:t>
            </w:r>
          </w:p>
        </w:tc>
        <w:tc>
          <w:tcPr>
            <w:tcW w:w="5200" w:type="dxa"/>
            <w:vAlign w:val="bottom"/>
          </w:tcPr>
          <w:p>
            <w:pPr>
              <w:ind w:left="180"/>
              <w:spacing w:after="0"/>
              <w:rPr>
                <w:sz w:val="20"/>
                <w:szCs w:val="20"/>
                <w:color w:val="auto"/>
              </w:rPr>
            </w:pPr>
            <w:r>
              <w:rPr>
                <w:rFonts w:ascii="Arial" w:cs="Arial" w:eastAsia="Arial" w:hAnsi="Arial"/>
                <w:sz w:val="22"/>
                <w:szCs w:val="22"/>
                <w:color w:val="auto"/>
                <w:highlight w:val="white"/>
              </w:rPr>
              <w:t>USA PATRIOT Act</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146</w:t>
            </w:r>
          </w:p>
        </w:tc>
      </w:tr>
      <w:tr>
        <w:trPr>
          <w:trHeight w:val="351"/>
        </w:trPr>
        <w:tc>
          <w:tcPr>
            <w:tcW w:w="1640" w:type="dxa"/>
            <w:vAlign w:val="bottom"/>
          </w:tcPr>
          <w:p>
            <w:pPr>
              <w:spacing w:after="0"/>
              <w:rPr>
                <w:sz w:val="20"/>
                <w:szCs w:val="20"/>
                <w:color w:val="auto"/>
              </w:rPr>
            </w:pPr>
            <w:r>
              <w:rPr>
                <w:rFonts w:ascii="Arial" w:cs="Arial" w:eastAsia="Arial" w:hAnsi="Arial"/>
                <w:sz w:val="22"/>
                <w:szCs w:val="22"/>
                <w:color w:val="auto"/>
                <w:highlight w:val="white"/>
                <w:w w:val="98"/>
              </w:rPr>
              <w:t>SECTION 11.17.</w:t>
            </w:r>
          </w:p>
        </w:tc>
        <w:tc>
          <w:tcPr>
            <w:tcW w:w="5200" w:type="dxa"/>
            <w:vAlign w:val="bottom"/>
          </w:tcPr>
          <w:p>
            <w:pPr>
              <w:ind w:left="180"/>
              <w:spacing w:after="0"/>
              <w:rPr>
                <w:sz w:val="20"/>
                <w:szCs w:val="20"/>
                <w:color w:val="auto"/>
              </w:rPr>
            </w:pPr>
            <w:r>
              <w:rPr>
                <w:rFonts w:ascii="Arial" w:cs="Arial" w:eastAsia="Arial" w:hAnsi="Arial"/>
                <w:sz w:val="22"/>
                <w:szCs w:val="22"/>
                <w:color w:val="auto"/>
                <w:highlight w:val="white"/>
              </w:rPr>
              <w:t>Judgment Currency</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146</w:t>
            </w:r>
          </w:p>
        </w:tc>
      </w:tr>
      <w:tr>
        <w:trPr>
          <w:trHeight w:val="351"/>
        </w:trPr>
        <w:tc>
          <w:tcPr>
            <w:tcW w:w="6840" w:type="dxa"/>
            <w:vAlign w:val="bottom"/>
            <w:gridSpan w:val="2"/>
          </w:tcPr>
          <w:p>
            <w:pPr>
              <w:spacing w:after="0"/>
              <w:rPr>
                <w:sz w:val="20"/>
                <w:szCs w:val="20"/>
                <w:color w:val="auto"/>
              </w:rPr>
            </w:pPr>
            <w:r>
              <w:rPr>
                <w:rFonts w:ascii="Arial" w:cs="Arial" w:eastAsia="Arial" w:hAnsi="Arial"/>
                <w:sz w:val="22"/>
                <w:szCs w:val="22"/>
                <w:color w:val="auto"/>
                <w:highlight w:val="white"/>
              </w:rPr>
              <w:t>SECTION 11.18.   No Advisory or Fiduciary Responsibility</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146</w:t>
            </w:r>
          </w:p>
        </w:tc>
      </w:tr>
      <w:tr>
        <w:trPr>
          <w:trHeight w:val="320"/>
        </w:trPr>
        <w:tc>
          <w:tcPr>
            <w:tcW w:w="7700" w:type="dxa"/>
            <w:vAlign w:val="bottom"/>
            <w:gridSpan w:val="3"/>
          </w:tcPr>
          <w:p>
            <w:pPr>
              <w:spacing w:after="0"/>
              <w:rPr>
                <w:sz w:val="20"/>
                <w:szCs w:val="20"/>
                <w:color w:val="auto"/>
              </w:rPr>
            </w:pPr>
            <w:r>
              <w:rPr>
                <w:rFonts w:ascii="Arial" w:cs="Arial" w:eastAsia="Arial" w:hAnsi="Arial"/>
                <w:sz w:val="22"/>
                <w:szCs w:val="22"/>
                <w:color w:val="auto"/>
                <w:w w:val="96"/>
              </w:rPr>
              <w:t>SECTION 11.19.   Acknowledgement and Consent of Bail-In of Affected Financial</w:t>
            </w:r>
          </w:p>
        </w:tc>
      </w:tr>
      <w:tr>
        <w:trPr>
          <w:trHeight w:val="274"/>
        </w:trPr>
        <w:tc>
          <w:tcPr>
            <w:tcW w:w="1640" w:type="dxa"/>
            <w:vAlign w:val="bottom"/>
          </w:tcPr>
          <w:p>
            <w:pPr>
              <w:spacing w:after="0"/>
              <w:rPr>
                <w:sz w:val="23"/>
                <w:szCs w:val="23"/>
                <w:color w:val="auto"/>
              </w:rPr>
            </w:pPr>
          </w:p>
        </w:tc>
        <w:tc>
          <w:tcPr>
            <w:tcW w:w="5200" w:type="dxa"/>
            <w:vAlign w:val="bottom"/>
          </w:tcPr>
          <w:p>
            <w:pPr>
              <w:ind w:left="140"/>
              <w:spacing w:after="0"/>
              <w:rPr>
                <w:sz w:val="20"/>
                <w:szCs w:val="20"/>
                <w:color w:val="auto"/>
              </w:rPr>
            </w:pPr>
            <w:r>
              <w:rPr>
                <w:rFonts w:ascii="Arial" w:cs="Arial" w:eastAsia="Arial" w:hAnsi="Arial"/>
                <w:sz w:val="22"/>
                <w:szCs w:val="22"/>
                <w:color w:val="auto"/>
                <w:highlight w:val="white"/>
              </w:rPr>
              <w:t>Institutions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147</w:t>
            </w:r>
          </w:p>
        </w:tc>
      </w:tr>
      <w:tr>
        <w:trPr>
          <w:trHeight w:val="351"/>
        </w:trPr>
        <w:tc>
          <w:tcPr>
            <w:tcW w:w="6840" w:type="dxa"/>
            <w:vAlign w:val="bottom"/>
            <w:gridSpan w:val="2"/>
          </w:tcPr>
          <w:p>
            <w:pPr>
              <w:spacing w:after="0"/>
              <w:rPr>
                <w:sz w:val="20"/>
                <w:szCs w:val="20"/>
                <w:color w:val="auto"/>
              </w:rPr>
            </w:pPr>
            <w:r>
              <w:rPr>
                <w:rFonts w:ascii="Arial" w:cs="Arial" w:eastAsia="Arial" w:hAnsi="Arial"/>
                <w:sz w:val="22"/>
                <w:szCs w:val="22"/>
                <w:color w:val="auto"/>
                <w:highlight w:val="white"/>
                <w:w w:val="99"/>
              </w:rPr>
              <w:t>SECTION 11.20.   Acknowledgement Regarding Any Supported QFCs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-2192020</wp:posOffset>
            </wp:positionV>
            <wp:extent cx="3754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-1969135</wp:posOffset>
            </wp:positionV>
            <wp:extent cx="3754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-1754505</wp:posOffset>
            </wp:positionV>
            <wp:extent cx="3754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-1531620</wp:posOffset>
            </wp:positionV>
            <wp:extent cx="3754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-1308735</wp:posOffset>
            </wp:positionV>
            <wp:extent cx="3754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-1094740</wp:posOffset>
            </wp:positionV>
            <wp:extent cx="3754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-871855</wp:posOffset>
            </wp:positionV>
            <wp:extent cx="3754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-657225</wp:posOffset>
            </wp:positionV>
            <wp:extent cx="3754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-271780</wp:posOffset>
            </wp:positionV>
            <wp:extent cx="3754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-48895</wp:posOffset>
            </wp:positionV>
            <wp:extent cx="3754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498919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89195"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4" w:name="page105"/>
    <w:bookmarkEnd w:id="104"/>
    <w:p>
      <w:pPr>
        <w:ind w:left="540"/>
        <w:spacing w:after="0"/>
        <w:rPr>
          <w:sz w:val="20"/>
          <w:szCs w:val="20"/>
          <w:color w:val="auto"/>
        </w:rPr>
      </w:pPr>
      <w:r>
        <w:rPr>
          <w:rFonts w:ascii="Arial" w:cs="Arial" w:eastAsia="Arial" w:hAnsi="Arial"/>
          <w:sz w:val="22"/>
          <w:szCs w:val="22"/>
          <w:color w:val="auto"/>
        </w:rPr>
        <w:t>SCHEDULES</w:t>
      </w:r>
    </w:p>
    <w:p>
      <w:pPr>
        <w:spacing w:after="0" w:line="220"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Commitments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2.04(a) Letter of Credit Commitments</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2.04(b) Existing Letters of Credit</w:t>
      </w:r>
    </w:p>
    <w:p>
      <w:pPr>
        <w:spacing w:after="0" w:line="26"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5.06</w:t>
      </w:r>
      <w:r>
        <w:rPr>
          <w:sz w:val="20"/>
          <w:szCs w:val="20"/>
          <w:color w:val="auto"/>
        </w:rPr>
        <w:tab/>
      </w:r>
      <w:r>
        <w:rPr>
          <w:rFonts w:ascii="Arial" w:cs="Arial" w:eastAsia="Arial" w:hAnsi="Arial"/>
          <w:sz w:val="21"/>
          <w:szCs w:val="21"/>
          <w:color w:val="auto"/>
        </w:rPr>
        <w:t>Litigation</w:t>
      </w:r>
    </w:p>
    <w:p>
      <w:pPr>
        <w:spacing w:after="0" w:line="31"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Existing Liens</w:t>
      </w:r>
    </w:p>
    <w:p>
      <w:pPr>
        <w:spacing w:after="0" w:line="21"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color w:val="auto"/>
        </w:rPr>
        <w:t>Existing Non-Subsidiary Guarantor Indebtedness</w:t>
      </w:r>
    </w:p>
    <w:p>
      <w:pPr>
        <w:spacing w:after="0" w:line="26"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color w:val="auto"/>
        </w:rPr>
        <w:t>Certain Addresses for Notices</w:t>
      </w:r>
    </w:p>
    <w:p>
      <w:pPr>
        <w:spacing w:after="0" w:line="30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Form of</w:t>
      </w:r>
    </w:p>
    <w:p>
      <w:pPr>
        <w:spacing w:after="0" w:line="206" w:lineRule="exact"/>
        <w:rPr>
          <w:sz w:val="20"/>
          <w:szCs w:val="20"/>
          <w:color w:val="auto"/>
        </w:rPr>
      </w:pPr>
    </w:p>
    <w:p>
      <w:pPr>
        <w:ind w:left="520" w:right="5339" w:firstLine="7"/>
        <w:spacing w:after="0" w:line="268" w:lineRule="auto"/>
        <w:tabs>
          <w:tab w:leader="none" w:pos="1181" w:val="left"/>
        </w:tabs>
        <w:numPr>
          <w:ilvl w:val="0"/>
          <w:numId w:val="45"/>
        </w:numPr>
        <w:rPr>
          <w:rFonts w:ascii="Arial" w:cs="Arial" w:eastAsia="Arial" w:hAnsi="Arial"/>
          <w:sz w:val="22"/>
          <w:szCs w:val="22"/>
          <w:color w:val="auto"/>
        </w:rPr>
      </w:pPr>
      <w:r>
        <w:rPr>
          <w:rFonts w:ascii="Arial" w:cs="Arial" w:eastAsia="Arial" w:hAnsi="Arial"/>
          <w:sz w:val="22"/>
          <w:szCs w:val="22"/>
          <w:color w:val="auto"/>
        </w:rPr>
        <w:t>Assignment and Assumption B-1 Bid Request</w:t>
      </w:r>
    </w:p>
    <w:p>
      <w:pPr>
        <w:spacing w:after="0" w:line="2"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22"/>
          <w:szCs w:val="22"/>
          <w:color w:val="auto"/>
        </w:rPr>
        <w:t>B-2   Competitive Bid</w:t>
      </w:r>
    </w:p>
    <w:p>
      <w:pPr>
        <w:spacing w:after="0" w:line="21"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22"/>
          <w:szCs w:val="22"/>
          <w:color w:val="auto"/>
        </w:rPr>
        <w:t>C</w:t>
      </w:r>
      <w:r>
        <w:rPr>
          <w:rFonts w:ascii="Arial" w:cs="Arial" w:eastAsia="Arial" w:hAnsi="Arial"/>
          <w:sz w:val="19"/>
          <w:szCs w:val="19"/>
          <w:color w:val="auto"/>
        </w:rPr>
        <w:t>Committed Loan Notice</w:t>
      </w:r>
    </w:p>
    <w:p>
      <w:pPr>
        <w:spacing w:after="0" w:line="26"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22"/>
          <w:szCs w:val="22"/>
          <w:color w:val="auto"/>
        </w:rPr>
        <w:t>D</w:t>
      </w:r>
      <w:r>
        <w:rPr>
          <w:rFonts w:ascii="Arial" w:cs="Arial" w:eastAsia="Arial" w:hAnsi="Arial"/>
          <w:sz w:val="19"/>
          <w:szCs w:val="19"/>
          <w:color w:val="auto"/>
        </w:rPr>
        <w:t>Compliance Certificate</w:t>
      </w:r>
    </w:p>
    <w:p>
      <w:pPr>
        <w:spacing w:after="0" w:line="31" w:lineRule="exact"/>
        <w:rPr>
          <w:sz w:val="20"/>
          <w:szCs w:val="20"/>
          <w:color w:val="auto"/>
        </w:rPr>
      </w:pPr>
    </w:p>
    <w:p>
      <w:pPr>
        <w:ind w:left="1180" w:hanging="653"/>
        <w:spacing w:after="0"/>
        <w:tabs>
          <w:tab w:leader="none" w:pos="11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Note</w:t>
      </w:r>
    </w:p>
    <w:p>
      <w:pPr>
        <w:spacing w:after="0" w:line="21" w:lineRule="exact"/>
        <w:rPr>
          <w:sz w:val="20"/>
          <w:szCs w:val="20"/>
          <w:color w:val="auto"/>
        </w:rPr>
      </w:pPr>
    </w:p>
    <w:p>
      <w:pPr>
        <w:ind w:left="1180" w:hanging="653"/>
        <w:spacing w:after="0"/>
        <w:tabs>
          <w:tab w:leader="none" w:pos="11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Prepayment Notice</w:t>
      </w:r>
    </w:p>
    <w:p>
      <w:pPr>
        <w:spacing w:after="0" w:line="26" w:lineRule="exact"/>
        <w:rPr>
          <w:sz w:val="20"/>
          <w:szCs w:val="20"/>
          <w:color w:val="auto"/>
        </w:rPr>
      </w:pPr>
    </w:p>
    <w:p>
      <w:pPr>
        <w:ind w:left="1180" w:hanging="653"/>
        <w:spacing w:after="0"/>
        <w:tabs>
          <w:tab w:leader="none" w:pos="11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Guarantor Counterpart Agreement</w:t>
      </w:r>
    </w:p>
    <w:p>
      <w:pPr>
        <w:spacing w:after="0" w:line="31" w:lineRule="exact"/>
        <w:rPr>
          <w:sz w:val="20"/>
          <w:szCs w:val="20"/>
          <w:color w:val="auto"/>
        </w:rPr>
      </w:pPr>
    </w:p>
    <w:p>
      <w:pPr>
        <w:ind w:left="520" w:right="879"/>
        <w:spacing w:after="0" w:line="260" w:lineRule="auto"/>
        <w:rPr>
          <w:sz w:val="20"/>
          <w:szCs w:val="20"/>
          <w:color w:val="auto"/>
        </w:rPr>
      </w:pPr>
      <w:r>
        <w:rPr>
          <w:rFonts w:ascii="Arial" w:cs="Arial" w:eastAsia="Arial" w:hAnsi="Arial"/>
          <w:sz w:val="22"/>
          <w:szCs w:val="22"/>
          <w:color w:val="auto"/>
        </w:rPr>
        <w:t>H-1 U.S. Tax Compliance Certificate (For Foreign Lenders that are not Partnerships) H-2 U.S. Tax Compliance Certificate (For Foreign Participants that are not Partnerships)</w:t>
      </w:r>
    </w:p>
    <w:p>
      <w:pPr>
        <w:spacing w:after="0" w:line="1"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H-3</w:t>
      </w:r>
      <w:r>
        <w:rPr>
          <w:sz w:val="20"/>
          <w:szCs w:val="20"/>
          <w:color w:val="auto"/>
        </w:rPr>
        <w:tab/>
      </w:r>
      <w:r>
        <w:rPr>
          <w:rFonts w:ascii="Arial" w:cs="Arial" w:eastAsia="Arial" w:hAnsi="Arial"/>
          <w:sz w:val="19"/>
          <w:szCs w:val="19"/>
          <w:color w:val="auto"/>
        </w:rPr>
        <w:t>U.S. Tax Compliance Certificate (For Foreign Participants that are Partnerships)</w:t>
      </w:r>
    </w:p>
    <w:p>
      <w:pPr>
        <w:spacing w:after="0" w:line="21"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22"/>
          <w:szCs w:val="22"/>
          <w:color w:val="auto"/>
        </w:rPr>
        <w:t>H-4</w:t>
      </w:r>
      <w:r>
        <w:rPr>
          <w:sz w:val="20"/>
          <w:szCs w:val="20"/>
          <w:color w:val="auto"/>
        </w:rPr>
        <w:tab/>
      </w:r>
      <w:r>
        <w:rPr>
          <w:rFonts w:ascii="Arial" w:cs="Arial" w:eastAsia="Arial" w:hAnsi="Arial"/>
          <w:sz w:val="19"/>
          <w:szCs w:val="19"/>
          <w:color w:val="auto"/>
        </w:rPr>
        <w:t>U.S. Tax Compliance Certificate (For Foreign Lenders that are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498919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89195"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5" w:name="page106"/>
    <w:bookmarkEnd w:id="105"/>
    <w:p>
      <w:pPr>
        <w:ind w:left="7400"/>
        <w:spacing w:after="0"/>
        <w:rPr>
          <w:sz w:val="20"/>
          <w:szCs w:val="20"/>
          <w:color w:val="auto"/>
        </w:rPr>
      </w:pPr>
      <w:r>
        <w:rPr>
          <w:rFonts w:ascii="Arial" w:cs="Arial" w:eastAsia="Arial" w:hAnsi="Arial"/>
          <w:sz w:val="21"/>
          <w:szCs w:val="21"/>
          <w:color w:val="auto"/>
        </w:rPr>
        <w:t>Exhibit 10.1</w:t>
      </w:r>
    </w:p>
    <w:p>
      <w:pPr>
        <w:spacing w:after="0" w:line="200" w:lineRule="exact"/>
        <w:rPr>
          <w:sz w:val="20"/>
          <w:szCs w:val="20"/>
          <w:color w:val="auto"/>
        </w:rPr>
      </w:pPr>
    </w:p>
    <w:p>
      <w:pPr>
        <w:spacing w:after="0" w:line="288"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1"/>
          <w:szCs w:val="21"/>
          <w:color w:val="auto"/>
        </w:rPr>
        <w:t>This REVOLVING LOAN CREDIT AND GUARANTY AGREEMENT (as amended, restated, supplemented or otherwise modified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August 18, 2021, among INCYTE CORPORATION, a Delaware corporation, the GUARANTORS party hereto, the LENDERS party hereto and JPMORGAN CHASE BANK, N.A., as Administrative Agent.</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In consideration of the mutual covenants and agreements herein contained, the parties hereto covenant and agree as follows: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 AND ACCOUNTING TERMS</w:t>
      </w:r>
    </w:p>
    <w:p>
      <w:pPr>
        <w:spacing w:after="0" w:line="220" w:lineRule="exact"/>
        <w:rPr>
          <w:sz w:val="20"/>
          <w:szCs w:val="20"/>
          <w:color w:val="auto"/>
        </w:rPr>
      </w:pPr>
    </w:p>
    <w:p>
      <w:pPr>
        <w:ind w:left="540" w:right="559"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the following terms will have the meanings set forth below:</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Absolute Rate</w:t>
      </w:r>
      <w:r>
        <w:rPr>
          <w:rFonts w:ascii="Arial" w:cs="Arial" w:eastAsia="Arial" w:hAnsi="Arial"/>
          <w:sz w:val="22"/>
          <w:szCs w:val="22"/>
          <w:color w:val="auto"/>
        </w:rPr>
        <w:t>” means a fixed rate of interest expressed in multiples of 1/100th of one basis point.</w:t>
      </w:r>
    </w:p>
    <w:p>
      <w:pPr>
        <w:spacing w:after="0" w:line="17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Absolute Rate Loan</w:t>
      </w:r>
      <w:r>
        <w:rPr>
          <w:rFonts w:ascii="Arial" w:cs="Arial" w:eastAsia="Arial" w:hAnsi="Arial"/>
          <w:sz w:val="22"/>
          <w:szCs w:val="22"/>
          <w:color w:val="auto"/>
        </w:rPr>
        <w:t>” means a Bid Loan that bears interest at a rate determined by reference to an Absolute Rate. Absolute Rate Loans may be denominated only in a Discretionary Alternative Currency.</w:t>
      </w:r>
    </w:p>
    <w:p>
      <w:pPr>
        <w:spacing w:after="0" w:line="185" w:lineRule="exact"/>
        <w:rPr>
          <w:sz w:val="20"/>
          <w:szCs w:val="20"/>
          <w:color w:val="auto"/>
        </w:rPr>
      </w:pPr>
    </w:p>
    <w:p>
      <w:pPr>
        <w:jc w:val="both"/>
        <w:ind w:left="540" w:right="479" w:firstLine="635"/>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acquisition (in a single acquisition or series of related acquisitions) of (a) assets comprising all or substantially all of the assets of any Person, or of all or substantially all or any significant portion of a business or operating unit of a business, division, product line (including rights in respect of any drug candidate, drug or other pharmaceutical product) or line of business of any Person, or (b) Equity Interests of a Person if, as a result thereof, such Person becomes a Subsidiary.</w:t>
      </w:r>
    </w:p>
    <w:p>
      <w:pPr>
        <w:spacing w:after="0" w:line="149" w:lineRule="exact"/>
        <w:rPr>
          <w:sz w:val="20"/>
          <w:szCs w:val="20"/>
          <w:color w:val="auto"/>
        </w:rPr>
      </w:pPr>
    </w:p>
    <w:p>
      <w:pPr>
        <w:jc w:val="both"/>
        <w:ind w:left="540" w:right="479" w:firstLine="635"/>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Indebtedness</w:t>
      </w:r>
      <w:r>
        <w:rPr>
          <w:rFonts w:ascii="Arial" w:cs="Arial" w:eastAsia="Arial" w:hAnsi="Arial"/>
          <w:sz w:val="19"/>
          <w:szCs w:val="19"/>
          <w:color w:val="auto"/>
        </w:rPr>
        <w:t xml:space="preserve">” means any Indebtedness of the Borrower or any of its Subsidiaries that has been issued for the purpose of financing, in whole or in part, an Acquisition and any related transactions (including for the purpose of refinancing or replacing all or a portion of any related bridge facilities or any pre-existing Indebtedness of the Person or assets to be acquired);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release of the proceeds thereof to Borrower and its Subsidiaries is contingent upon the substantially simultaneous consummation of such Acquisition (and, if the definitive agreement for such Acquisition is terminated in accordance with its terms prior to the consummation of such Acquisition or if such Acquisition is otherwise not consummated by the date specified in the definitive documentation relating to such Indebtedness, such proceeds shall be promptly applied to satisfy and discharge all obligations of the Borrower and its Subsidiaries in respect of such Indebtedness) or (b) such Indebtedness contains a “special mandatory redemption” provision (or other similar provision) if such Acquisition is not consummated by the date specified in the definitive documentation relating to such Indebtedness (and if the definitive agreement for such Acquisition is terminated in accordance with its terms prior to the consummation of such Acquisition or such Acquisition is otherwise not consummated by the date specified in the definitive documentation relating to such Indebtedness,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478790</wp:posOffset>
            </wp:positionV>
            <wp:extent cx="506603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06" w:name="page107"/>
    <w:bookmarkEnd w:id="106"/>
    <w:p>
      <w:pPr>
        <w:jc w:val="both"/>
        <w:ind w:left="540" w:right="479"/>
        <w:spacing w:after="0" w:line="263" w:lineRule="auto"/>
        <w:rPr>
          <w:sz w:val="20"/>
          <w:szCs w:val="20"/>
          <w:color w:val="auto"/>
        </w:rPr>
      </w:pPr>
      <w:r>
        <w:rPr>
          <w:rFonts w:ascii="Arial" w:cs="Arial" w:eastAsia="Arial" w:hAnsi="Arial"/>
          <w:sz w:val="22"/>
          <w:szCs w:val="22"/>
          <w:color w:val="auto"/>
        </w:rPr>
        <w:t>Indebtedness is so redeemed within 90 days of such termination or such specified date, as the case may be).</w:t>
      </w:r>
    </w:p>
    <w:p>
      <w:pPr>
        <w:spacing w:after="0" w:line="175" w:lineRule="exact"/>
        <w:rPr>
          <w:sz w:val="20"/>
          <w:szCs w:val="20"/>
          <w:color w:val="auto"/>
        </w:rPr>
      </w:pPr>
    </w:p>
    <w:p>
      <w:pPr>
        <w:jc w:val="both"/>
        <w:ind w:left="540" w:right="479" w:firstLine="63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 Rate</w:t>
      </w:r>
      <w:r>
        <w:rPr>
          <w:rFonts w:ascii="Arial" w:cs="Arial" w:eastAsia="Arial" w:hAnsi="Arial"/>
          <w:sz w:val="19"/>
          <w:szCs w:val="19"/>
          <w:color w:val="auto"/>
        </w:rPr>
        <w:t>” means, with respect to any Eurocurrency Rate Borrowing denominated in US Dollars for any Interest Period, an interest rate per annum (rounded upwards, if necessary, to the next 1/100 of 1%) equal to (a) the Eurocurrency Rate for US Dollars for such Interest Period multiplied by (b) the Statutory Reserve Rate.</w:t>
      </w:r>
    </w:p>
    <w:p>
      <w:pPr>
        <w:spacing w:after="0" w:line="142" w:lineRule="exact"/>
        <w:rPr>
          <w:sz w:val="20"/>
          <w:szCs w:val="20"/>
          <w:color w:val="auto"/>
        </w:rPr>
      </w:pPr>
    </w:p>
    <w:p>
      <w:pPr>
        <w:jc w:val="both"/>
        <w:ind w:left="540" w:right="479" w:firstLine="635"/>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JPMCB, in its capacity as administrative agent under the Loan Documents, or any successor administrative agent. Unless the context requires otherwise, the term “Administrative Agent” shall include any Affiliate of JPMCB through which JPMCB shall perform any of its obligations in such capacity under the Loan Documents.</w:t>
      </w:r>
    </w:p>
    <w:p>
      <w:pPr>
        <w:spacing w:after="0" w:line="192"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customary form supplied by the Administrative Agent.</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17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Agent-Related Person</w:t>
      </w:r>
      <w:r>
        <w:rPr>
          <w:rFonts w:ascii="Arial" w:cs="Arial" w:eastAsia="Arial" w:hAnsi="Arial"/>
          <w:sz w:val="19"/>
          <w:szCs w:val="19"/>
          <w:color w:val="auto"/>
        </w:rPr>
        <w:t>” has the meaning assigned to such term in Section 11.04(c).</w:t>
      </w:r>
    </w:p>
    <w:p>
      <w:pPr>
        <w:spacing w:after="0" w:line="254"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Commitments</w:t>
      </w:r>
      <w:r>
        <w:rPr>
          <w:rFonts w:ascii="Arial" w:cs="Arial" w:eastAsia="Arial" w:hAnsi="Arial"/>
          <w:sz w:val="19"/>
          <w:szCs w:val="19"/>
          <w:color w:val="auto"/>
        </w:rPr>
        <w:t>” means the aggregate amount of the Commitments of all the Lenders. As of the Effective Date, the Aggregate Commitments are $500,000,000.</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in the preamble hereto.</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11.17</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xml:space="preserve">” means each currency (other than US Dollars) that is approved in accordance with </w:t>
      </w:r>
      <w:r>
        <w:rPr>
          <w:rFonts w:ascii="Arial" w:cs="Arial" w:eastAsia="Arial" w:hAnsi="Arial"/>
          <w:sz w:val="22"/>
          <w:szCs w:val="22"/>
          <w:u w:val="single" w:color="auto"/>
          <w:color w:val="auto"/>
        </w:rPr>
        <w:t>Section 1.05</w:t>
      </w:r>
      <w:r>
        <w:rPr>
          <w:rFonts w:ascii="Arial" w:cs="Arial" w:eastAsia="Arial" w:hAnsi="Arial"/>
          <w:sz w:val="22"/>
          <w:szCs w:val="22"/>
          <w:color w:val="auto"/>
        </w:rPr>
        <w:t>. Loans denominated in an Alternative Currency may only be Eurocurrency Rate Loans.</w:t>
      </w:r>
    </w:p>
    <w:p>
      <w:pPr>
        <w:spacing w:after="0" w:line="18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Sublimit</w:t>
      </w:r>
      <w:r>
        <w:rPr>
          <w:rFonts w:ascii="Arial" w:cs="Arial" w:eastAsia="Arial" w:hAnsi="Arial"/>
          <w:sz w:val="22"/>
          <w:szCs w:val="22"/>
          <w:color w:val="auto"/>
        </w:rPr>
        <w:t>” means an amount equal to the lesser of the Aggregate Commitments and $25,000,000. The Alternative Currency Sublimit is part of, and not in addition to, the Aggregate Commitments.</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shall mean all laws, rules, and regulations of any jurisdiction applicable to Borrower or its Subsidiaries from time to time concerning or relating to bribery or corruption.</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Party</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10.03(c)</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07" w:name="page108"/>
    <w:bookmarkEnd w:id="107"/>
    <w:p>
      <w:pPr>
        <w:jc w:val="both"/>
        <w:ind w:left="540" w:right="479" w:firstLine="635"/>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xml:space="preserve">” means, subject to </w:t>
      </w:r>
      <w:r>
        <w:rPr>
          <w:rFonts w:ascii="Arial" w:cs="Arial" w:eastAsia="Arial" w:hAnsi="Arial"/>
          <w:sz w:val="22"/>
          <w:szCs w:val="22"/>
          <w:u w:val="single" w:color="auto"/>
          <w:color w:val="auto"/>
        </w:rPr>
        <w:t>Section 2.16(a)(iv)</w:t>
      </w:r>
      <w:r>
        <w:rPr>
          <w:rFonts w:ascii="Arial" w:cs="Arial" w:eastAsia="Arial" w:hAnsi="Arial"/>
          <w:sz w:val="22"/>
          <w:szCs w:val="22"/>
          <w:color w:val="auto"/>
        </w:rPr>
        <w:t>, with respect to any Lender at any time, the percentage (carried out to the ninth decimal place) of the Aggregate Commitments represented by such Lender’s Commitment at such time. If all the Commitments have terminated, then the Applicable Percentage of each Lender will be determined based on the Commitments of the Lenders most recently in effect, giving effect to any assignments and to any Lender’s status as a Defaulting Lender at the time of determination.</w:t>
      </w:r>
    </w:p>
    <w:p>
      <w:pPr>
        <w:spacing w:after="0" w:line="196"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means, for any day with respect to Unused Commitment Fees, Letter of Credit Fees, Eurocurrency Rate Loans and Base Rate Loans, the percentages per annum specified in the applicable column below, based upon the Consolidated Leverage Ratio:</w:t>
      </w:r>
    </w:p>
    <w:p>
      <w:pPr>
        <w:spacing w:after="0" w:line="176" w:lineRule="exact"/>
        <w:rPr>
          <w:sz w:val="20"/>
          <w:szCs w:val="20"/>
          <w:color w:val="auto"/>
        </w:rPr>
      </w:pPr>
    </w:p>
    <w:tbl>
      <w:tblPr>
        <w:tblLayout w:type="fixed"/>
        <w:tblInd w:w="350" w:type="dxa"/>
        <w:tblCellMar>
          <w:top w:w="0" w:type="dxa"/>
          <w:left w:w="0" w:type="dxa"/>
          <w:bottom w:w="0" w:type="dxa"/>
          <w:right w:w="0" w:type="dxa"/>
        </w:tblCellMar>
      </w:tblPr>
      <w:tr>
        <w:trPr>
          <w:trHeight w:val="351"/>
        </w:trPr>
        <w:tc>
          <w:tcPr>
            <w:tcW w:w="1080" w:type="dxa"/>
            <w:vAlign w:val="bottom"/>
            <w:tcBorders>
              <w:top w:val="single" w:sz="8" w:color="auto"/>
              <w:left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Consolidated</w:t>
            </w:r>
          </w:p>
        </w:tc>
        <w:tc>
          <w:tcPr>
            <w:tcW w:w="14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2"/>
                <w:szCs w:val="22"/>
                <w:b w:val="1"/>
                <w:bCs w:val="1"/>
                <w:color w:val="auto"/>
              </w:rPr>
              <w:t>Unused</w:t>
            </w:r>
          </w:p>
        </w:tc>
        <w:tc>
          <w:tcPr>
            <w:tcW w:w="144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r>
      <w:tr>
        <w:trPr>
          <w:trHeight w:val="27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Pricing</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Leverage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Commitment</w:t>
            </w:r>
          </w:p>
        </w:tc>
        <w:tc>
          <w:tcPr>
            <w:tcW w:w="1440" w:type="dxa"/>
            <w:vAlign w:val="bottom"/>
            <w:tcBorders>
              <w:right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Letter of</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22"/>
                <w:szCs w:val="22"/>
                <w:b w:val="1"/>
                <w:bCs w:val="1"/>
                <w:color w:val="auto"/>
                <w:w w:val="96"/>
              </w:rPr>
              <w:t>Eurocurrency</w:t>
            </w:r>
          </w:p>
        </w:tc>
        <w:tc>
          <w:tcPr>
            <w:tcW w:w="14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Base Rate</w:t>
            </w:r>
          </w:p>
        </w:tc>
      </w:tr>
      <w:tr>
        <w:trPr>
          <w:trHeight w:val="280"/>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Level</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Ratio</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3"/>
              </w:rPr>
              <w:t>Fees</w:t>
            </w:r>
          </w:p>
        </w:tc>
        <w:tc>
          <w:tcPr>
            <w:tcW w:w="1440" w:type="dxa"/>
            <w:vAlign w:val="bottom"/>
            <w:tcBorders>
              <w:right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Credit Fees</w:t>
            </w:r>
          </w:p>
        </w:tc>
        <w:tc>
          <w:tcPr>
            <w:tcW w:w="1480" w:type="dxa"/>
            <w:vAlign w:val="bottom"/>
            <w:tcBorders>
              <w:right w:val="single" w:sz="8" w:color="auto"/>
            </w:tcBorders>
          </w:tcPr>
          <w:p>
            <w:pPr>
              <w:jc w:val="right"/>
              <w:ind w:right="92"/>
              <w:spacing w:after="0"/>
              <w:rPr>
                <w:sz w:val="20"/>
                <w:szCs w:val="20"/>
                <w:color w:val="auto"/>
              </w:rPr>
            </w:pPr>
            <w:r>
              <w:rPr>
                <w:rFonts w:ascii="Arial" w:cs="Arial" w:eastAsia="Arial" w:hAnsi="Arial"/>
                <w:sz w:val="22"/>
                <w:szCs w:val="22"/>
                <w:b w:val="1"/>
                <w:bCs w:val="1"/>
                <w:color w:val="auto"/>
              </w:rPr>
              <w:t>Rate Loans</w:t>
            </w:r>
          </w:p>
        </w:tc>
        <w:tc>
          <w:tcPr>
            <w:tcW w:w="1440" w:type="dxa"/>
            <w:vAlign w:val="bottom"/>
            <w:tcBorders>
              <w:right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Loans</w:t>
            </w:r>
          </w:p>
        </w:tc>
      </w:tr>
      <w:tr>
        <w:trPr>
          <w:trHeight w:val="58"/>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33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Less than or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0.150%</w:t>
            </w:r>
          </w:p>
        </w:tc>
        <w:tc>
          <w:tcPr>
            <w:tcW w:w="1440" w:type="dxa"/>
            <w:vAlign w:val="bottom"/>
            <w:tcBorders>
              <w:right w:val="single" w:sz="8" w:color="auto"/>
            </w:tcBorders>
          </w:tcPr>
          <w:p>
            <w:pPr>
              <w:jc w:val="right"/>
              <w:ind w:right="312"/>
              <w:spacing w:after="0"/>
              <w:rPr>
                <w:sz w:val="20"/>
                <w:szCs w:val="20"/>
                <w:color w:val="auto"/>
              </w:rPr>
            </w:pPr>
            <w:r>
              <w:rPr>
                <w:rFonts w:ascii="Arial" w:cs="Arial" w:eastAsia="Arial" w:hAnsi="Arial"/>
                <w:sz w:val="22"/>
                <w:szCs w:val="22"/>
                <w:color w:val="auto"/>
              </w:rPr>
              <w:t>1.125%</w:t>
            </w:r>
          </w:p>
        </w:tc>
        <w:tc>
          <w:tcPr>
            <w:tcW w:w="1480" w:type="dxa"/>
            <w:vAlign w:val="bottom"/>
            <w:tcBorders>
              <w:right w:val="single" w:sz="8" w:color="auto"/>
            </w:tcBorders>
          </w:tcPr>
          <w:p>
            <w:pPr>
              <w:jc w:val="right"/>
              <w:ind w:right="332"/>
              <w:spacing w:after="0"/>
              <w:rPr>
                <w:sz w:val="20"/>
                <w:szCs w:val="20"/>
                <w:color w:val="auto"/>
              </w:rPr>
            </w:pPr>
            <w:r>
              <w:rPr>
                <w:rFonts w:ascii="Arial" w:cs="Arial" w:eastAsia="Arial" w:hAnsi="Arial"/>
                <w:sz w:val="22"/>
                <w:szCs w:val="22"/>
                <w:color w:val="auto"/>
              </w:rPr>
              <w:t>1.125%</w:t>
            </w:r>
          </w:p>
        </w:tc>
        <w:tc>
          <w:tcPr>
            <w:tcW w:w="1440" w:type="dxa"/>
            <w:vAlign w:val="bottom"/>
            <w:tcBorders>
              <w:right w:val="single" w:sz="8" w:color="auto"/>
            </w:tcBorders>
          </w:tcPr>
          <w:p>
            <w:pPr>
              <w:jc w:val="right"/>
              <w:ind w:right="292"/>
              <w:spacing w:after="0"/>
              <w:rPr>
                <w:sz w:val="20"/>
                <w:szCs w:val="20"/>
                <w:color w:val="auto"/>
              </w:rPr>
            </w:pPr>
            <w:r>
              <w:rPr>
                <w:rFonts w:ascii="Arial" w:cs="Arial" w:eastAsia="Arial" w:hAnsi="Arial"/>
                <w:sz w:val="22"/>
                <w:szCs w:val="22"/>
                <w:color w:val="auto"/>
              </w:rPr>
              <w:t>0.125%</w:t>
            </w: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equal 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4"/>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57"/>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33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II</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5"/>
              </w:rPr>
              <w:t>Greater than</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0.175%</w:t>
            </w:r>
          </w:p>
        </w:tc>
        <w:tc>
          <w:tcPr>
            <w:tcW w:w="1440" w:type="dxa"/>
            <w:vAlign w:val="bottom"/>
            <w:tcBorders>
              <w:right w:val="single" w:sz="8" w:color="auto"/>
            </w:tcBorders>
          </w:tcPr>
          <w:p>
            <w:pPr>
              <w:jc w:val="right"/>
              <w:ind w:right="312"/>
              <w:spacing w:after="0"/>
              <w:rPr>
                <w:sz w:val="20"/>
                <w:szCs w:val="20"/>
                <w:color w:val="auto"/>
              </w:rPr>
            </w:pPr>
            <w:r>
              <w:rPr>
                <w:rFonts w:ascii="Arial" w:cs="Arial" w:eastAsia="Arial" w:hAnsi="Arial"/>
                <w:sz w:val="22"/>
                <w:szCs w:val="22"/>
                <w:color w:val="auto"/>
              </w:rPr>
              <w:t>1.375%</w:t>
            </w:r>
          </w:p>
        </w:tc>
        <w:tc>
          <w:tcPr>
            <w:tcW w:w="1480" w:type="dxa"/>
            <w:vAlign w:val="bottom"/>
            <w:tcBorders>
              <w:right w:val="single" w:sz="8" w:color="auto"/>
            </w:tcBorders>
          </w:tcPr>
          <w:p>
            <w:pPr>
              <w:jc w:val="right"/>
              <w:ind w:right="332"/>
              <w:spacing w:after="0"/>
              <w:rPr>
                <w:sz w:val="20"/>
                <w:szCs w:val="20"/>
                <w:color w:val="auto"/>
              </w:rPr>
            </w:pPr>
            <w:r>
              <w:rPr>
                <w:rFonts w:ascii="Arial" w:cs="Arial" w:eastAsia="Arial" w:hAnsi="Arial"/>
                <w:sz w:val="22"/>
                <w:szCs w:val="22"/>
                <w:color w:val="auto"/>
              </w:rPr>
              <w:t>1.375%</w:t>
            </w:r>
          </w:p>
        </w:tc>
        <w:tc>
          <w:tcPr>
            <w:tcW w:w="1440" w:type="dxa"/>
            <w:vAlign w:val="bottom"/>
            <w:tcBorders>
              <w:right w:val="single" w:sz="8" w:color="auto"/>
            </w:tcBorders>
          </w:tcPr>
          <w:p>
            <w:pPr>
              <w:jc w:val="right"/>
              <w:ind w:right="292"/>
              <w:spacing w:after="0"/>
              <w:rPr>
                <w:sz w:val="20"/>
                <w:szCs w:val="20"/>
                <w:color w:val="auto"/>
              </w:rPr>
            </w:pPr>
            <w:r>
              <w:rPr>
                <w:rFonts w:ascii="Arial" w:cs="Arial" w:eastAsia="Arial" w:hAnsi="Arial"/>
                <w:sz w:val="22"/>
                <w:szCs w:val="22"/>
                <w:color w:val="auto"/>
              </w:rPr>
              <w:t>0.375%</w:t>
            </w: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1:00 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but less than</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or equal to</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4"/>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2:00 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58"/>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33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III</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Greater than</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0.200%</w:t>
            </w:r>
          </w:p>
        </w:tc>
        <w:tc>
          <w:tcPr>
            <w:tcW w:w="1440" w:type="dxa"/>
            <w:vAlign w:val="bottom"/>
            <w:tcBorders>
              <w:right w:val="single" w:sz="8" w:color="auto"/>
            </w:tcBorders>
          </w:tcPr>
          <w:p>
            <w:pPr>
              <w:jc w:val="right"/>
              <w:ind w:right="312"/>
              <w:spacing w:after="0"/>
              <w:rPr>
                <w:sz w:val="20"/>
                <w:szCs w:val="20"/>
                <w:color w:val="auto"/>
              </w:rPr>
            </w:pPr>
            <w:r>
              <w:rPr>
                <w:rFonts w:ascii="Arial" w:cs="Arial" w:eastAsia="Arial" w:hAnsi="Arial"/>
                <w:sz w:val="22"/>
                <w:szCs w:val="22"/>
                <w:color w:val="auto"/>
              </w:rPr>
              <w:t>1.625%</w:t>
            </w:r>
          </w:p>
        </w:tc>
        <w:tc>
          <w:tcPr>
            <w:tcW w:w="1480" w:type="dxa"/>
            <w:vAlign w:val="bottom"/>
            <w:tcBorders>
              <w:right w:val="single" w:sz="8" w:color="auto"/>
            </w:tcBorders>
          </w:tcPr>
          <w:p>
            <w:pPr>
              <w:jc w:val="right"/>
              <w:ind w:right="332"/>
              <w:spacing w:after="0"/>
              <w:rPr>
                <w:sz w:val="20"/>
                <w:szCs w:val="20"/>
                <w:color w:val="auto"/>
              </w:rPr>
            </w:pPr>
            <w:r>
              <w:rPr>
                <w:rFonts w:ascii="Arial" w:cs="Arial" w:eastAsia="Arial" w:hAnsi="Arial"/>
                <w:sz w:val="22"/>
                <w:szCs w:val="22"/>
                <w:color w:val="auto"/>
              </w:rPr>
              <w:t>1.625%</w:t>
            </w:r>
          </w:p>
        </w:tc>
        <w:tc>
          <w:tcPr>
            <w:tcW w:w="1440" w:type="dxa"/>
            <w:vAlign w:val="bottom"/>
            <w:tcBorders>
              <w:right w:val="single" w:sz="8" w:color="auto"/>
            </w:tcBorders>
          </w:tcPr>
          <w:p>
            <w:pPr>
              <w:jc w:val="right"/>
              <w:ind w:right="292"/>
              <w:spacing w:after="0"/>
              <w:rPr>
                <w:sz w:val="20"/>
                <w:szCs w:val="20"/>
                <w:color w:val="auto"/>
              </w:rPr>
            </w:pPr>
            <w:r>
              <w:rPr>
                <w:rFonts w:ascii="Arial" w:cs="Arial" w:eastAsia="Arial" w:hAnsi="Arial"/>
                <w:sz w:val="22"/>
                <w:szCs w:val="22"/>
                <w:color w:val="auto"/>
              </w:rPr>
              <w:t>0.625%</w:t>
            </w: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2:00 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but less than</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0"/>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or equal to</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274"/>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3:00 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58"/>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33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IV</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5"/>
              </w:rPr>
              <w:t>Greater than</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0.225%</w:t>
            </w:r>
          </w:p>
        </w:tc>
        <w:tc>
          <w:tcPr>
            <w:tcW w:w="1440" w:type="dxa"/>
            <w:vAlign w:val="bottom"/>
            <w:tcBorders>
              <w:right w:val="single" w:sz="8" w:color="auto"/>
            </w:tcBorders>
          </w:tcPr>
          <w:p>
            <w:pPr>
              <w:jc w:val="right"/>
              <w:ind w:right="312"/>
              <w:spacing w:after="0"/>
              <w:rPr>
                <w:sz w:val="20"/>
                <w:szCs w:val="20"/>
                <w:color w:val="auto"/>
              </w:rPr>
            </w:pPr>
            <w:r>
              <w:rPr>
                <w:rFonts w:ascii="Arial" w:cs="Arial" w:eastAsia="Arial" w:hAnsi="Arial"/>
                <w:sz w:val="22"/>
                <w:szCs w:val="22"/>
                <w:color w:val="auto"/>
              </w:rPr>
              <w:t>1.875%</w:t>
            </w:r>
          </w:p>
        </w:tc>
        <w:tc>
          <w:tcPr>
            <w:tcW w:w="1480" w:type="dxa"/>
            <w:vAlign w:val="bottom"/>
            <w:tcBorders>
              <w:right w:val="single" w:sz="8" w:color="auto"/>
            </w:tcBorders>
          </w:tcPr>
          <w:p>
            <w:pPr>
              <w:jc w:val="right"/>
              <w:ind w:right="332"/>
              <w:spacing w:after="0"/>
              <w:rPr>
                <w:sz w:val="20"/>
                <w:szCs w:val="20"/>
                <w:color w:val="auto"/>
              </w:rPr>
            </w:pPr>
            <w:r>
              <w:rPr>
                <w:rFonts w:ascii="Arial" w:cs="Arial" w:eastAsia="Arial" w:hAnsi="Arial"/>
                <w:sz w:val="22"/>
                <w:szCs w:val="22"/>
                <w:color w:val="auto"/>
              </w:rPr>
              <w:t>1.875%</w:t>
            </w:r>
          </w:p>
        </w:tc>
        <w:tc>
          <w:tcPr>
            <w:tcW w:w="1440" w:type="dxa"/>
            <w:vAlign w:val="bottom"/>
            <w:tcBorders>
              <w:right w:val="single" w:sz="8" w:color="auto"/>
            </w:tcBorders>
          </w:tcPr>
          <w:p>
            <w:pPr>
              <w:jc w:val="right"/>
              <w:ind w:right="292"/>
              <w:spacing w:after="0"/>
              <w:rPr>
                <w:sz w:val="20"/>
                <w:szCs w:val="20"/>
                <w:color w:val="auto"/>
              </w:rPr>
            </w:pPr>
            <w:r>
              <w:rPr>
                <w:rFonts w:ascii="Arial" w:cs="Arial" w:eastAsia="Arial" w:hAnsi="Arial"/>
                <w:sz w:val="22"/>
                <w:szCs w:val="22"/>
                <w:color w:val="auto"/>
              </w:rPr>
              <w:t>0.875%</w:t>
            </w:r>
          </w:p>
        </w:tc>
      </w:tr>
      <w:tr>
        <w:trPr>
          <w:trHeight w:val="274"/>
        </w:trPr>
        <w:tc>
          <w:tcPr>
            <w:tcW w:w="1080" w:type="dxa"/>
            <w:vAlign w:val="bottom"/>
            <w:tcBorders>
              <w:left w:val="single" w:sz="8" w:color="auto"/>
              <w:right w:val="single" w:sz="8" w:color="auto"/>
            </w:tcBorders>
          </w:tcPr>
          <w:p>
            <w:pPr>
              <w:spacing w:after="0"/>
              <w:rPr>
                <w:sz w:val="23"/>
                <w:szCs w:val="23"/>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3:00 to 1:00</w:t>
            </w:r>
          </w:p>
        </w:tc>
        <w:tc>
          <w:tcPr>
            <w:tcW w:w="144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r>
      <w:tr>
        <w:trPr>
          <w:trHeight w:val="57"/>
        </w:trPr>
        <w:tc>
          <w:tcPr>
            <w:tcW w:w="108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bl>
    <w:p>
      <w:pPr>
        <w:spacing w:after="0" w:line="262" w:lineRule="exact"/>
        <w:rPr>
          <w:sz w:val="20"/>
          <w:szCs w:val="20"/>
          <w:color w:val="auto"/>
        </w:rPr>
      </w:pPr>
    </w:p>
    <w:p>
      <w:pPr>
        <w:jc w:val="both"/>
        <w:ind w:left="540" w:right="479" w:firstLine="635"/>
        <w:spacing w:after="0" w:line="284" w:lineRule="auto"/>
        <w:rPr>
          <w:sz w:val="20"/>
          <w:szCs w:val="20"/>
          <w:color w:val="auto"/>
        </w:rPr>
      </w:pPr>
      <w:r>
        <w:rPr>
          <w:rFonts w:ascii="Arial" w:cs="Arial" w:eastAsia="Arial" w:hAnsi="Arial"/>
          <w:sz w:val="19"/>
          <w:szCs w:val="19"/>
          <w:color w:val="auto"/>
        </w:rPr>
        <w:t xml:space="preserve">The Applicable Rate shall be determined and adjusted quarterly on the third Business Day after the day on which the Borrower provides a Compliance Certificate of a Responsible Officer pursuant to </w:t>
      </w:r>
      <w:r>
        <w:rPr>
          <w:rFonts w:ascii="Arial" w:cs="Arial" w:eastAsia="Arial" w:hAnsi="Arial"/>
          <w:sz w:val="19"/>
          <w:szCs w:val="19"/>
          <w:u w:val="single" w:color="auto"/>
          <w:color w:val="auto"/>
        </w:rPr>
        <w:t>Sections 6.02(a)</w:t>
      </w:r>
      <w:r>
        <w:rPr>
          <w:rFonts w:ascii="Arial" w:cs="Arial" w:eastAsia="Arial" w:hAnsi="Arial"/>
          <w:sz w:val="19"/>
          <w:szCs w:val="19"/>
          <w:color w:val="auto"/>
        </w:rPr>
        <w:t>, for the most recently ended fiscal quarter (or fiscal year, as applicable) of the Borrower (each such date, a “</w:t>
      </w:r>
      <w:r>
        <w:rPr>
          <w:rFonts w:ascii="Arial" w:cs="Arial" w:eastAsia="Arial" w:hAnsi="Arial"/>
          <w:sz w:val="19"/>
          <w:szCs w:val="19"/>
          <w:u w:val="single" w:color="auto"/>
          <w:color w:val="auto"/>
        </w:rPr>
        <w:t>Calculation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Applicable Rate shall be based on Pricing Level I until the first Calculation Date occurring after the Closing Date and, thereafter the Pricing Level shall be determined by reference to the Consolidated Leverage Ratio as of the last day of the most recently ended fiscal quarter of the Borrower preceding the applicable Calculation Date and</w:t>
      </w:r>
    </w:p>
    <w:p>
      <w:pPr>
        <w:spacing w:after="0" w:line="2" w:lineRule="exact"/>
        <w:rPr>
          <w:sz w:val="20"/>
          <w:szCs w:val="20"/>
          <w:color w:val="auto"/>
        </w:rPr>
      </w:pPr>
    </w:p>
    <w:p>
      <w:pPr>
        <w:jc w:val="both"/>
        <w:ind w:left="540" w:right="479"/>
        <w:spacing w:after="0" w:line="295" w:lineRule="auto"/>
        <w:tabs>
          <w:tab w:leader="none" w:pos="902"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if the Borrower fails to provide an Officer’s Compliance Certificate when due as required by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for the most recently ended fiscal quarter (or fiscal year, as applicable) of the Borrower preceding the applicable Calculation Date, then, at the option of the Administrative Agent or upon the request of the Required Lenders, the Applicable</w:t>
      </w:r>
    </w:p>
    <w:p>
      <w:pPr>
        <w:sectPr>
          <w:pgSz w:w="11900" w:h="16838" w:orient="portrait"/>
          <w:cols w:equalWidth="0" w:num="1">
            <w:col w:w="9019"/>
          </w:cols>
          <w:pgMar w:left="1440" w:top="928" w:right="1440"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520065</wp:posOffset>
            </wp:positionV>
            <wp:extent cx="506603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08" w:name="page109"/>
    <w:bookmarkEnd w:id="108"/>
    <w:p>
      <w:pPr>
        <w:jc w:val="both"/>
        <w:ind w:left="540" w:right="479"/>
        <w:spacing w:after="0" w:line="259" w:lineRule="auto"/>
        <w:rPr>
          <w:sz w:val="20"/>
          <w:szCs w:val="20"/>
          <w:color w:val="auto"/>
        </w:rPr>
      </w:pPr>
      <w:r>
        <w:rPr>
          <w:rFonts w:ascii="Arial" w:cs="Arial" w:eastAsia="Arial" w:hAnsi="Arial"/>
          <w:sz w:val="21"/>
          <w:szCs w:val="21"/>
          <w:color w:val="auto"/>
        </w:rPr>
        <w:t>Rate from the date on which such Officer’s Compliance Certificate was required to have been delivered shall be based on Pricing Level IV until such time as such Officer’s Compliance Certificate is delivered, at which time the Pricing Level shall be determined by reference to the Consolidated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Credit Extensions then existing or subsequently made or issued.</w:t>
      </w:r>
    </w:p>
    <w:p>
      <w:pPr>
        <w:spacing w:after="0" w:line="183" w:lineRule="exact"/>
        <w:rPr>
          <w:sz w:val="20"/>
          <w:szCs w:val="20"/>
          <w:color w:val="auto"/>
        </w:rPr>
      </w:pPr>
    </w:p>
    <w:p>
      <w:pPr>
        <w:jc w:val="both"/>
        <w:ind w:left="540" w:right="479" w:firstLine="635"/>
        <w:spacing w:after="0" w:line="246" w:lineRule="auto"/>
        <w:rPr>
          <w:sz w:val="20"/>
          <w:szCs w:val="20"/>
          <w:color w:val="auto"/>
        </w:rPr>
      </w:pPr>
      <w:r>
        <w:rPr>
          <w:rFonts w:ascii="Arial" w:cs="Arial" w:eastAsia="Arial" w:hAnsi="Arial"/>
          <w:sz w:val="22"/>
          <w:szCs w:val="22"/>
          <w:color w:val="auto"/>
        </w:rPr>
        <w:t xml:space="preserve">Notwithstanding the foregoing, in the event that any Compliance Certificate of a Responsible Officer delivered pursuant to </w:t>
      </w:r>
      <w:r>
        <w:rPr>
          <w:rFonts w:ascii="Arial" w:cs="Arial" w:eastAsia="Arial" w:hAnsi="Arial"/>
          <w:sz w:val="22"/>
          <w:szCs w:val="22"/>
          <w:u w:val="single" w:color="auto"/>
          <w:color w:val="auto"/>
        </w:rPr>
        <w:t>Sections 6.02(a)</w:t>
      </w:r>
      <w:r>
        <w:rPr>
          <w:rFonts w:ascii="Arial" w:cs="Arial" w:eastAsia="Arial" w:hAnsi="Arial"/>
          <w:sz w:val="22"/>
          <w:szCs w:val="22"/>
          <w:color w:val="auto"/>
        </w:rPr>
        <w:t xml:space="preserve"> is shown to be inaccurate, and such inaccuracy, if corrected, would have led to the application of a higher Pricing Level for any period (an “</w:t>
      </w:r>
      <w:r>
        <w:rPr>
          <w:rFonts w:ascii="Arial" w:cs="Arial" w:eastAsia="Arial" w:hAnsi="Arial"/>
          <w:sz w:val="22"/>
          <w:szCs w:val="22"/>
          <w:u w:val="single" w:color="auto"/>
          <w:color w:val="auto"/>
        </w:rPr>
        <w:t>Applicable Period</w:t>
      </w:r>
      <w:r>
        <w:rPr>
          <w:rFonts w:ascii="Arial" w:cs="Arial" w:eastAsia="Arial" w:hAnsi="Arial"/>
          <w:sz w:val="22"/>
          <w:szCs w:val="22"/>
          <w:color w:val="auto"/>
        </w:rPr>
        <w:t>”) than the Applicable Rate applied for such Applicable Period, then the Borrower shall promptly deliver to the Administrative Agent a corrected Compliance Certificate for such Applicable Period and the Applicable Rate for such period shall be the higher Pricing Level. This provision shall survive the Discharge of the Obligations for sixty (60) days.</w:t>
      </w:r>
    </w:p>
    <w:p>
      <w:pPr>
        <w:spacing w:after="0" w:line="194"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with respect to any borrowings and payments in any Alternative Currency or Discretionary Alternative Currency, such local time in the place of settlement for such Alternative Currency or Discretionary Alternative Currency as, in each case, shall have been specified by the Administrative Agent.</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Electronic Platform</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10.03(a)</w:t>
      </w:r>
      <w:r>
        <w:rPr>
          <w:rFonts w:ascii="Arial" w:cs="Arial" w:eastAsia="Arial" w:hAnsi="Arial"/>
          <w:sz w:val="21"/>
          <w:szCs w:val="21"/>
          <w:color w:val="auto"/>
        </w:rPr>
        <w:t>.</w:t>
      </w:r>
    </w:p>
    <w:p>
      <w:pPr>
        <w:spacing w:after="0" w:line="231"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Fund that is administered or managed by (a) a Lender,</w:t>
      </w:r>
    </w:p>
    <w:p>
      <w:pPr>
        <w:spacing w:after="0" w:line="56" w:lineRule="exact"/>
        <w:rPr>
          <w:sz w:val="20"/>
          <w:szCs w:val="20"/>
          <w:color w:val="auto"/>
        </w:rPr>
      </w:pPr>
    </w:p>
    <w:p>
      <w:pPr>
        <w:ind w:left="540" w:right="479"/>
        <w:spacing w:after="0" w:line="246" w:lineRule="auto"/>
        <w:tabs>
          <w:tab w:leader="none" w:pos="866"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 Affiliate of a Lender or (c) an entity or an Affiliate of an entity that administers or manages a Lender.</w:t>
      </w:r>
    </w:p>
    <w:p>
      <w:pPr>
        <w:spacing w:after="0" w:line="192"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JPMCB, Bank of America, N.A. and Mizuho Bank, Ltd., in their capacities as joint lead arrangers and joint bookrunners for the credit facility provided for herein.</w:t>
      </w:r>
    </w:p>
    <w:p>
      <w:pPr>
        <w:spacing w:after="0" w:line="18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Assignee Group</w:t>
      </w:r>
      <w:r>
        <w:rPr>
          <w:rFonts w:ascii="Arial" w:cs="Arial" w:eastAsia="Arial" w:hAnsi="Arial"/>
          <w:sz w:val="19"/>
          <w:szCs w:val="19"/>
          <w:color w:val="auto"/>
        </w:rPr>
        <w:t>” means two or more Eligible Assignees that are Affiliates of one another or two or more Approved Funds managed by the same investment advisor.</w:t>
      </w:r>
    </w:p>
    <w:p>
      <w:pPr>
        <w:spacing w:after="0" w:line="104"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entered into by a Lender and an Eligible Assignee (with the consent of any party whose consent is required by </w:t>
      </w:r>
      <w:r>
        <w:rPr>
          <w:rFonts w:ascii="Arial" w:cs="Arial" w:eastAsia="Arial" w:hAnsi="Arial"/>
          <w:sz w:val="21"/>
          <w:szCs w:val="21"/>
          <w:u w:val="single" w:color="auto"/>
          <w:color w:val="auto"/>
        </w:rPr>
        <w:t>Section 11.06(b)</w:t>
      </w:r>
      <w:r>
        <w:rPr>
          <w:rFonts w:ascii="Arial" w:cs="Arial" w:eastAsia="Arial" w:hAnsi="Arial"/>
          <w:sz w:val="21"/>
          <w:szCs w:val="21"/>
          <w:color w:val="auto"/>
        </w:rPr>
        <w:t xml:space="preserve">), and accepted by the Administrative Agent, in substantially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any other form (including electronic records generated by the use of an electronic platform) approved by the Administrative Agent.</w:t>
      </w:r>
    </w:p>
    <w:p>
      <w:pPr>
        <w:spacing w:after="0" w:line="175" w:lineRule="exact"/>
        <w:rPr>
          <w:sz w:val="20"/>
          <w:szCs w:val="20"/>
          <w:color w:val="auto"/>
        </w:rPr>
      </w:pPr>
    </w:p>
    <w:p>
      <w:pPr>
        <w:jc w:val="both"/>
        <w:ind w:left="540" w:right="479" w:firstLine="635"/>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Financial Statements</w:t>
      </w:r>
      <w:r>
        <w:rPr>
          <w:rFonts w:ascii="Arial" w:cs="Arial" w:eastAsia="Arial" w:hAnsi="Arial"/>
          <w:sz w:val="22"/>
          <w:szCs w:val="22"/>
          <w:color w:val="auto"/>
        </w:rPr>
        <w:t>” means the audited consolidated balance sheet of the Borrower and its Subsidiaries as of December 31, 2020, and the related consolidated statements of operations, comprehensive income / (loss), stockholders’ equity and cash flows for the fiscal year of the Borrower and its Subsidiaries then ended, including the notes thereto.</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has the meaning specified in Section 2.04(b)(iii).</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520065</wp:posOffset>
            </wp:positionV>
            <wp:extent cx="506603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09" w:name="page110"/>
    <w:bookmarkEnd w:id="109"/>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xml:space="preserve">” means the period from and including the Effective Date to the earlier of the Maturity Date and the date of termination of the Aggregate Commitments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8.02</w:t>
      </w:r>
      <w:r>
        <w:rPr>
          <w:rFonts w:ascii="Arial" w:cs="Arial" w:eastAsia="Arial" w:hAnsi="Arial"/>
          <w:sz w:val="22"/>
          <w:szCs w:val="22"/>
          <w:color w:val="auto"/>
        </w:rPr>
        <w:t>.</w:t>
      </w:r>
    </w:p>
    <w:p>
      <w:pPr>
        <w:spacing w:after="0" w:line="18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85" w:lineRule="exact"/>
        <w:rPr>
          <w:sz w:val="20"/>
          <w:szCs w:val="20"/>
          <w:color w:val="auto"/>
        </w:rPr>
      </w:pPr>
    </w:p>
    <w:p>
      <w:pPr>
        <w:jc w:val="both"/>
        <w:ind w:left="540" w:right="479" w:firstLine="635"/>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7"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75" w:lineRule="exact"/>
        <w:rPr>
          <w:sz w:val="20"/>
          <w:szCs w:val="20"/>
          <w:color w:val="auto"/>
        </w:rPr>
      </w:pPr>
    </w:p>
    <w:p>
      <w:pPr>
        <w:jc w:val="both"/>
        <w:ind w:left="540" w:right="479" w:firstLine="635"/>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½ of 1% per annum and (c) the Adjusted LIBO Rate on such day (or if such day is not a Business Day, the immediately preceding Business Day) for a deposit in US Dollars with a maturity of one month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Base Rate due to a change in the Prime Rate, the NYFRB Rate or the Adjusted LIBO Rate shall be effective from and including the effective date of such change in the Prime Rate, the NYFRB Rate or the Adjusted LIBO Rate, respectively. If the Base Rate is being used as an alternate rate of interest pursuant to Section 2.17 (for the avoidance of doubt, only until the Benchmark Replacement has been determined pursuant to Section 2.17(b)), then the Base Rate shall be the greater of clauses (a) and (b) above and shall be determined without reference to clause</w:t>
      </w:r>
    </w:p>
    <w:p>
      <w:pPr>
        <w:spacing w:after="0" w:line="2" w:lineRule="exact"/>
        <w:rPr>
          <w:sz w:val="20"/>
          <w:szCs w:val="20"/>
          <w:color w:val="auto"/>
        </w:rPr>
      </w:pPr>
    </w:p>
    <w:p>
      <w:pPr>
        <w:jc w:val="both"/>
        <w:ind w:left="540" w:right="479"/>
        <w:spacing w:after="0" w:line="245" w:lineRule="auto"/>
        <w:tabs>
          <w:tab w:leader="none" w:pos="87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above. For the avoidance of doubt, if the Base Rate as determined pursuant to the foregoing would be less than 1.00%, such rate shall be deemed to be 1.00% for purposes of this Agreement.</w:t>
      </w:r>
    </w:p>
    <w:p>
      <w:pPr>
        <w:spacing w:after="0" w:line="19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Borrowing</w:t>
      </w:r>
      <w:r>
        <w:rPr>
          <w:rFonts w:ascii="Arial" w:cs="Arial" w:eastAsia="Arial" w:hAnsi="Arial"/>
          <w:sz w:val="22"/>
          <w:szCs w:val="22"/>
          <w:color w:val="auto"/>
        </w:rPr>
        <w:t>” means a Borrowing comprised of Base Rate Loans.</w:t>
      </w:r>
    </w:p>
    <w:p>
      <w:pPr>
        <w:spacing w:after="0" w:line="220" w:lineRule="exact"/>
        <w:rPr>
          <w:sz w:val="20"/>
          <w:szCs w:val="20"/>
          <w:color w:val="auto"/>
        </w:rPr>
      </w:pPr>
    </w:p>
    <w:p>
      <w:pPr>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Committed Borrowing</w:t>
      </w:r>
      <w:r>
        <w:rPr>
          <w:rFonts w:ascii="Arial" w:cs="Arial" w:eastAsia="Arial" w:hAnsi="Arial"/>
          <w:sz w:val="22"/>
          <w:szCs w:val="22"/>
          <w:color w:val="auto"/>
        </w:rPr>
        <w:t>” means a Committed Borrowing comprised of Base Rate Committed Loans.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Committed Loan</w:t>
      </w:r>
      <w:r>
        <w:rPr>
          <w:rFonts w:ascii="Arial" w:cs="Arial" w:eastAsia="Arial" w:hAnsi="Arial"/>
          <w:sz w:val="19"/>
          <w:szCs w:val="19"/>
          <w:color w:val="auto"/>
        </w:rPr>
        <w:t>” means a Committed Loan that is a Base Rate Loan.</w:t>
      </w:r>
    </w:p>
    <w:p>
      <w:pPr>
        <w:spacing w:after="0" w:line="254" w:lineRule="exact"/>
        <w:rPr>
          <w:sz w:val="20"/>
          <w:szCs w:val="20"/>
          <w:color w:val="auto"/>
        </w:rPr>
      </w:pPr>
    </w:p>
    <w:p>
      <w:pPr>
        <w:ind w:left="540" w:right="479" w:firstLine="635"/>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Loan</w:t>
      </w:r>
      <w:r>
        <w:rPr>
          <w:rFonts w:ascii="Arial" w:cs="Arial" w:eastAsia="Arial" w:hAnsi="Arial"/>
          <w:sz w:val="21"/>
          <w:szCs w:val="21"/>
          <w:color w:val="auto"/>
        </w:rPr>
        <w:t>” means a Committed Loan that bears interest by reference to the Base Rate. Base Rate Loans may be denominated only in US Dollars.</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520065</wp:posOffset>
            </wp:positionV>
            <wp:extent cx="506603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10" w:name="page111"/>
    <w:bookmarkEnd w:id="110"/>
    <w:p>
      <w:pPr>
        <w:jc w:val="both"/>
        <w:ind w:left="540" w:right="479" w:firstLine="635"/>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means a certification regarding beneficial ownership or control as required by the Beneficial Ownership Regulation.</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20" w:lineRule="exact"/>
        <w:rPr>
          <w:sz w:val="20"/>
          <w:szCs w:val="20"/>
          <w:color w:val="auto"/>
        </w:rPr>
      </w:pPr>
    </w:p>
    <w:p>
      <w:pPr>
        <w:jc w:val="both"/>
        <w:ind w:left="540" w:right="479" w:firstLine="635"/>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3"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Bid Borrowing</w:t>
      </w:r>
      <w:r>
        <w:rPr>
          <w:rFonts w:ascii="Arial" w:cs="Arial" w:eastAsia="Arial" w:hAnsi="Arial"/>
          <w:sz w:val="22"/>
          <w:szCs w:val="22"/>
          <w:color w:val="auto"/>
        </w:rPr>
        <w:t xml:space="preserve">” means a borrowing consisting of simultaneous Bid Loans of the same Type and in the same currency from each of the Lenders whose offer to make one or more Bid Loans as part of such borrowing has been accepted under the auction bidding procedures described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Bid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2.03(a)</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Bid Loan Lender</w:t>
      </w:r>
      <w:r>
        <w:rPr>
          <w:rFonts w:ascii="Arial" w:cs="Arial" w:eastAsia="Arial" w:hAnsi="Arial"/>
          <w:sz w:val="19"/>
          <w:szCs w:val="19"/>
          <w:color w:val="auto"/>
        </w:rPr>
        <w:t>” means, in respect of any Bid Loan, the Lender making such Bid</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Loan.</w:t>
      </w:r>
    </w:p>
    <w:p>
      <w:pPr>
        <w:spacing w:after="0" w:line="202"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Bid Request</w:t>
      </w:r>
      <w:r>
        <w:rPr>
          <w:rFonts w:ascii="Arial" w:cs="Arial" w:eastAsia="Arial" w:hAnsi="Arial"/>
          <w:sz w:val="22"/>
          <w:szCs w:val="22"/>
          <w:color w:val="auto"/>
        </w:rPr>
        <w:t xml:space="preserve">” means a written request for one or more Bid Loans substantially in the form of </w:t>
      </w:r>
      <w:r>
        <w:rPr>
          <w:rFonts w:ascii="Arial" w:cs="Arial" w:eastAsia="Arial" w:hAnsi="Arial"/>
          <w:sz w:val="22"/>
          <w:szCs w:val="22"/>
          <w:u w:val="single" w:color="auto"/>
          <w:color w:val="auto"/>
        </w:rPr>
        <w:t>Exhibit B-1</w:t>
      </w:r>
      <w:r>
        <w:rPr>
          <w:rFonts w:ascii="Arial" w:cs="Arial" w:eastAsia="Arial" w:hAnsi="Arial"/>
          <w:sz w:val="22"/>
          <w:szCs w:val="22"/>
          <w:color w:val="auto"/>
        </w:rPr>
        <w:t>.</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Incyte Corporation, a Delaware corporation.</w:t>
      </w:r>
    </w:p>
    <w:p>
      <w:pPr>
        <w:spacing w:after="0" w:line="220"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Committed Borrowing or a Bid Borrowing, as the context may require.</w:t>
      </w:r>
    </w:p>
    <w:p>
      <w:pPr>
        <w:spacing w:after="0" w:line="175" w:lineRule="exact"/>
        <w:rPr>
          <w:sz w:val="20"/>
          <w:szCs w:val="20"/>
          <w:color w:val="auto"/>
        </w:rPr>
      </w:pPr>
    </w:p>
    <w:p>
      <w:pPr>
        <w:jc w:val="both"/>
        <w:ind w:left="540" w:right="479" w:firstLine="635"/>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means (a) in the case of a Eurocurrency Rate Borrowing denominated in US Dollars, $5,000,000, (b) in the case of a Base Rate Borrowing, $500,000, (c) in the case of an Absolute Rate Borrowing denominated in US Dollars, $5,000,000 and (d) in the case of a Borrowing denominated in an Alternative Currency or in a Discretionary Alternative Currency, the smallest amount of such currency that is an integral multiple of 1,000,000 units of such currency and that has a US Dollar Equivalent in excess of $5,000,000.</w:t>
      </w:r>
    </w:p>
    <w:p>
      <w:pPr>
        <w:spacing w:after="0" w:line="196"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Multiple</w:t>
      </w:r>
      <w:r>
        <w:rPr>
          <w:rFonts w:ascii="Arial" w:cs="Arial" w:eastAsia="Arial" w:hAnsi="Arial"/>
          <w:sz w:val="21"/>
          <w:szCs w:val="21"/>
          <w:color w:val="auto"/>
        </w:rPr>
        <w:t>” means (a) in the case of a Eurocurrency Rate Borrowing denominated in US Dollars, $1,000,000, (b) in the case of a Base Rate Borrowing, $100,000, (c) in the case of an Absolute Rate Borrowing denominated in US Dollars, $1,000,000 and (d) in the case of a Borrowing denominated in any Alternative Currency or in a Discretionary Alternative Currency, 1,000,000 units of such currency.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1" w:name="page112"/>
    <w:bookmarkEnd w:id="111"/>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other day on which commercial banks are authorized to remain closed under the Laws of, or are in fact closed in, New York City, provided that:</w:t>
      </w:r>
    </w:p>
    <w:p>
      <w:pPr>
        <w:spacing w:after="0" w:line="185" w:lineRule="exact"/>
        <w:rPr>
          <w:sz w:val="20"/>
          <w:szCs w:val="20"/>
          <w:color w:val="auto"/>
        </w:rPr>
      </w:pPr>
    </w:p>
    <w:p>
      <w:pPr>
        <w:jc w:val="both"/>
        <w:ind w:left="1520" w:right="539" w:firstLine="640"/>
        <w:spacing w:after="0" w:line="292" w:lineRule="auto"/>
        <w:tabs>
          <w:tab w:leader="none" w:pos="2492" w:val="left"/>
        </w:tabs>
        <w:numPr>
          <w:ilvl w:val="0"/>
          <w:numId w:val="52"/>
        </w:numPr>
        <w:rPr>
          <w:rFonts w:ascii="Arial" w:cs="Arial" w:eastAsia="Arial" w:hAnsi="Arial"/>
          <w:sz w:val="18"/>
          <w:szCs w:val="18"/>
          <w:color w:val="auto"/>
        </w:rPr>
      </w:pPr>
      <w:r>
        <w:rPr>
          <w:rFonts w:ascii="Arial" w:cs="Arial" w:eastAsia="Arial" w:hAnsi="Arial"/>
          <w:sz w:val="19"/>
          <w:szCs w:val="19"/>
          <w:color w:val="auto"/>
        </w:rPr>
        <w:t>when used in connection with a Eurocurrency Rate Loan, the term “Business Day” shall also exclude when used in connection with a Eurocurrency Rate Loan denominated in US Dollars, any Alternative Currency (other than Euro) or any Discretionary Alternative Currency, any day on which dealings in deposits in US Dollars or the applicable Alternative Currency or Discretionary Alternative Currency, as the case may be, are not conducted by and between banks in the London interbank eurodollar market; and</w:t>
      </w:r>
    </w:p>
    <w:p>
      <w:pPr>
        <w:spacing w:after="0" w:line="218" w:lineRule="exact"/>
        <w:rPr>
          <w:rFonts w:ascii="Arial" w:cs="Arial" w:eastAsia="Arial" w:hAnsi="Arial"/>
          <w:sz w:val="18"/>
          <w:szCs w:val="18"/>
          <w:color w:val="auto"/>
        </w:rPr>
      </w:pPr>
    </w:p>
    <w:p>
      <w:pPr>
        <w:ind w:left="1200" w:right="659" w:firstLine="960"/>
        <w:spacing w:after="0" w:line="261" w:lineRule="auto"/>
        <w:tabs>
          <w:tab w:leader="none" w:pos="2487" w:val="left"/>
        </w:tabs>
        <w:numPr>
          <w:ilvl w:val="0"/>
          <w:numId w:val="52"/>
        </w:numPr>
        <w:rPr>
          <w:rFonts w:ascii="Arial" w:cs="Arial" w:eastAsia="Arial" w:hAnsi="Arial"/>
          <w:sz w:val="22"/>
          <w:szCs w:val="22"/>
          <w:color w:val="auto"/>
        </w:rPr>
      </w:pPr>
      <w:r>
        <w:rPr>
          <w:rFonts w:ascii="Arial" w:cs="Arial" w:eastAsia="Arial" w:hAnsi="Arial"/>
          <w:sz w:val="22"/>
          <w:szCs w:val="22"/>
          <w:color w:val="auto"/>
        </w:rPr>
        <w:t>when used in connection with a Bid Loan that is an Absolute Rate Loan denominated in any Discretionary Alternative Currency, the term “Business Day” shall also exclude any day on which banks are not open for foreign exchange business in the principal financial center of the country of such Discretionary Alternative Currency.</w:t>
      </w:r>
    </w:p>
    <w:p>
      <w:pPr>
        <w:spacing w:after="0" w:line="177" w:lineRule="exact"/>
        <w:rPr>
          <w:sz w:val="20"/>
          <w:szCs w:val="20"/>
          <w:color w:val="auto"/>
        </w:rPr>
      </w:pPr>
    </w:p>
    <w:p>
      <w:pPr>
        <w:jc w:val="both"/>
        <w:ind w:left="540" w:right="479" w:firstLine="635"/>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9"/>
          <w:szCs w:val="19"/>
          <w:u w:val="single" w:color="auto"/>
          <w:color w:val="auto"/>
        </w:rPr>
        <w:t>ASU</w:t>
      </w:r>
      <w:r>
        <w:rPr>
          <w:rFonts w:ascii="Arial" w:cs="Arial" w:eastAsia="Arial" w:hAnsi="Arial"/>
          <w:sz w:val="19"/>
          <w:szCs w:val="19"/>
          <w:color w:val="auto"/>
        </w:rPr>
        <w:t xml:space="preserve">”)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the financial statements to be delivered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62" w:lineRule="exact"/>
        <w:rPr>
          <w:sz w:val="20"/>
          <w:szCs w:val="20"/>
          <w:color w:val="auto"/>
        </w:rPr>
      </w:pPr>
    </w:p>
    <w:p>
      <w:pPr>
        <w:jc w:val="both"/>
        <w:ind w:left="540" w:right="479" w:firstLine="63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w:t>
      </w:r>
      <w:r>
        <w:rPr>
          <w:rFonts w:ascii="Arial" w:cs="Arial" w:eastAsia="Arial" w:hAnsi="Arial"/>
          <w:sz w:val="21"/>
          <w:szCs w:val="21"/>
          <w:color w:val="auto"/>
        </w:rPr>
        <w:t>” means to pledge and deposit with or deliver to the Administrative Agent, for the benefit of the Administrative Agent, the applicable L/C Issuer and the Lenders, as collateral for L/C Obligations or obligations of Lenders to fund participations in respect thereof (as the context may require), cash or deposit account balances or, if the applicable L/C Issuer benefitting from such collateral shall agree in its sole discretion, other credit support (including backstop letters of credit), in each case pursuant to documentation in form and substance reasonably satisfactory to (a) the Administrative Agent and (b) the applicable L/C Issuer. “</w:t>
      </w:r>
      <w:r>
        <w:rPr>
          <w:rFonts w:ascii="Arial" w:cs="Arial" w:eastAsia="Arial" w:hAnsi="Arial"/>
          <w:sz w:val="21"/>
          <w:szCs w:val="21"/>
          <w:u w:val="single" w:color="auto"/>
          <w:color w:val="auto"/>
        </w:rPr>
        <w:t>Cash Collateral</w:t>
      </w:r>
      <w:r>
        <w:rPr>
          <w:rFonts w:ascii="Arial" w:cs="Arial" w:eastAsia="Arial" w:hAnsi="Arial"/>
          <w:sz w:val="21"/>
          <w:szCs w:val="21"/>
          <w:color w:val="auto"/>
        </w:rPr>
        <w:t>” shall have a meaning correlative to the foregoing and shall include the proceeds of such cash collateral and other credit support.</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“controlled foreign corporation” as defined in Section 957(a) of the</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2" w:name="page113"/>
    <w:bookmarkEnd w:id="112"/>
    <w:p>
      <w:pPr>
        <w:jc w:val="both"/>
        <w:ind w:left="540" w:right="479" w:firstLine="635"/>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6" w:lineRule="exact"/>
        <w:rPr>
          <w:sz w:val="20"/>
          <w:szCs w:val="20"/>
          <w:color w:val="auto"/>
        </w:rPr>
      </w:pPr>
    </w:p>
    <w:p>
      <w:pPr>
        <w:jc w:val="both"/>
        <w:ind w:left="540" w:right="479" w:firstLine="635"/>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(a) an event or series of events by which any “person” or “group” (as such terms are used in Sections 13(d) and 14(d) of the Securities Exchange Act, but excluding any employee benefit plan of the Borrower or its Subsidiaries, and any Person acting in its capacity as trustee, agent or other fiduciary or administrator of any such plan) is or becomes the “beneficial owner” (as defined in Rules 13d-3 and 13d-5 under the Securities Exchange Act), directly or indirectly, of more than 50% of the total voting power of the Equity Interests in Borrower on a fully-diluted basis or (b) within a period of twelve (12) consecutive calendar months, a majority of the members of the board of directors or other equivalent governing body of the Borrower cease to be composed of individuals (i) who were members of that board or equivalent governing body on the first day of such period, (ii) whose election, nomination or appointment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jc w:val="both"/>
        <w:ind w:left="540" w:right="479" w:firstLine="635"/>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xml:space="preserve">” means, as to each Lender, its obligation (a) to make Committed Loans to the Borrower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and (b) to purchase participations in L/C Obligations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in an aggregate principal amount at any one time outstanding not to exceed the amount set forth opposite such Lender’s name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w:t>
      </w:r>
      <w:r>
        <w:rPr>
          <w:rFonts w:ascii="Arial" w:cs="Arial" w:eastAsia="Arial" w:hAnsi="Arial"/>
          <w:sz w:val="21"/>
          <w:szCs w:val="21"/>
          <w:color w:val="auto"/>
        </w:rPr>
        <w:t xml:space="preserve"> or in the Assignment and Assumption or the Incremental Joinder Agreement or other documentation or record (as such term is defined in Section 9-102(a)(70) of the New York Uniform Commercial Code) pursuant to which such Lender shall have assumed its Commitment, as applicable, as such amount may be adjusted from time to time in accordance with this Agreement.</w:t>
      </w:r>
    </w:p>
    <w:p>
      <w:pPr>
        <w:spacing w:after="0" w:line="179" w:lineRule="exact"/>
        <w:rPr>
          <w:sz w:val="20"/>
          <w:szCs w:val="20"/>
          <w:color w:val="auto"/>
        </w:rPr>
      </w:pPr>
    </w:p>
    <w:p>
      <w:pPr>
        <w:jc w:val="both"/>
        <w:ind w:left="540" w:right="479" w:firstLine="635"/>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Committed Borrowing</w:t>
      </w:r>
      <w:r>
        <w:rPr>
          <w:rFonts w:ascii="Arial" w:cs="Arial" w:eastAsia="Arial" w:hAnsi="Arial"/>
          <w:sz w:val="21"/>
          <w:szCs w:val="21"/>
          <w:color w:val="auto"/>
        </w:rPr>
        <w:t>” means Committed Loans of the same Type and in the same currency made, converted or continued on the same date and, in the case of Eurocurrency Rate Committed Loans, as to which a single Interest Period is in effect.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3" w:name="page114"/>
    <w:bookmarkEnd w:id="113"/>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Loan Notice</w:t>
      </w:r>
      <w:r>
        <w:rPr>
          <w:rFonts w:ascii="Arial" w:cs="Arial" w:eastAsia="Arial" w:hAnsi="Arial"/>
          <w:sz w:val="19"/>
          <w:szCs w:val="19"/>
          <w:color w:val="auto"/>
        </w:rPr>
        <w:t>” means a notice of (a) a borrowing of Committed Loans,</w:t>
      </w:r>
    </w:p>
    <w:p>
      <w:pPr>
        <w:spacing w:after="0" w:line="56" w:lineRule="exact"/>
        <w:rPr>
          <w:sz w:val="20"/>
          <w:szCs w:val="20"/>
          <w:color w:val="auto"/>
        </w:rPr>
      </w:pPr>
    </w:p>
    <w:p>
      <w:pPr>
        <w:jc w:val="both"/>
        <w:ind w:left="540" w:right="479"/>
        <w:spacing w:after="0" w:line="244" w:lineRule="auto"/>
        <w:tabs>
          <w:tab w:leader="none" w:pos="909"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 conversion of any Committed Borrowing from one Type to the other or (c) a continuation of any Eurocurrency Rate Committed Borrowing, in each case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or any other form approved by the Administrative Agent.</w:t>
      </w:r>
    </w:p>
    <w:p>
      <w:pPr>
        <w:spacing w:after="0" w:line="195" w:lineRule="exact"/>
        <w:rPr>
          <w:sz w:val="20"/>
          <w:szCs w:val="20"/>
          <w:color w:val="auto"/>
        </w:rPr>
      </w:pPr>
    </w:p>
    <w:p>
      <w:pPr>
        <w:jc w:val="both"/>
        <w:ind w:left="540" w:right="479" w:firstLine="635"/>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L/C Issuers by means of electronic communications pursuant to </w:t>
      </w:r>
      <w:r>
        <w:rPr>
          <w:rFonts w:ascii="Arial" w:cs="Arial" w:eastAsia="Arial" w:hAnsi="Arial"/>
          <w:sz w:val="22"/>
          <w:szCs w:val="22"/>
          <w:u w:val="single" w:color="auto"/>
          <w:color w:val="auto"/>
        </w:rPr>
        <w:t>Section 10.03</w:t>
      </w:r>
      <w:r>
        <w:rPr>
          <w:rFonts w:ascii="Arial" w:cs="Arial" w:eastAsia="Arial" w:hAnsi="Arial"/>
          <w:sz w:val="22"/>
          <w:szCs w:val="22"/>
          <w:color w:val="auto"/>
        </w:rPr>
        <w:t>, including through an Approved Electronic Platform.</w:t>
      </w:r>
    </w:p>
    <w:p>
      <w:pPr>
        <w:spacing w:after="0" w:line="193"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Materials</w:t>
      </w:r>
      <w:r>
        <w:rPr>
          <w:rFonts w:ascii="Arial" w:cs="Arial" w:eastAsia="Arial" w:hAnsi="Arial"/>
          <w:sz w:val="22"/>
          <w:szCs w:val="22"/>
          <w:color w:val="auto"/>
        </w:rPr>
        <w:t>” means materials and/or information provided by or on behalf of the Loan Parties hereunder.</w:t>
      </w:r>
    </w:p>
    <w:p>
      <w:pPr>
        <w:spacing w:after="0" w:line="17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Bid</w:t>
      </w:r>
      <w:r>
        <w:rPr>
          <w:rFonts w:ascii="Arial" w:cs="Arial" w:eastAsia="Arial" w:hAnsi="Arial"/>
          <w:sz w:val="19"/>
          <w:szCs w:val="19"/>
          <w:color w:val="auto"/>
        </w:rPr>
        <w:t xml:space="preserve">” means a written offer by a Lender to make one or more Bid Loans, substantially in the form of </w:t>
      </w:r>
      <w:r>
        <w:rPr>
          <w:rFonts w:ascii="Arial" w:cs="Arial" w:eastAsia="Arial" w:hAnsi="Arial"/>
          <w:sz w:val="19"/>
          <w:szCs w:val="19"/>
          <w:u w:val="single" w:color="auto"/>
          <w:color w:val="auto"/>
        </w:rPr>
        <w:t>Exhibit B-2</w:t>
      </w:r>
      <w:r>
        <w:rPr>
          <w:rFonts w:ascii="Arial" w:cs="Arial" w:eastAsia="Arial" w:hAnsi="Arial"/>
          <w:sz w:val="19"/>
          <w:szCs w:val="19"/>
          <w:color w:val="auto"/>
        </w:rPr>
        <w:t>, duly completed and signed by a Lender.</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254"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EBITDA</w:t>
      </w:r>
      <w:r>
        <w:rPr>
          <w:rFonts w:ascii="Arial" w:cs="Arial" w:eastAsia="Arial" w:hAnsi="Arial"/>
          <w:sz w:val="21"/>
          <w:szCs w:val="21"/>
          <w:color w:val="auto"/>
        </w:rPr>
        <w:t>”  means,  for  any  period,  for  the  Borrower  and  its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Subsidiaries on a consolidated basis, an amount equal to:</w:t>
      </w:r>
    </w:p>
    <w:p>
      <w:pPr>
        <w:spacing w:after="0" w:line="202" w:lineRule="exact"/>
        <w:rPr>
          <w:sz w:val="20"/>
          <w:szCs w:val="20"/>
          <w:color w:val="auto"/>
        </w:rPr>
      </w:pPr>
    </w:p>
    <w:p>
      <w:pPr>
        <w:ind w:left="1840" w:hanging="575"/>
        <w:spacing w:after="0"/>
        <w:tabs>
          <w:tab w:leader="none" w:pos="18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Consolidated Net Income for such period, plus,</w:t>
      </w:r>
    </w:p>
    <w:p>
      <w:pPr>
        <w:spacing w:after="0" w:line="219" w:lineRule="exact"/>
        <w:rPr>
          <w:rFonts w:ascii="Arial" w:cs="Arial" w:eastAsia="Arial" w:hAnsi="Arial"/>
          <w:sz w:val="22"/>
          <w:szCs w:val="22"/>
          <w:color w:val="auto"/>
        </w:rPr>
      </w:pPr>
    </w:p>
    <w:p>
      <w:pPr>
        <w:jc w:val="both"/>
        <w:ind w:left="540" w:right="539" w:firstLine="725"/>
        <w:spacing w:after="0" w:line="284" w:lineRule="auto"/>
        <w:tabs>
          <w:tab w:leader="none" w:pos="1836"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without duplication and only to the extent deducted in calculating Consolidated Net Income for such period, the sum of: (i) interest expense, (ii) income tax expense, (iii) depreciation and amortization expense, (iv) losses attributable to noncontrolling interest, (v) stock-based compensation expense, (vi) asset impairment charges (including impairment of intangibles or goodwill), (vii) restructuring charges, (viii) charges, losses and expenses associated with any Acquisition, including Milestone Payments, integration charges, charges associated with the revaluation of assets or liabilities (including noncash charges recorded in respect of purchase accounting), any contingent or deferred payments (including earn-outs, contingent liabilities that are based, in whole or in part, on future estimated cash flows, royalties, non-compete payments and consulting payments, but excluding ongoing royalties associated therewith paid in cash in such period) made in connection with such Acquisition and any revaluation adjustments thereof, (ix) one-time non-recurring up-front and milestone payments payable under research and development licensing agreements, collaboration agreements or development agreements relating to uncommercialized product candidates, (x) charges, losses and expenses associated with unrealized losses on long term investments, (xi) charges, losses and expenses associated with the sale of assets (other than sales of inventory in the ordinary course of business) and losses attributable to discontinued operations, (xii) transaction fees and expenses incurred in connection with any Acquisition (or other similar investment), sale of assets (other than sales of inventory in the ordinary course of business), issuance or repayment of Indebtedness, issuance of equity securities by the Borrower, refinancing</w:t>
      </w:r>
    </w:p>
    <w:p>
      <w:pPr>
        <w:sectPr>
          <w:pgSz w:w="11900" w:h="16838" w:orient="portrait"/>
          <w:cols w:equalWidth="0" w:num="1">
            <w:col w:w="9019"/>
          </w:cols>
          <w:pgMar w:left="1440" w:top="928"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520065</wp:posOffset>
            </wp:positionV>
            <wp:extent cx="506603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14" w:name="page115"/>
    <w:bookmarkEnd w:id="114"/>
    <w:p>
      <w:pPr>
        <w:jc w:val="both"/>
        <w:ind w:left="540" w:right="539"/>
        <w:spacing w:after="0" w:line="286" w:lineRule="auto"/>
        <w:rPr>
          <w:sz w:val="20"/>
          <w:szCs w:val="20"/>
          <w:color w:val="auto"/>
        </w:rPr>
      </w:pPr>
      <w:r>
        <w:rPr>
          <w:rFonts w:ascii="Arial" w:cs="Arial" w:eastAsia="Arial" w:hAnsi="Arial"/>
          <w:sz w:val="19"/>
          <w:szCs w:val="19"/>
          <w:color w:val="auto"/>
        </w:rPr>
        <w:t xml:space="preserve">transaction or amendment or other modification of definitive agreements governing any Indebtedness (in each case, including any such transaction consummated prior to the Effective Date and any such transaction undertaken but not completed), (xiii) losses attributable to early extinguishment of Indebtedness or obligations under any Swap Contract, (xiv) litigation charges and settlements, (xv) non-cash charges (including non-cash exchange, translation or performance losses) relating to foreign currency hedging transactions or extraordinary, unusual or nonrecurring non-cash charges related to currency fluctuations, (xvi) one time clinical research and outside services costs and expenses associated with the acquisition of priority review or similar vouchers in connection with applications for regulatory approval of product candidates, (xvii) the amount of any non-cash charges attributable to losses in a joint venture, (xviii) other extraordinary, unusual or nonrecurring charges or expenses and (xix) any other noncash charges not otherwise specified in the foregoing clauses (i) through (xviii), </w:t>
      </w:r>
      <w:r>
        <w:rPr>
          <w:rFonts w:ascii="Arial" w:cs="Arial" w:eastAsia="Arial" w:hAnsi="Arial"/>
          <w:sz w:val="19"/>
          <w:szCs w:val="19"/>
          <w:u w:val="single" w:color="auto"/>
          <w:color w:val="auto"/>
        </w:rPr>
        <w:t>minus</w:t>
      </w:r>
      <w:r>
        <w:rPr>
          <w:rFonts w:ascii="Arial" w:cs="Arial" w:eastAsia="Arial" w:hAnsi="Arial"/>
          <w:sz w:val="19"/>
          <w:szCs w:val="19"/>
          <w:color w:val="auto"/>
        </w:rPr>
        <w:t>,</w:t>
      </w:r>
    </w:p>
    <w:p>
      <w:pPr>
        <w:spacing w:after="0" w:line="166" w:lineRule="exact"/>
        <w:rPr>
          <w:sz w:val="20"/>
          <w:szCs w:val="20"/>
          <w:color w:val="auto"/>
        </w:rPr>
      </w:pPr>
    </w:p>
    <w:p>
      <w:pPr>
        <w:jc w:val="both"/>
        <w:ind w:left="540" w:right="539" w:firstLine="725"/>
        <w:spacing w:after="0" w:line="283" w:lineRule="auto"/>
        <w:tabs>
          <w:tab w:leader="none" w:pos="1836"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without duplication and only to the extent included in calculating Consolidated Net Income for such period, the sum of (i) interest income, (ii) income tax benefit, (iii) income attributable to non-controlling interest, (iv) gains associated with any Acquisition, including gains associated with the revaluation of assets and liabilities, break-up or termination fees and gains on any revaluation adjustment of any contingent or deferred payments (including earn-outs, non-compete payments and consulting payments but excluding ongoing royalty payments) made in connection with such Acquisition, (v) unrealized gains on long term investments, (vi) gains associated with the sale of assets outside the ordinary course of business and income attributable to discontinued operations,</w:t>
      </w:r>
    </w:p>
    <w:p>
      <w:pPr>
        <w:spacing w:after="0" w:line="7" w:lineRule="exact"/>
        <w:rPr>
          <w:rFonts w:ascii="Arial" w:cs="Arial" w:eastAsia="Arial" w:hAnsi="Arial"/>
          <w:sz w:val="19"/>
          <w:szCs w:val="19"/>
          <w:color w:val="auto"/>
        </w:rPr>
      </w:pPr>
    </w:p>
    <w:p>
      <w:pPr>
        <w:jc w:val="both"/>
        <w:ind w:left="540" w:right="539"/>
        <w:spacing w:after="0" w:line="287" w:lineRule="auto"/>
        <w:tabs>
          <w:tab w:leader="none" w:pos="998" w:val="left"/>
        </w:tabs>
        <w:numPr>
          <w:ilvl w:val="0"/>
          <w:numId w:val="56"/>
        </w:numPr>
        <w:rPr>
          <w:rFonts w:ascii="Arial" w:cs="Arial" w:eastAsia="Arial" w:hAnsi="Arial"/>
          <w:sz w:val="19"/>
          <w:szCs w:val="19"/>
          <w:color w:val="auto"/>
        </w:rPr>
      </w:pPr>
      <w:r>
        <w:rPr>
          <w:rFonts w:ascii="Arial" w:cs="Arial" w:eastAsia="Arial" w:hAnsi="Arial"/>
          <w:sz w:val="19"/>
          <w:szCs w:val="19"/>
          <w:color w:val="auto"/>
        </w:rPr>
        <w:t>gains attributable to early extinguishment of Indebtedness or obligations under any Swap Contract, (viii) litigation gains and settlements, (ix) non-cash gains (including non-cash exchange, translation or performance gains) relating to foreign currency hedging transactions or extraordinary, unusual or nonrecurring non-cash gains related to currency fluctuations, (x) one-time non-recurring up-front and milestone payments received under research and development licensing agreements, collaboration agreements or development agreements relating to uncommercialized product candidates and (xi) other extraordinary, unusual or nonrecurring gains or other items of income.</w:t>
      </w:r>
    </w:p>
    <w:p>
      <w:pPr>
        <w:spacing w:after="0" w:line="160"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For the purposes of calculating Consolidated EBITDA for any period of four consecutive fiscal quarters (each, a “</w:t>
      </w:r>
      <w:r>
        <w:rPr>
          <w:rFonts w:ascii="Arial" w:cs="Arial" w:eastAsia="Arial" w:hAnsi="Arial"/>
          <w:sz w:val="19"/>
          <w:szCs w:val="19"/>
          <w:u w:val="single" w:color="auto"/>
          <w:color w:val="auto"/>
        </w:rPr>
        <w:t>Reference Period</w:t>
      </w:r>
      <w:r>
        <w:rPr>
          <w:rFonts w:ascii="Arial" w:cs="Arial" w:eastAsia="Arial" w:hAnsi="Arial"/>
          <w:sz w:val="19"/>
          <w:szCs w:val="19"/>
          <w:color w:val="auto"/>
        </w:rPr>
        <w:t xml:space="preserve">”), if at any time during such Reference Period Borrower or any Subsidiary shall have made any Material Disposition or a Material Acquisition, Consolidated EBITDA for such Reference Period shall be calculated after giving pro forma effect thereto in accordance with </w:t>
      </w:r>
      <w:r>
        <w:rPr>
          <w:rFonts w:ascii="Arial" w:cs="Arial" w:eastAsia="Arial" w:hAnsi="Arial"/>
          <w:sz w:val="19"/>
          <w:szCs w:val="19"/>
          <w:u w:val="single" w:color="auto"/>
          <w:color w:val="auto"/>
        </w:rPr>
        <w:t>Section 1.03(c)</w:t>
      </w:r>
      <w:r>
        <w:rPr>
          <w:rFonts w:ascii="Arial" w:cs="Arial" w:eastAsia="Arial" w:hAnsi="Arial"/>
          <w:sz w:val="19"/>
          <w:szCs w:val="19"/>
          <w:color w:val="auto"/>
        </w:rPr>
        <w:t>.</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means, as of any date of determination, the ratio of</w:t>
      </w:r>
    </w:p>
    <w:p>
      <w:pPr>
        <w:spacing w:after="0" w:line="56" w:lineRule="exact"/>
        <w:rPr>
          <w:sz w:val="20"/>
          <w:szCs w:val="20"/>
          <w:color w:val="auto"/>
        </w:rPr>
      </w:pPr>
    </w:p>
    <w:p>
      <w:pPr>
        <w:ind w:left="540" w:right="479"/>
        <w:spacing w:after="0" w:line="246" w:lineRule="auto"/>
        <w:tabs>
          <w:tab w:leader="none" w:pos="85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Consolidated Total Debt as of such date to (b) Consolidated EBITDA for the period of the four fiscal quarters of the Borrower then most recently ended.</w:t>
      </w:r>
    </w:p>
    <w:p>
      <w:pPr>
        <w:spacing w:after="0" w:line="192"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for any period, the consolidated net income (or loss) of the Borrower and its Subsidiaries for such period, determined on a consolidated basis in accordance with GAAP.</w:t>
      </w:r>
    </w:p>
    <w:p>
      <w:pPr>
        <w:spacing w:after="0" w:line="18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means, at any time, total assets (less applicable reserves and other properly deductible items) after deducting all goodwill, in each case of</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5" w:name="page116"/>
    <w:bookmarkEnd w:id="115"/>
    <w:p>
      <w:pPr>
        <w:jc w:val="both"/>
        <w:ind w:left="540" w:right="479"/>
        <w:spacing w:after="0" w:line="343" w:lineRule="auto"/>
        <w:rPr>
          <w:sz w:val="20"/>
          <w:szCs w:val="20"/>
          <w:color w:val="auto"/>
        </w:rPr>
      </w:pPr>
      <w:r>
        <w:rPr>
          <w:rFonts w:ascii="Arial" w:cs="Arial" w:eastAsia="Arial" w:hAnsi="Arial"/>
          <w:sz w:val="19"/>
          <w:szCs w:val="19"/>
          <w:color w:val="auto"/>
        </w:rPr>
        <w:t>the Borrower and its Subsidiaries at such time that would be reflected on a consolidated balance sheet of the Borrower and its Subsidiaries prepared in accordance with GAAP.</w:t>
      </w:r>
    </w:p>
    <w:p>
      <w:pPr>
        <w:spacing w:after="0" w:line="104" w:lineRule="exact"/>
        <w:rPr>
          <w:sz w:val="20"/>
          <w:szCs w:val="20"/>
          <w:color w:val="auto"/>
        </w:rPr>
      </w:pPr>
    </w:p>
    <w:p>
      <w:pPr>
        <w:jc w:val="both"/>
        <w:ind w:left="540" w:right="479" w:firstLine="635"/>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at any time, the total assets of the Borrower and its Subsidiaries at such time that would be reflected on a consolidated balance sheet of the Borrower and its Subsidiaries prepared in accordance with GAAP.</w:t>
      </w:r>
    </w:p>
    <w:p>
      <w:pPr>
        <w:spacing w:after="0" w:line="133" w:lineRule="exact"/>
        <w:rPr>
          <w:sz w:val="20"/>
          <w:szCs w:val="20"/>
          <w:color w:val="auto"/>
        </w:rPr>
      </w:pPr>
    </w:p>
    <w:p>
      <w:pPr>
        <w:jc w:val="both"/>
        <w:ind w:left="540" w:right="479" w:firstLine="635"/>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xml:space="preserve">” means, at any time, for Borrower and its Subsidiaries on a consolidated basis, the aggregate amount of (a) (i) all Indebtedness for borrowed money and all Indebtedness constituting obligations evidenced by bonds, debentures, notes, loan agreements or other similar instruments and (ii) all Capital Lease Obligations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excess, if any, of (i) the aggregate amount of cash, cash equivalents and marketable securities of the Borrower and its Subsidiaries, as reflected (under such line items) on a consolidated balance sheet of the Borrower and its Subsidiaries prepared as of such date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cash, cash equivalents and marketable securities do not appear (and would not be required to appear) as “restricted” on a consolidated balance sheet of the Borrower and its Subsidiaries prepared in accordance with GAAP, and (y) in the case of any such marketable securities, an active trading market exists therefor and price quotations are available and such marketable securities are not subject to any lock-up or other contractual restriction on the sale or other disposition thereof by the Borrower and its Subsidiaries (it being understood and agreed, for the avoidance of doubt, that U.S. Government debt securities owned by the Borrower or its Subsidiaries that are reflected on such consolidated balance sheet satisfy the foregoing criteria in this clause (y)), over (ii) $500,000,000. Notwithstanding the foregoing, solely for the purposes of determining Consolidated Total Debt at any time after the definitive agreement for any Acquisition shall have been executed and prior to the consummation of such Acquisition, any Acquisition Indebtedness with respect thereto shall be excluded from clause (a) above (and the proceeds thereof shall be excluded from clause (b) above).</w:t>
      </w:r>
    </w:p>
    <w:p>
      <w:pPr>
        <w:spacing w:after="0" w:line="173" w:lineRule="exact"/>
        <w:rPr>
          <w:sz w:val="20"/>
          <w:szCs w:val="20"/>
          <w:color w:val="auto"/>
        </w:rPr>
      </w:pPr>
    </w:p>
    <w:p>
      <w:pPr>
        <w:jc w:val="both"/>
        <w:ind w:left="540" w:right="479" w:firstLine="635"/>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67"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8"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Co-Syndication Agent</w:t>
      </w:r>
      <w:r>
        <w:rPr>
          <w:rFonts w:ascii="Arial" w:cs="Arial" w:eastAsia="Arial" w:hAnsi="Arial"/>
          <w:sz w:val="21"/>
          <w:szCs w:val="21"/>
          <w:color w:val="auto"/>
        </w:rPr>
        <w:t>” means Bank of America, N.A. and Mizuho Bank, Ltd., in their capacities as co-syndication agent for the credit facility provided for herein.</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20" w:lineRule="exact"/>
        <w:rPr>
          <w:sz w:val="20"/>
          <w:szCs w:val="20"/>
          <w:color w:val="auto"/>
        </w:rPr>
      </w:pPr>
    </w:p>
    <w:p>
      <w:pPr>
        <w:ind w:left="1180" w:right="499" w:firstLine="656"/>
        <w:spacing w:after="0" w:line="263" w:lineRule="auto"/>
        <w:tabs>
          <w:tab w:leader="none" w:pos="247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161" w:lineRule="exact"/>
        <w:rPr>
          <w:rFonts w:ascii="Arial" w:cs="Arial" w:eastAsia="Arial" w:hAnsi="Arial"/>
          <w:sz w:val="22"/>
          <w:szCs w:val="22"/>
          <w:color w:val="auto"/>
        </w:rPr>
      </w:pPr>
    </w:p>
    <w:p>
      <w:pPr>
        <w:ind w:left="1180" w:right="499" w:firstLine="656"/>
        <w:spacing w:after="0" w:line="263" w:lineRule="auto"/>
        <w:tabs>
          <w:tab w:leader="none" w:pos="247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ectPr>
          <w:pgSz w:w="11900" w:h="16838" w:orient="portrait"/>
          <w:cols w:equalWidth="0" w:num="1">
            <w:col w:w="9019"/>
          </w:cols>
          <w:pgMar w:left="1440" w:top="928" w:right="1440"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549275</wp:posOffset>
            </wp:positionV>
            <wp:extent cx="506603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16" w:name="page117"/>
    <w:bookmarkEnd w:id="116"/>
    <w:p>
      <w:pPr>
        <w:ind w:left="1180" w:right="499" w:firstLine="656"/>
        <w:spacing w:after="0" w:line="263" w:lineRule="auto"/>
        <w:tabs>
          <w:tab w:leader="none" w:pos="2476"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11.20</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a Borrowing or an L/C Credit Extension, or any of the foregoing, as the context might require.</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Party</w:t>
      </w:r>
      <w:r>
        <w:rPr>
          <w:rFonts w:ascii="Arial" w:cs="Arial" w:eastAsia="Arial" w:hAnsi="Arial"/>
          <w:sz w:val="19"/>
          <w:szCs w:val="19"/>
          <w:color w:val="auto"/>
        </w:rPr>
        <w:t>” means the Administrative Agent, each L/C Issuer or any other Lender.</w:t>
      </w:r>
    </w:p>
    <w:p>
      <w:pPr>
        <w:spacing w:after="0" w:line="254"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of the United States, and all other liquidation, conservatorship, bankruptcy, assignment for the benefit of creditors, moratorium, rearrangement, receivership, court protection, insolvency, reorganization, examinership or similar debtor relief Laws of the United States or other applicable jurisdictions from time to time in effect and affecting the rights of creditors generally.</w:t>
      </w:r>
    </w:p>
    <w:p>
      <w:pPr>
        <w:spacing w:after="0" w:line="17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that constitutes an Event of Default or that, with the giving of any notice, the passage of time, or both, would be an Event of Default.</w:t>
      </w:r>
    </w:p>
    <w:p>
      <w:pPr>
        <w:spacing w:after="0" w:line="104"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5" w:lineRule="exact"/>
        <w:rPr>
          <w:sz w:val="20"/>
          <w:szCs w:val="20"/>
          <w:color w:val="auto"/>
        </w:rPr>
      </w:pPr>
    </w:p>
    <w:p>
      <w:pPr>
        <w:jc w:val="both"/>
        <w:ind w:left="540" w:right="479" w:firstLine="635"/>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2.16(b)</w:t>
      </w:r>
      <w:r>
        <w:rPr>
          <w:rFonts w:ascii="Arial" w:cs="Arial" w:eastAsia="Arial" w:hAnsi="Arial"/>
          <w:sz w:val="19"/>
          <w:szCs w:val="19"/>
          <w:color w:val="auto"/>
        </w:rPr>
        <w:t xml:space="preserve">, any Lender that, (a) has failed to (i) fund all or any portion of its Loans within two (2) Business Days of the date required to be funded by it hereunder unless such Lender notifies the Administrative Agent and Borrower in writing that such failure is the result of such Lender’s good faith determination that one or more conditions precedent to funding (each of which conditions precedent, together with any applicable Default, shall be specifically identified and supported by reasonable background information provided by such Lender in such writing) has not been satisfied, or (ii) pay to the Administrative Agent, any L/C Issuer or any other Lender any other amount required to be paid by it hereunder (including in respect of its participation in Letters of Credit) within two (2) Business Days of the date when due, (b) has notified the Borrower, the Administrative Agent or any L/C Issuer in writing, or has made a public statement to the effect, that it does not intend to comply with its funding obligations hereunder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and supported by reasonable background information provided by such Lender in such writing or public statement) cannot be satisfied) or generally under other agreements in which it commits to extend credit, (c) has failed, within three (3) Business Days after written request by the Administrative Agent,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by the Administrative Agent and the Borrower of such written confirmation in form and substance satisfactory to the Administrative Agent and Borrower, or (d) has, or has a direct or indirect parent company that has, (i) become the subject of a Bail-In Action, (ii) become the subject of a proceeding under any Debtor Relief Law or (iii) had appointed for it a receiver, custodian, conservator, trustee, administrator, examiner, assignee for the</w:t>
      </w:r>
    </w:p>
    <w:p>
      <w:pPr>
        <w:sectPr>
          <w:pgSz w:w="11900" w:h="16838" w:orient="portrait"/>
          <w:cols w:equalWidth="0" w:num="1">
            <w:col w:w="9019"/>
          </w:cols>
          <w:pgMar w:left="1440" w:top="928"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6603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17" w:name="page118"/>
    <w:bookmarkEnd w:id="117"/>
    <w:p>
      <w:pPr>
        <w:jc w:val="both"/>
        <w:ind w:left="540" w:right="479"/>
        <w:spacing w:after="0" w:line="286" w:lineRule="auto"/>
        <w:rPr>
          <w:sz w:val="20"/>
          <w:szCs w:val="20"/>
          <w:color w:val="auto"/>
        </w:rPr>
      </w:pPr>
      <w:r>
        <w:rPr>
          <w:rFonts w:ascii="Arial" w:cs="Arial" w:eastAsia="Arial" w:hAnsi="Arial"/>
          <w:sz w:val="19"/>
          <w:szCs w:val="19"/>
          <w:color w:val="auto"/>
        </w:rPr>
        <w:t xml:space="preserve">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or the Borrower that a Lender is a Defaulting Lender under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2.16(b)</w:t>
      </w:r>
      <w:r>
        <w:rPr>
          <w:rFonts w:ascii="Arial" w:cs="Arial" w:eastAsia="Arial" w:hAnsi="Arial"/>
          <w:sz w:val="19"/>
          <w:szCs w:val="19"/>
          <w:color w:val="auto"/>
        </w:rPr>
        <w:t>) upon delivery of written notice of such determination to the Administrative Agent, the Borrower, Borrower, each L/C Issuer and such Lender.</w:t>
      </w:r>
    </w:p>
    <w:p>
      <w:pPr>
        <w:spacing w:after="0" w:line="162" w:lineRule="exact"/>
        <w:rPr>
          <w:sz w:val="20"/>
          <w:szCs w:val="20"/>
          <w:color w:val="auto"/>
        </w:rPr>
      </w:pPr>
    </w:p>
    <w:p>
      <w:pPr>
        <w:jc w:val="both"/>
        <w:ind w:left="540" w:right="479" w:firstLine="635"/>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 of the Obligations</w:t>
      </w:r>
      <w:r>
        <w:rPr>
          <w:rFonts w:ascii="Arial" w:cs="Arial" w:eastAsia="Arial" w:hAnsi="Arial"/>
          <w:sz w:val="19"/>
          <w:szCs w:val="19"/>
          <w:color w:val="auto"/>
        </w:rPr>
        <w:t>” means (and shall have occurred when) (a) all Obligations (other than contingent obligations as to which no claim has been asserted) shall have been paid in full in cash, (b) no L/C Borrowing and no Letter of Credit shall be outstanding (other than Letters of Credit that have been Cash Collateralized in full or as to which other arrangements satisfactory to the applicable L/C Issuer and the Administrative Agent shall have been made) and (c) all Commitments shall have terminated or expired.</w:t>
      </w:r>
    </w:p>
    <w:p>
      <w:pPr>
        <w:spacing w:after="0" w:line="149"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Discretionary Alternative Currency</w:t>
      </w:r>
      <w:r>
        <w:rPr>
          <w:rFonts w:ascii="Arial" w:cs="Arial" w:eastAsia="Arial" w:hAnsi="Arial"/>
          <w:sz w:val="22"/>
          <w:szCs w:val="22"/>
          <w:color w:val="auto"/>
        </w:rPr>
        <w:t>” means any lawful currency, other than US Dollars, that is freely transferable and freely convertible into US Dollars. Loans denominated in a Discretionary Alternative Currency may only be Eurocurrency Rate Loans or Absolute Rate Loans.</w:t>
      </w:r>
    </w:p>
    <w:p>
      <w:pPr>
        <w:spacing w:after="0" w:line="188" w:lineRule="exact"/>
        <w:rPr>
          <w:sz w:val="20"/>
          <w:szCs w:val="20"/>
          <w:color w:val="auto"/>
        </w:rPr>
      </w:pPr>
    </w:p>
    <w:p>
      <w:pPr>
        <w:jc w:val="both"/>
        <w:ind w:left="540" w:right="479" w:firstLine="635"/>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Competitor</w:t>
      </w:r>
      <w:r>
        <w:rPr>
          <w:rFonts w:ascii="Arial" w:cs="Arial" w:eastAsia="Arial" w:hAnsi="Arial"/>
          <w:sz w:val="19"/>
          <w:szCs w:val="19"/>
          <w:color w:val="auto"/>
        </w:rPr>
        <w:t xml:space="preserve">” means (a) Persons that are reasonably determined by the Borrower to be competitors of the Borrower or its Subsidiaries and which are specifically identified by the Borrower to the Administrative Agent and the Lenders in writing and delivered in accordance with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prior to the Effective Date, (b) any other Person that is reasonably determined by the Borrower to be a competitor of the Borrower or its Subsidiaries and which is specifically identified in a written supplement to the list of “Disqualified Competitors”, which supplement shall become effective three (3) Business Days after delivery thereof to the Administrative Agent and the Lenders in accordance with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and (c) in the case of the foregoing clauses (a) and (b), any of such entities’ Affiliates to the extent such Affiliates (x) are clearly identifiable as Affiliates of such Persons based solely on the similarity of such Affiliates’ and such Persons’ names and (y) are not bona fide debt investment funds. It is understood and agreed that (i) any supplement to the list of Persons that are Disqualified Competitors contemplated by the foregoing clause</w:t>
      </w:r>
    </w:p>
    <w:p>
      <w:pPr>
        <w:spacing w:after="0" w:line="3" w:lineRule="exact"/>
        <w:rPr>
          <w:sz w:val="20"/>
          <w:szCs w:val="20"/>
          <w:color w:val="auto"/>
        </w:rPr>
      </w:pPr>
    </w:p>
    <w:p>
      <w:pPr>
        <w:jc w:val="both"/>
        <w:ind w:left="540" w:right="479"/>
        <w:spacing w:after="0" w:line="288"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Competitor, (iii) the Borrower’s failure to deliver such list (or supplement thereto) in accordance with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shall render such list (or supplement) not received and not effective and (iv) “Disqualified Competitor” shall exclude any Person that the Borrower has designated as no longer being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8" w:name="page119"/>
    <w:bookmarkEnd w:id="118"/>
    <w:p>
      <w:pPr>
        <w:jc w:val="both"/>
        <w:ind w:left="540" w:right="479"/>
        <w:spacing w:after="0" w:line="263" w:lineRule="auto"/>
        <w:rPr>
          <w:sz w:val="20"/>
          <w:szCs w:val="20"/>
          <w:color w:val="auto"/>
        </w:rPr>
      </w:pPr>
      <w:r>
        <w:rPr>
          <w:rFonts w:ascii="Arial" w:cs="Arial" w:eastAsia="Arial" w:hAnsi="Arial"/>
          <w:sz w:val="22"/>
          <w:szCs w:val="22"/>
          <w:color w:val="auto"/>
        </w:rPr>
        <w:t xml:space="preserve">a “Disqualified Competitor” by written notice delivered to the Administrative Agent from time to time in accordance with </w:t>
      </w:r>
      <w:r>
        <w:rPr>
          <w:rFonts w:ascii="Arial" w:cs="Arial" w:eastAsia="Arial" w:hAnsi="Arial"/>
          <w:sz w:val="22"/>
          <w:szCs w:val="22"/>
          <w:u w:val="single" w:color="auto"/>
          <w:color w:val="auto"/>
        </w:rPr>
        <w:t>Section 11.02</w:t>
      </w:r>
      <w:r>
        <w:rPr>
          <w:rFonts w:ascii="Arial" w:cs="Arial" w:eastAsia="Arial" w:hAnsi="Arial"/>
          <w:sz w:val="22"/>
          <w:szCs w:val="22"/>
          <w:color w:val="auto"/>
        </w:rPr>
        <w:t>.</w:t>
      </w:r>
    </w:p>
    <w:p>
      <w:pPr>
        <w:spacing w:after="0" w:line="175" w:lineRule="exact"/>
        <w:rPr>
          <w:sz w:val="20"/>
          <w:szCs w:val="20"/>
          <w:color w:val="auto"/>
        </w:rPr>
      </w:pPr>
    </w:p>
    <w:p>
      <w:pPr>
        <w:jc w:val="both"/>
        <w:ind w:left="540" w:right="479" w:firstLine="63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of any property by any Person, including any sale and leaseback transaction and any sale, assignment, transfer or other disposal, with or without recourse, of any notes or accounts receivable or any rights and claims associated therewith.</w:t>
      </w:r>
    </w:p>
    <w:p>
      <w:pPr>
        <w:spacing w:after="0" w:line="142"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Subsidiary organized under the laws of a jurisdiction located in the United States of America other than a Subsidiary (i) that is a Subsidiary of a CFC or (ii) substantially all of the assets of which are Equity Interests or Equity Interests and debt interests in one or more CFCs.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DQ List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11.06(h)(iv)</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Financial Institution</w:t>
      </w:r>
      <w:r>
        <w:rPr>
          <w:rFonts w:ascii="Arial" w:cs="Arial" w:eastAsia="Arial" w:hAnsi="Arial"/>
          <w:sz w:val="21"/>
          <w:szCs w:val="21"/>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79"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member state of the European Union, Iceland, Liechtenstein and Norway.</w:t>
      </w:r>
    </w:p>
    <w:p>
      <w:pPr>
        <w:spacing w:after="0" w:line="17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8"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precedent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have been satisfied, which date is August 18, 2021.</w:t>
      </w:r>
    </w:p>
    <w:p>
      <w:pPr>
        <w:spacing w:after="0" w:line="17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Signature</w:t>
      </w:r>
      <w:r>
        <w:rPr>
          <w:rFonts w:ascii="Arial" w:cs="Arial" w:eastAsia="Arial" w:hAnsi="Arial"/>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8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means any Person that meets the requirements to be an assignee under </w:t>
      </w:r>
      <w:r>
        <w:rPr>
          <w:rFonts w:ascii="Arial" w:cs="Arial" w:eastAsia="Arial" w:hAnsi="Arial"/>
          <w:sz w:val="22"/>
          <w:szCs w:val="22"/>
          <w:u w:val="single" w:color="auto"/>
          <w:color w:val="auto"/>
        </w:rPr>
        <w:t>Sections 11.06(b)(iii)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11.06(b)(v)</w:t>
      </w:r>
      <w:r>
        <w:rPr>
          <w:rFonts w:ascii="Arial" w:cs="Arial" w:eastAsia="Arial" w:hAnsi="Arial"/>
          <w:sz w:val="22"/>
          <w:szCs w:val="22"/>
          <w:color w:val="auto"/>
        </w:rPr>
        <w:t xml:space="preserve">, 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w:t>
      </w:r>
    </w:p>
    <w:p>
      <w:pPr>
        <w:spacing w:after="0" w:line="18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federal, state, local and foreign statutes, Laws, regulations, ordinances, rules, judgments, orders, or decrees relating to pollution, the protection of the environment or the release of any hazardous or toxic materials into the environment.</w:t>
      </w:r>
    </w:p>
    <w:p>
      <w:pPr>
        <w:spacing w:after="0" w:line="188" w:lineRule="exact"/>
        <w:rPr>
          <w:sz w:val="20"/>
          <w:szCs w:val="20"/>
          <w:color w:val="auto"/>
        </w:rPr>
      </w:pPr>
    </w:p>
    <w:p>
      <w:pPr>
        <w:jc w:val="both"/>
        <w:ind w:left="540" w:right="479" w:firstLine="635"/>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environmental remediation, fines, penalties or indemnities), directly or indirectly resulting from or based upon (a) violation of 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19" w:name="page120"/>
    <w:bookmarkEnd w:id="119"/>
    <w:p>
      <w:pPr>
        <w:jc w:val="both"/>
        <w:ind w:left="540" w:right="479"/>
        <w:spacing w:after="0" w:line="261" w:lineRule="auto"/>
        <w:rPr>
          <w:sz w:val="20"/>
          <w:szCs w:val="20"/>
          <w:color w:val="auto"/>
        </w:rPr>
      </w:pPr>
      <w:r>
        <w:rPr>
          <w:rFonts w:ascii="Arial" w:cs="Arial" w:eastAsia="Arial" w:hAnsi="Arial"/>
          <w:sz w:val="21"/>
          <w:szCs w:val="21"/>
          <w:color w:val="auto"/>
        </w:rPr>
        <w:t>Environmental Law or permit required thereunder, (b) the generation, use, handling, transportation, storage, treatment or disposal of any Hazardous Materials, (c) exposure to any Hazardous Materials, (d) the release or threatened release of any Hazardous Materials into the environment or (e) any governmental order or acquisition or divestiture agreement or other consensual arrangement pursuant to which liability is assumed or imposed with respect to any of the foregoing.</w:t>
      </w:r>
    </w:p>
    <w:p>
      <w:pPr>
        <w:spacing w:after="0" w:line="179"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Indebtedness that is convertible into any Equity Interests shall not constitute Equity Interests prior to the conversion thereof.</w:t>
      </w:r>
    </w:p>
    <w:p>
      <w:pPr>
        <w:spacing w:after="0" w:line="163"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 and the rules and regulations promulgated thereunder.</w:t>
      </w:r>
    </w:p>
    <w:p>
      <w:pPr>
        <w:spacing w:after="0" w:line="151"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Borrower within the meaning of Section 414(b) or (c) of the Code or Section 4001(14) of ERISA (and Sections 414(m) and (o) of the Code for purposes of provisions relating to Section 412 of the Code).</w:t>
      </w:r>
    </w:p>
    <w:p>
      <w:pPr>
        <w:spacing w:after="0" w:line="188" w:lineRule="exact"/>
        <w:rPr>
          <w:sz w:val="20"/>
          <w:szCs w:val="20"/>
          <w:color w:val="auto"/>
        </w:rPr>
      </w:pPr>
    </w:p>
    <w:p>
      <w:pPr>
        <w:jc w:val="both"/>
        <w:ind w:left="540" w:right="459" w:firstLine="635"/>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 Reportable Event with respect to a Pension Plan or Multiemployer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(within the meaning of Sections 4203 and 4205 of ERISA) by the Borrower or any ERISA Affiliate from a Multiemployer Plan if there is any potential liability therefor, (d) the filing by a Pension Plan administrator of a notice of intent to terminate pursuant to Section 4041(a)(2) of ERISA or the commencement of proceedings by the PBGC to terminate pursuant to Section 4042 of ERISA, a Pension Plan or Multiemployer Plan, (e) the appointment of a trustee to administer any Pension Plan or Multiemployer Plan, (f) the incurrence by the Borrower or any ERISA Affiliate of any liability under Title IV of ERISA with respect to the termination of any Pension Plan pursuant to Section 4041 of ERISA or (g) the determination that any Pension Plan or Multiemployer Plan is considered an at-risk plan or a plan in endangered or critical status within the meaning of Sections 430, 431 and 432 of the Code or Sections 303, 304 and 305 of ERISA.</w:t>
      </w:r>
    </w:p>
    <w:p>
      <w:pPr>
        <w:spacing w:after="0" w:line="198"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ectPr>
          <w:pgSz w:w="11900" w:h="16838" w:orient="portrait"/>
          <w:cols w:equalWidth="0" w:num="1">
            <w:col w:w="9019"/>
          </w:cols>
          <w:pgMar w:left="1440" w:top="928"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0" w:name="page121"/>
    <w:bookmarkEnd w:id="120"/>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w:t>
      </w:r>
      <w:r>
        <w:rPr>
          <w:rFonts w:ascii="Arial" w:cs="Arial" w:eastAsia="Arial" w:hAnsi="Arial"/>
          <w:sz w:val="22"/>
          <w:szCs w:val="22"/>
          <w:color w:val="auto"/>
        </w:rPr>
        <w:t>” means, with respect to any Eurocurrency Rate Borrowing in Dollars for any Interest Period, the LIBO Rate.</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 Borrowing</w:t>
      </w:r>
      <w:r>
        <w:rPr>
          <w:rFonts w:ascii="Arial" w:cs="Arial" w:eastAsia="Arial" w:hAnsi="Arial"/>
          <w:sz w:val="22"/>
          <w:szCs w:val="22"/>
          <w:color w:val="auto"/>
        </w:rPr>
        <w:t>” means a Borrowing comprised of Eurocurrency Rate Loans.</w:t>
      </w:r>
    </w:p>
    <w:p>
      <w:pPr>
        <w:spacing w:after="0" w:line="17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 Committed Loan</w:t>
      </w:r>
      <w:r>
        <w:rPr>
          <w:rFonts w:ascii="Arial" w:cs="Arial" w:eastAsia="Arial" w:hAnsi="Arial"/>
          <w:sz w:val="22"/>
          <w:szCs w:val="22"/>
          <w:color w:val="auto"/>
        </w:rPr>
        <w:t>” means a Committed Loan that bears interest by reference to the Eurocurrency Rate. All Committed Loans denominated in an Alternative Currency must be Eurocurrency Rate Committed Loans.</w:t>
      </w:r>
    </w:p>
    <w:p>
      <w:pPr>
        <w:spacing w:after="0" w:line="185" w:lineRule="exact"/>
        <w:rPr>
          <w:sz w:val="20"/>
          <w:szCs w:val="20"/>
          <w:color w:val="auto"/>
        </w:rPr>
      </w:pPr>
    </w:p>
    <w:p>
      <w:pPr>
        <w:jc w:val="both"/>
        <w:ind w:left="540" w:right="479" w:firstLine="635"/>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 Loan</w:t>
      </w:r>
      <w:r>
        <w:rPr>
          <w:rFonts w:ascii="Arial" w:cs="Arial" w:eastAsia="Arial" w:hAnsi="Arial"/>
          <w:sz w:val="19"/>
          <w:szCs w:val="19"/>
          <w:color w:val="auto"/>
        </w:rPr>
        <w:t>” means a Loan that bears interest by reference to the Eurocurrency Rate, which may only be a Eurocurrency Rate Committed Loan. Eurocurrency Rate Loans may be denominated in US Dollars or in an Alternative Currency.</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means on any day, for purposes of determining the US Dollar Equivalent of any currency other than US Dollars, the rate at which such other currency may be exchanged into US Dollars (or, solely for purposes of </w:t>
      </w:r>
      <w:r>
        <w:rPr>
          <w:rFonts w:ascii="Arial" w:cs="Arial" w:eastAsia="Arial" w:hAnsi="Arial"/>
          <w:sz w:val="19"/>
          <w:szCs w:val="19"/>
          <w:u w:val="single" w:color="auto"/>
          <w:color w:val="auto"/>
        </w:rPr>
        <w:t>Section 2.04(c)(ii)</w:t>
      </w:r>
      <w:r>
        <w:rPr>
          <w:rFonts w:ascii="Arial" w:cs="Arial" w:eastAsia="Arial" w:hAnsi="Arial"/>
          <w:sz w:val="19"/>
          <w:szCs w:val="19"/>
          <w:color w:val="auto"/>
        </w:rPr>
        <w:t xml:space="preserve">, the rate at which US Dollars may be exchanged into such other currency) at the time of determination on such day as last provided (either by publication or otherwise provided to the Administrative Agent) by the applicable Reuters source on the Business Day (New York City time) immediately preceding the date of determination. In the event that such rate is not so provided to the Administrative Agent, the Exchange Rate shall be determined by reference to such other publicly available service for displaying exchange rates as may be agreed upon by the Administrative Agent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absence of such an agreement, the Administrative Agent may use any reasonable method it deems appropriate to determine such rate, and such determination shall be conclusive absent manifest error.</w:t>
      </w:r>
    </w:p>
    <w:p>
      <w:pPr>
        <w:spacing w:after="0" w:line="200" w:lineRule="exact"/>
        <w:rPr>
          <w:sz w:val="20"/>
          <w:szCs w:val="20"/>
          <w:color w:val="auto"/>
        </w:rPr>
      </w:pPr>
    </w:p>
    <w:p>
      <w:pPr>
        <w:spacing w:after="0" w:line="215" w:lineRule="exact"/>
        <w:rPr>
          <w:sz w:val="20"/>
          <w:szCs w:val="20"/>
          <w:color w:val="auto"/>
        </w:rPr>
      </w:pPr>
    </w:p>
    <w:p>
      <w:pPr>
        <w:jc w:val="both"/>
        <w:ind w:left="540" w:right="479" w:firstLine="68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L/C Issuer or any other recipient of any payment to be made by or on account of any obligation of the Loan Parties hereunder or under any other Loan Document, (a) Taxes imposed on or measured by its net income (however denominated), branch profits Taxes and franchise Taxes, in each case, (i) imposed on it, by the United States (or any political subdivision or taxing authority thereof or therein), or by the jurisdiction (or any political subdivision or taxing authority thereof or therein) under the Laws of which such recipient is organized or in which its principal office is located or, in the case of any Lender, in which its applicable Lending Office is located, or (ii) that are Other Connection Taxes, (b) any withholding Tax that is imposed by the United States on amounts payable to a recipient with respect to an applicable interest in the Loan or Commitment pursuant to any Law in effect at the time such recipient acquires such interest in the Loan or Commitment (other than pursuant to an assignment request by the Borrower under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or designates a new Lending Office, except to the extent that such recipient (or its assignor, in the case of an assignment) was entitled, immediately before the designation of a new Lending Office (or assignment), to receive additional amounts from the Loan Parties with respect to such withholding Tax pursuant to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(c) any Tax that is attributable to a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3.01(g)</w:t>
      </w:r>
      <w:r>
        <w:rPr>
          <w:rFonts w:ascii="Arial" w:cs="Arial" w:eastAsia="Arial" w:hAnsi="Arial"/>
          <w:sz w:val="19"/>
          <w:szCs w:val="19"/>
          <w:color w:val="auto"/>
        </w:rPr>
        <w:t>, and (d) any withholding Taxes imposed pursuant to FATCA.</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1" w:name="page122"/>
    <w:bookmarkEnd w:id="121"/>
    <w:p>
      <w:pPr>
        <w:jc w:val="both"/>
        <w:ind w:left="540" w:right="479" w:firstLine="635"/>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Letter of Credit</w:t>
      </w:r>
      <w:r>
        <w:rPr>
          <w:rFonts w:ascii="Arial" w:cs="Arial" w:eastAsia="Arial" w:hAnsi="Arial"/>
          <w:sz w:val="21"/>
          <w:szCs w:val="21"/>
          <w:color w:val="auto"/>
        </w:rPr>
        <w:t xml:space="preserve">” means any letter of credit issued and outstanding as of the Effective Date and listed on </w:t>
      </w:r>
      <w:r>
        <w:rPr>
          <w:rFonts w:ascii="Arial" w:cs="Arial" w:eastAsia="Arial" w:hAnsi="Arial"/>
          <w:sz w:val="21"/>
          <w:szCs w:val="21"/>
          <w:u w:val="single" w:color="auto"/>
          <w:color w:val="auto"/>
        </w:rPr>
        <w:t>Schedule 2.04(b)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issuer thereof is a Lender as of the Effective Date. Each such letter of credit so designated shall be deemed to constitute a Letter of Credit and a Letter of Credit issued hereunder on the Effective Date for all purposes under this Agreement and the other Loan Documents.</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FASB ASC</w:t>
      </w:r>
      <w:r>
        <w:rPr>
          <w:rFonts w:ascii="Arial" w:cs="Arial" w:eastAsia="Arial" w:hAnsi="Arial"/>
          <w:sz w:val="22"/>
          <w:szCs w:val="22"/>
          <w:color w:val="auto"/>
        </w:rPr>
        <w:t>” means the Accounting Standards Codification of the Financial Accounting Standards Board.</w:t>
      </w:r>
    </w:p>
    <w:p>
      <w:pPr>
        <w:spacing w:after="0" w:line="175" w:lineRule="exact"/>
        <w:rPr>
          <w:sz w:val="20"/>
          <w:szCs w:val="20"/>
          <w:color w:val="auto"/>
        </w:rPr>
      </w:pPr>
    </w:p>
    <w:p>
      <w:pPr>
        <w:jc w:val="both"/>
        <w:ind w:left="540" w:right="479" w:firstLine="635"/>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FCA</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1.09</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as so determined would be be less than zero, such rate shall be deemed to be zero for all purposes of this Agreement.</w:t>
      </w:r>
    </w:p>
    <w:p>
      <w:pPr>
        <w:spacing w:after="0" w:line="149"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Board</w:t>
      </w:r>
      <w:r>
        <w:rPr>
          <w:rFonts w:ascii="Arial" w:cs="Arial" w:eastAsia="Arial" w:hAnsi="Arial"/>
          <w:sz w:val="22"/>
          <w:szCs w:val="22"/>
          <w:color w:val="auto"/>
        </w:rPr>
        <w:t>” means the Board of Governors of the Federal Reserve System of the United States of America.</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Borrower ending on December 31st of each calendar year.</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not a US Person.</w:t>
      </w:r>
    </w:p>
    <w:p>
      <w:pPr>
        <w:spacing w:after="0" w:line="220"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any L/C Issuer, such Defaulting Lender’s Applicable Percentage of the outstanding L/C Obligations with respect to Letters of Credit issued by such L/C Issuer, other than any such L/C Obligations as to which such Defaulting Lender’s participation obligation has been reallocated to other Lenders or Cash Collateralized in accordance with the terms hereof.</w:t>
      </w:r>
    </w:p>
    <w:p>
      <w:pPr>
        <w:spacing w:after="0" w:line="147"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8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1.03</w:t>
      </w:r>
      <w:r>
        <w:rPr>
          <w:rFonts w:ascii="Arial" w:cs="Arial" w:eastAsia="Arial" w:hAnsi="Arial"/>
          <w:sz w:val="19"/>
          <w:szCs w:val="19"/>
          <w:color w:val="auto"/>
        </w:rPr>
        <w:t>, generally accepted accounting principles in the United States, applied in accordance with the consistency requirements thereof.</w:t>
      </w:r>
    </w:p>
    <w:p>
      <w:pPr>
        <w:spacing w:after="0" w:line="104"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or any other nation, or of any political subdivision thereof, whether state or local, and any agency,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2" w:name="page123"/>
    <w:bookmarkEnd w:id="122"/>
    <w:p>
      <w:pPr>
        <w:jc w:val="both"/>
        <w:ind w:left="540" w:right="479"/>
        <w:spacing w:after="0" w:line="250" w:lineRule="auto"/>
        <w:rPr>
          <w:sz w:val="20"/>
          <w:szCs w:val="20"/>
          <w:color w:val="auto"/>
        </w:rPr>
      </w:pPr>
      <w:r>
        <w:rPr>
          <w:rFonts w:ascii="Arial" w:cs="Arial" w:eastAsia="Arial" w:hAnsi="Arial"/>
          <w:sz w:val="22"/>
          <w:szCs w:val="22"/>
          <w:color w:val="auto"/>
        </w:rPr>
        <w:t>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8" w:lineRule="exact"/>
        <w:rPr>
          <w:sz w:val="20"/>
          <w:szCs w:val="20"/>
          <w:color w:val="auto"/>
        </w:rPr>
      </w:pPr>
    </w:p>
    <w:p>
      <w:pPr>
        <w:jc w:val="both"/>
        <w:ind w:left="540" w:right="479" w:firstLine="635"/>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will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200" w:lineRule="exact"/>
        <w:rPr>
          <w:sz w:val="20"/>
          <w:szCs w:val="20"/>
          <w:color w:val="auto"/>
        </w:rPr>
      </w:pPr>
    </w:p>
    <w:p>
      <w:pPr>
        <w:spacing w:after="0" w:line="230"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Parties</w:t>
      </w:r>
      <w:r>
        <w:rPr>
          <w:rFonts w:ascii="Arial" w:cs="Arial" w:eastAsia="Arial" w:hAnsi="Arial"/>
          <w:sz w:val="22"/>
          <w:szCs w:val="22"/>
          <w:color w:val="auto"/>
        </w:rPr>
        <w:t>” means, collectively, the Administrative Agent, the Arrangers, the Lenders, each L/C Issuer and each Indemnitee.</w:t>
      </w:r>
    </w:p>
    <w:p>
      <w:pPr>
        <w:spacing w:after="0" w:line="175" w:lineRule="exact"/>
        <w:rPr>
          <w:sz w:val="20"/>
          <w:szCs w:val="20"/>
          <w:color w:val="auto"/>
        </w:rPr>
      </w:pPr>
    </w:p>
    <w:p>
      <w:pPr>
        <w:jc w:val="both"/>
        <w:ind w:left="540" w:right="479" w:firstLine="635"/>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 Counterpart</w:t>
      </w:r>
      <w:r>
        <w:rPr>
          <w:rFonts w:ascii="Arial" w:cs="Arial" w:eastAsia="Arial" w:hAnsi="Arial"/>
          <w:sz w:val="22"/>
          <w:szCs w:val="22"/>
          <w:color w:val="auto"/>
        </w:rPr>
        <w:t xml:space="preserve">” means the Guarantor Counterpart Agreement to be entered into by the Borrower (if applicable) or any Domestic Subsidiary that may become a Subsidiary Guarantor after the Effective Date, in each case, in favor of the Administrative Agent,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with such modifications thereto as may be reasonably agreed by the Administrative Agent and Borrower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10.10(b)</w:t>
      </w:r>
      <w:r>
        <w:rPr>
          <w:rFonts w:ascii="Arial" w:cs="Arial" w:eastAsia="Arial" w:hAnsi="Arial"/>
          <w:sz w:val="22"/>
          <w:szCs w:val="22"/>
          <w:color w:val="auto"/>
        </w:rPr>
        <w:t>.</w:t>
      </w:r>
    </w:p>
    <w:p>
      <w:pPr>
        <w:spacing w:after="0" w:line="19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means, collectively, the Subsidiary Guarantors.</w:t>
      </w:r>
    </w:p>
    <w:p>
      <w:pPr>
        <w:spacing w:after="0" w:line="220" w:lineRule="exact"/>
        <w:rPr>
          <w:sz w:val="20"/>
          <w:szCs w:val="20"/>
          <w:color w:val="auto"/>
        </w:rPr>
      </w:pPr>
    </w:p>
    <w:p>
      <w:pPr>
        <w:jc w:val="both"/>
        <w:ind w:left="540" w:right="479" w:firstLine="635"/>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radioactive, hazardous or toxic substances or wastes and other pollutants, including petroleum or petroleum distillates, asbestos or asbestos-containing materials, polychlorinated biphenyls, radon gas, infectious or medical wastes, in each case, that are regulated, or for which liability may be imposed, pursuant to any Environmental Law.</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Honor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2.04(c)(ii)</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3" w:name="page124"/>
    <w:bookmarkEnd w:id="123"/>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such term in the definition of “LIBO Rate”.</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Effective Date</w:t>
      </w:r>
      <w:r>
        <w:rPr>
          <w:rFonts w:ascii="Arial" w:cs="Arial" w:eastAsia="Arial" w:hAnsi="Arial"/>
          <w:sz w:val="22"/>
          <w:szCs w:val="22"/>
          <w:color w:val="auto"/>
        </w:rPr>
        <w:t>” has the meaning specified in Section 2.14(d).</w:t>
      </w:r>
    </w:p>
    <w:p>
      <w:pPr>
        <w:spacing w:after="0" w:line="220" w:lineRule="exact"/>
        <w:rPr>
          <w:sz w:val="20"/>
          <w:szCs w:val="20"/>
          <w:color w:val="auto"/>
        </w:rPr>
      </w:pPr>
    </w:p>
    <w:p>
      <w:pPr>
        <w:jc w:val="both"/>
        <w:ind w:left="540" w:right="479" w:firstLine="635"/>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Joinder Agreement</w:t>
      </w:r>
      <w:r>
        <w:rPr>
          <w:rFonts w:ascii="Arial" w:cs="Arial" w:eastAsia="Arial" w:hAnsi="Arial"/>
          <w:sz w:val="21"/>
          <w:szCs w:val="21"/>
          <w:color w:val="auto"/>
        </w:rPr>
        <w:t xml:space="preserve">” means a joinder agreement among the Borrower, the Administrative Agent and one or more Eligible Assignees that, pursuant to such agreement, provides a Commitment as contemplated by </w:t>
      </w:r>
      <w:r>
        <w:rPr>
          <w:rFonts w:ascii="Arial" w:cs="Arial" w:eastAsia="Arial" w:hAnsi="Arial"/>
          <w:sz w:val="21"/>
          <w:szCs w:val="21"/>
          <w:u w:val="single" w:color="auto"/>
          <w:color w:val="auto"/>
        </w:rPr>
        <w:t>Section 2.14(c)</w:t>
      </w:r>
      <w:r>
        <w:rPr>
          <w:rFonts w:ascii="Arial" w:cs="Arial" w:eastAsia="Arial" w:hAnsi="Arial"/>
          <w:sz w:val="21"/>
          <w:szCs w:val="21"/>
          <w:color w:val="auto"/>
        </w:rPr>
        <w:t>, in each case in form and substance reasonably satisfactory to the Administrative Agent.</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has the meaning assigned to such term in Section 2.14.</w:t>
      </w:r>
    </w:p>
    <w:p>
      <w:pPr>
        <w:spacing w:after="0" w:line="254"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Amendment</w:t>
      </w:r>
      <w:r>
        <w:rPr>
          <w:rFonts w:ascii="Arial" w:cs="Arial" w:eastAsia="Arial" w:hAnsi="Arial"/>
          <w:sz w:val="22"/>
          <w:szCs w:val="22"/>
          <w:color w:val="auto"/>
        </w:rPr>
        <w:t>” has the meaning assigned to such term in Section 2.14.</w:t>
      </w:r>
    </w:p>
    <w:p>
      <w:pPr>
        <w:spacing w:after="0" w:line="17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to any Person at any time, without duplication, all of the following, whether or not included as indebtedness or liabilities in accordance with GAAP:</w:t>
      </w:r>
    </w:p>
    <w:p>
      <w:pPr>
        <w:spacing w:after="0" w:line="104" w:lineRule="exact"/>
        <w:rPr>
          <w:sz w:val="20"/>
          <w:szCs w:val="20"/>
          <w:color w:val="auto"/>
        </w:rPr>
      </w:pPr>
    </w:p>
    <w:p>
      <w:pPr>
        <w:jc w:val="both"/>
        <w:ind w:left="540" w:right="539" w:firstLine="725"/>
        <w:spacing w:after="0" w:line="253" w:lineRule="auto"/>
        <w:tabs>
          <w:tab w:leader="none" w:pos="18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85" w:lineRule="exact"/>
        <w:rPr>
          <w:rFonts w:ascii="Arial" w:cs="Arial" w:eastAsia="Arial" w:hAnsi="Arial"/>
          <w:sz w:val="22"/>
          <w:szCs w:val="22"/>
          <w:color w:val="auto"/>
        </w:rPr>
      </w:pPr>
    </w:p>
    <w:p>
      <w:pPr>
        <w:jc w:val="both"/>
        <w:ind w:left="540" w:right="539" w:firstLine="725"/>
        <w:spacing w:after="0" w:line="253" w:lineRule="auto"/>
        <w:tabs>
          <w:tab w:leader="none" w:pos="18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direct or contingent obligations of such Person arising under letters of credit (including standby and commercial), bankers’ acceptances, bank guarantees, surety bonds and similar instruments;</w:t>
      </w:r>
    </w:p>
    <w:p>
      <w:pPr>
        <w:spacing w:after="0" w:line="185" w:lineRule="exact"/>
        <w:rPr>
          <w:rFonts w:ascii="Arial" w:cs="Arial" w:eastAsia="Arial" w:hAnsi="Arial"/>
          <w:sz w:val="22"/>
          <w:szCs w:val="22"/>
          <w:color w:val="auto"/>
        </w:rPr>
      </w:pPr>
    </w:p>
    <w:p>
      <w:pPr>
        <w:ind w:left="1840" w:hanging="575"/>
        <w:spacing w:after="0"/>
        <w:tabs>
          <w:tab w:leader="none" w:pos="18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19" w:lineRule="exact"/>
        <w:rPr>
          <w:rFonts w:ascii="Arial" w:cs="Arial" w:eastAsia="Arial" w:hAnsi="Arial"/>
          <w:sz w:val="22"/>
          <w:szCs w:val="22"/>
          <w:color w:val="auto"/>
        </w:rPr>
      </w:pPr>
    </w:p>
    <w:p>
      <w:pPr>
        <w:jc w:val="both"/>
        <w:ind w:left="540" w:right="539" w:firstLine="725"/>
        <w:spacing w:after="0" w:line="302" w:lineRule="auto"/>
        <w:tabs>
          <w:tab w:leader="none" w:pos="1836" w:val="left"/>
        </w:tabs>
        <w:numPr>
          <w:ilvl w:val="0"/>
          <w:numId w:val="61"/>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purchase price of property or services (other than trade accounts payable in the ordinary course of business and purchase price adjustments, earnouts and similar contingent payments due with respect to Acquisitions either permitted hereby or completed prior to the Effective Date);</w:t>
      </w:r>
    </w:p>
    <w:p>
      <w:pPr>
        <w:spacing w:after="0" w:line="142" w:lineRule="exact"/>
        <w:rPr>
          <w:rFonts w:ascii="Arial" w:cs="Arial" w:eastAsia="Arial" w:hAnsi="Arial"/>
          <w:sz w:val="19"/>
          <w:szCs w:val="19"/>
          <w:color w:val="auto"/>
        </w:rPr>
      </w:pPr>
    </w:p>
    <w:p>
      <w:pPr>
        <w:jc w:val="both"/>
        <w:ind w:left="540" w:right="539" w:firstLine="725"/>
        <w:spacing w:after="0" w:line="248" w:lineRule="auto"/>
        <w:tabs>
          <w:tab w:leader="none" w:pos="18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obligations which would constitute Indebtedness of any other Person (excluding prepaid interest thereon) secured by a Lien on property owned or being purchased by such Person (including indebtedness arising under conditional sales or other title retention agreements), whether or not such indebtedness will have been assumed by such Person or is limited in recourse;</w:t>
      </w:r>
    </w:p>
    <w:p>
      <w:pPr>
        <w:spacing w:after="0" w:line="191" w:lineRule="exact"/>
        <w:rPr>
          <w:rFonts w:ascii="Arial" w:cs="Arial" w:eastAsia="Arial" w:hAnsi="Arial"/>
          <w:sz w:val="22"/>
          <w:szCs w:val="22"/>
          <w:color w:val="auto"/>
        </w:rPr>
      </w:pPr>
    </w:p>
    <w:p>
      <w:pPr>
        <w:ind w:left="1840" w:hanging="575"/>
        <w:spacing w:after="0"/>
        <w:tabs>
          <w:tab w:leader="none" w:pos="18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Capital Lease Obligations; and</w:t>
      </w:r>
    </w:p>
    <w:p>
      <w:pPr>
        <w:spacing w:after="0" w:line="219" w:lineRule="exact"/>
        <w:rPr>
          <w:rFonts w:ascii="Arial" w:cs="Arial" w:eastAsia="Arial" w:hAnsi="Arial"/>
          <w:sz w:val="22"/>
          <w:szCs w:val="22"/>
          <w:color w:val="auto"/>
        </w:rPr>
      </w:pPr>
    </w:p>
    <w:p>
      <w:pPr>
        <w:jc w:val="both"/>
        <w:ind w:left="540" w:right="539" w:firstLine="725"/>
        <w:spacing w:after="0" w:line="253" w:lineRule="auto"/>
        <w:tabs>
          <w:tab w:leader="none" w:pos="18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all Guarantees of such Person in respect of any of the foregoing of any 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Indebtedness shall not include any performance guarantee or any other Guarantee that is not a Guarantee of other Indebtedness.</w:t>
      </w:r>
    </w:p>
    <w:p>
      <w:pPr>
        <w:spacing w:after="0" w:line="185"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For all purposes hereof, the Indebtedness of any Person will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(except for customary exceptions to non-recourse provisions such as fraud, misappropriation of funds</w:t>
      </w:r>
    </w:p>
    <w:p>
      <w:pPr>
        <w:sectPr>
          <w:pgSz w:w="11900" w:h="16838" w:orient="portrait"/>
          <w:cols w:equalWidth="0" w:num="1">
            <w:col w:w="9019"/>
          </w:cols>
          <w:pgMar w:left="1440" w:top="928" w:right="1440" w:bottom="1440" w:gutter="0" w:footer="0" w:header="0"/>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4" w:name="page125"/>
    <w:bookmarkEnd w:id="124"/>
    <w:p>
      <w:pPr>
        <w:jc w:val="both"/>
        <w:ind w:left="540" w:right="479"/>
        <w:spacing w:after="0" w:line="343" w:lineRule="auto"/>
        <w:rPr>
          <w:sz w:val="20"/>
          <w:szCs w:val="20"/>
          <w:color w:val="auto"/>
        </w:rPr>
      </w:pPr>
      <w:r>
        <w:rPr>
          <w:rFonts w:ascii="Arial" w:cs="Arial" w:eastAsia="Arial" w:hAnsi="Arial"/>
          <w:sz w:val="19"/>
          <w:szCs w:val="19"/>
          <w:color w:val="auto"/>
        </w:rPr>
        <w:t>and environmental liabilities). The amount of any net obligation under any Swap Contract on any date will be deemed to be the Swap Termination Value thereof as of such date.</w:t>
      </w:r>
    </w:p>
    <w:p>
      <w:pPr>
        <w:spacing w:after="0" w:line="104" w:lineRule="exact"/>
        <w:rPr>
          <w:sz w:val="20"/>
          <w:szCs w:val="20"/>
          <w:color w:val="auto"/>
        </w:rPr>
      </w:pPr>
    </w:p>
    <w:p>
      <w:pPr>
        <w:jc w:val="both"/>
        <w:ind w:left="540" w:right="479" w:firstLine="635"/>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1"/>
          <w:szCs w:val="21"/>
          <w:u w:val="single" w:color="auto"/>
          <w:color w:val="auto"/>
        </w:rPr>
        <w:t>clause (a)</w:t>
      </w:r>
      <w:r>
        <w:rPr>
          <w:rFonts w:ascii="Arial" w:cs="Arial" w:eastAsia="Arial" w:hAnsi="Arial"/>
          <w:sz w:val="21"/>
          <w:szCs w:val="21"/>
          <w:color w:val="auto"/>
        </w:rPr>
        <w:t>, Other Taxes (other than any such Taxes that are Excluded Taxes).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Ineligible Institution</w:t>
      </w:r>
      <w:r>
        <w:rPr>
          <w:rFonts w:ascii="Arial" w:cs="Arial" w:eastAsia="Arial" w:hAnsi="Arial"/>
          <w:sz w:val="22"/>
          <w:szCs w:val="22"/>
          <w:color w:val="auto"/>
        </w:rPr>
        <w:t xml:space="preserve">” means (a) a natural person, (b) any Defaulting Lender or any of its Subsidiaries, or any Person that, upon becoming a Lender hereunder, would constitute any of the foregoing Persons described in this </w:t>
      </w:r>
      <w:r>
        <w:rPr>
          <w:rFonts w:ascii="Arial" w:cs="Arial" w:eastAsia="Arial" w:hAnsi="Arial"/>
          <w:sz w:val="22"/>
          <w:szCs w:val="22"/>
          <w:u w:val="single" w:color="auto"/>
          <w:color w:val="auto"/>
        </w:rPr>
        <w:t>clause (b)</w:t>
      </w:r>
      <w:r>
        <w:rPr>
          <w:rFonts w:ascii="Arial" w:cs="Arial" w:eastAsia="Arial" w:hAnsi="Arial"/>
          <w:sz w:val="22"/>
          <w:szCs w:val="22"/>
          <w:color w:val="auto"/>
        </w:rPr>
        <w:t>, (c) the Borrower, or any of its Subsidiaries or any of its Affiliates, (d) a company, investment vehicle or trust for, or owned and operated for the primary benefit of, a natural person or relative(s) thereof, or (e) unless the Borrower’s prior consent is obtained and in accordance with Section 11.06(h), a Disqualified Competitor.</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Loan other than a Base Rate Loan, the last day of each Interest Period applicable to such Loan and the Maturity Date; provided, </w:t>
      </w:r>
      <w:r>
        <w:rPr>
          <w:rFonts w:ascii="Arial" w:cs="Arial" w:eastAsia="Arial" w:hAnsi="Arial"/>
          <w:sz w:val="19"/>
          <w:szCs w:val="19"/>
          <w:u w:val="single" w:color="auto"/>
          <w:color w:val="auto"/>
        </w:rPr>
        <w:t>however</w:t>
      </w:r>
      <w:r>
        <w:rPr>
          <w:rFonts w:ascii="Arial" w:cs="Arial" w:eastAsia="Arial" w:hAnsi="Arial"/>
          <w:sz w:val="19"/>
          <w:szCs w:val="19"/>
          <w:color w:val="auto"/>
        </w:rPr>
        <w:t>, that (i) if any Interest Period for a Eurocurrency Rate Loan exceeds three (3) months, the respective dates that fall every three (3) months after the beginning of such Interest Period will also be Interest Payment Dates therefor and (ii) if any Interest Period for an Absolute Rate Loan exceeds ninety (90) days, then, unless otherwise specified in the applicable Bid Request, each day prior to the last day of such Interest Period that occurs at intervals of ninety (90) days will also be an Interest Payment Date therefor, and (b) as to any Base Rate Loan, the first Business Day following the last day of each March, June, September and December and the Maturity Date.</w:t>
      </w:r>
    </w:p>
    <w:p>
      <w:pPr>
        <w:spacing w:after="0" w:line="159" w:lineRule="exact"/>
        <w:rPr>
          <w:sz w:val="20"/>
          <w:szCs w:val="20"/>
          <w:color w:val="auto"/>
        </w:rPr>
      </w:pPr>
    </w:p>
    <w:p>
      <w:pPr>
        <w:jc w:val="both"/>
        <w:ind w:left="540" w:right="479" w:firstLine="635"/>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(a) as to each Eurocurrency Rate Loan, the period commencing on the date such Eurocurrency Rate Loan is disbursed or converted to or continued as a Eurocurrency Rate Loan and ending on the numerically corresponding day that is one, three or six months thereafter (or, if agreed to by all Lenders, a period of shorter than one month), as selected by the Borrower in the applicable Committed Loan Notice or Bid Request, as the case may be, and (b) as to each Absolute Rate Loan, a period of not less than 14 days and not more than 180 days, as selected by the Borrower in the applicable Bid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3" w:lineRule="exact"/>
        <w:rPr>
          <w:sz w:val="20"/>
          <w:szCs w:val="20"/>
          <w:color w:val="auto"/>
        </w:rPr>
      </w:pPr>
    </w:p>
    <w:p>
      <w:pPr>
        <w:jc w:val="both"/>
        <w:ind w:left="1180" w:right="539" w:firstLine="656"/>
        <w:spacing w:after="0" w:line="248" w:lineRule="auto"/>
        <w:tabs>
          <w:tab w:leader="none" w:pos="247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immediately preceding Business Day;</w:t>
      </w:r>
    </w:p>
    <w:p>
      <w:pPr>
        <w:spacing w:after="0" w:line="191" w:lineRule="exact"/>
        <w:rPr>
          <w:rFonts w:ascii="Arial" w:cs="Arial" w:eastAsia="Arial" w:hAnsi="Arial"/>
          <w:sz w:val="22"/>
          <w:szCs w:val="22"/>
          <w:color w:val="auto"/>
        </w:rPr>
      </w:pPr>
    </w:p>
    <w:p>
      <w:pPr>
        <w:jc w:val="both"/>
        <w:ind w:left="1180" w:right="539" w:firstLine="656"/>
        <w:spacing w:after="0" w:line="312" w:lineRule="auto"/>
        <w:tabs>
          <w:tab w:leader="none" w:pos="247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Interest Period pertaining to a Eurocurrency Rate Loan that begins on the last Business Day of a calendar month (or on a day for which there is no numerically corresponding day in the calendar month at the end of such Interest</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5" w:name="page126"/>
    <w:bookmarkEnd w:id="125"/>
    <w:p>
      <w:pPr>
        <w:ind w:left="1180" w:right="539"/>
        <w:spacing w:after="0" w:line="263" w:lineRule="auto"/>
        <w:rPr>
          <w:sz w:val="20"/>
          <w:szCs w:val="20"/>
          <w:color w:val="auto"/>
        </w:rPr>
      </w:pPr>
      <w:r>
        <w:rPr>
          <w:rFonts w:ascii="Arial" w:cs="Arial" w:eastAsia="Arial" w:hAnsi="Arial"/>
          <w:sz w:val="22"/>
          <w:szCs w:val="22"/>
          <w:color w:val="auto"/>
        </w:rPr>
        <w:t>Period) shall end on the last Business Day of the calendar month at the end of such Interest Period; and</w:t>
      </w:r>
    </w:p>
    <w:p>
      <w:pPr>
        <w:spacing w:after="0" w:line="175" w:lineRule="exact"/>
        <w:rPr>
          <w:sz w:val="20"/>
          <w:szCs w:val="20"/>
          <w:color w:val="auto"/>
        </w:rPr>
      </w:pPr>
    </w:p>
    <w:p>
      <w:pPr>
        <w:ind w:left="2480" w:hanging="644"/>
        <w:spacing w:after="0"/>
        <w:tabs>
          <w:tab w:leader="none" w:pos="2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Interest Period will extend beyond the Maturity Date.</w:t>
      </w:r>
    </w:p>
    <w:p>
      <w:pPr>
        <w:spacing w:after="0" w:line="220" w:lineRule="exact"/>
        <w:rPr>
          <w:sz w:val="20"/>
          <w:szCs w:val="20"/>
          <w:color w:val="auto"/>
        </w:rPr>
      </w:pPr>
    </w:p>
    <w:p>
      <w:pPr>
        <w:jc w:val="both"/>
        <w:ind w:left="540" w:right="479" w:firstLine="73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xml:space="preserve">” means, at any time, for any Eurocurrency Rate Borrowing denominated in Dollars, for any Interest Period,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(rounded to the same number of decimal places as the Adjusted LIBO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Interpolated Rate shall be less than zero, such rate shall be deemed to be zero for the purposes of this Agreement.</w:t>
      </w:r>
    </w:p>
    <w:p>
      <w:pPr>
        <w:spacing w:after="0" w:line="159"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means trademarks, service marks, trade names, copyrights, patents, patent rights, franchises, licenses and other intellectual property rights.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w:t>
      </w:r>
      <w:r>
        <w:rPr>
          <w:rFonts w:ascii="Arial" w:cs="Arial" w:eastAsia="Arial" w:hAnsi="Arial"/>
          <w:sz w:val="22"/>
          <w:szCs w:val="22"/>
          <w:color w:val="auto"/>
        </w:rPr>
        <w:t>” means, with respect to any Letter of Credit, the “International Standby Practices 1998” published in the International Chamber of Commerce Publication No. 590 (or such later version thereof as may be in effect at the time of issuance).</w:t>
      </w:r>
    </w:p>
    <w:p>
      <w:pPr>
        <w:spacing w:after="0" w:line="18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Documents</w:t>
      </w:r>
      <w:r>
        <w:rPr>
          <w:rFonts w:ascii="Arial" w:cs="Arial" w:eastAsia="Arial" w:hAnsi="Arial"/>
          <w:sz w:val="21"/>
          <w:szCs w:val="21"/>
          <w:color w:val="auto"/>
        </w:rPr>
        <w:t>” means with respect to any Letter of Credit, the Letter of Credit Application and any other document, agreement and instrument (other than this Agreement or any other Loan Document) entered into by the applicable L/C Issuer and the Borrower (or any Subsidiary of the Borrower that is a co-applicant in respect thereof) or in favor of such L/C Issuer and relating to such Letter of Credit.</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JPMCB</w:t>
      </w:r>
      <w:r>
        <w:rPr>
          <w:rFonts w:ascii="Arial" w:cs="Arial" w:eastAsia="Arial" w:hAnsi="Arial"/>
          <w:sz w:val="22"/>
          <w:szCs w:val="22"/>
          <w:color w:val="auto"/>
        </w:rPr>
        <w:t>” means JPMorgan Chase Bank, N.A. and its successors.</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11.17</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Advance</w:t>
      </w:r>
      <w:r>
        <w:rPr>
          <w:rFonts w:ascii="Arial" w:cs="Arial" w:eastAsia="Arial" w:hAnsi="Arial"/>
          <w:sz w:val="21"/>
          <w:szCs w:val="21"/>
          <w:color w:val="auto"/>
        </w:rPr>
        <w:t>” means, with respect to each Lender, such Lender’s funding of its participation in any L/C Borrowing in accordance with its Applicable Percentage.</w:t>
      </w:r>
    </w:p>
    <w:p>
      <w:pPr>
        <w:spacing w:after="0" w:line="151"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 drawing under any Letter of Credit that has not been reimbursed on the date when made or refinanced as a Committed Borrowing.</w:t>
      </w:r>
    </w:p>
    <w:p>
      <w:pPr>
        <w:sectPr>
          <w:pgSz w:w="11900" w:h="16838" w:orient="portrait"/>
          <w:cols w:equalWidth="0" w:num="1">
            <w:col w:w="9019"/>
          </w:cols>
          <w:pgMar w:left="1440" w:top="928"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6" w:name="page127"/>
    <w:bookmarkEnd w:id="126"/>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or renewal thereof or extension of the expiry date thereof, or the increase of the amount thereof.</w:t>
      </w:r>
    </w:p>
    <w:p>
      <w:pPr>
        <w:spacing w:after="0" w:line="185"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xml:space="preserve">” means (a) JPMCB and (b) any other Lender that agrees to act in such capacity appointed by the Borrower with the consent of the Administrative Agent (such consent not to be unreasonably withheld, conditioned or delayed), such appointment evidenced by a written agreement, in form and substance reasonably satisfactory to the Administrative Agent and the Borrower, executed by the Borrower, the Administrative Agent and such appointed Lender. Each L/C Issuer may, in its discretion, arrange for one or more Letters of Credit to be issued by Affiliates of such L/C Issuer, in which case the term “L/C Issuer” shall include any such Affiliate with respect to Letters of Credit issued by such Affiliate (it being agreed that such L/C Issuer shall, or shall cause such Affiliate to, comply with the requirements of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with respect to such Letters of Credit). Each reference herein to the “L/C Issuer” in connection with a Letter of Credit or other matter shall be deemed to be a reference to the relevant L/C Issuer with respect thereto.</w:t>
      </w:r>
    </w:p>
    <w:p>
      <w:pPr>
        <w:spacing w:after="0" w:line="159" w:lineRule="exact"/>
        <w:rPr>
          <w:sz w:val="20"/>
          <w:szCs w:val="20"/>
          <w:color w:val="auto"/>
        </w:rPr>
      </w:pPr>
    </w:p>
    <w:p>
      <w:pPr>
        <w:jc w:val="both"/>
        <w:ind w:left="540" w:right="479" w:firstLine="635"/>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xml:space="preserve">” means, as of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will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L/C Issuer and the Lenders shall have no further obligations to make any payments or disbursements under any circumstances with respect to any Letter of Credit.</w:t>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11.04(d)</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means the Persons listed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and any other Person that shall have become a party hereto pursuant to an Assignment and Assumption or an Incremental Joinder Agreement, other than any such Person that shall have ceased to be a party hereto pursuant to an Assignment and Assumption. Unless the context otherwise requires, the term “Lenders” includes the L/C Issuers.</w:t>
      </w:r>
    </w:p>
    <w:p>
      <w:pPr>
        <w:spacing w:after="0" w:line="17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Office</w:t>
      </w:r>
      <w:r>
        <w:rPr>
          <w:rFonts w:ascii="Arial" w:cs="Arial" w:eastAsia="Arial" w:hAnsi="Arial"/>
          <w:sz w:val="22"/>
          <w:szCs w:val="22"/>
          <w:color w:val="auto"/>
        </w:rPr>
        <w:t>” means, as to any Lender, the office or branch of such Lender described as such in such Lender’s Administrative Questionnaire, or such other office or branch as such Lender may from time to time notify to the Borrower, and the Administrative Agent.</w:t>
      </w:r>
    </w:p>
    <w:p>
      <w:pPr>
        <w:spacing w:after="0" w:line="188"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or deemed to have been issued hereunder, including each Existing Letter of Credit.</w:t>
      </w:r>
    </w:p>
    <w:p>
      <w:pPr>
        <w:sectPr>
          <w:pgSz w:w="11900" w:h="16838" w:orient="portrait"/>
          <w:cols w:equalWidth="0" w:num="1">
            <w:col w:w="9019"/>
          </w:cols>
          <w:pgMar w:left="1440" w:top="928"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7" w:name="page128"/>
    <w:bookmarkEnd w:id="127"/>
    <w:p>
      <w:pPr>
        <w:jc w:val="both"/>
        <w:ind w:left="540" w:right="479" w:firstLine="68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applicable L/C Issuer and provided to the Borrower upon its request for such issuance or amendment of such Letter of Credit.</w:t>
      </w:r>
    </w:p>
    <w:p>
      <w:pPr>
        <w:spacing w:after="0" w:line="188" w:lineRule="exact"/>
        <w:rPr>
          <w:sz w:val="20"/>
          <w:szCs w:val="20"/>
          <w:color w:val="auto"/>
        </w:rPr>
      </w:pPr>
    </w:p>
    <w:p>
      <w:pPr>
        <w:jc w:val="both"/>
        <w:ind w:left="540" w:right="479" w:firstLine="635"/>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Commitment</w:t>
      </w:r>
      <w:r>
        <w:rPr>
          <w:rFonts w:ascii="Arial" w:cs="Arial" w:eastAsia="Arial" w:hAnsi="Arial"/>
          <w:sz w:val="21"/>
          <w:szCs w:val="21"/>
          <w:color w:val="auto"/>
        </w:rPr>
        <w:t xml:space="preserve">” means, with respect to any L/C Issuer, the maximum permitted Outstanding Amount of the L/C Obligations that may be attributable to Letters of Credit issued by such L/C Issuer. The initial amount of each L/C Issuer’s Letter of Credit Commitment is set forth on </w:t>
      </w:r>
      <w:r>
        <w:rPr>
          <w:rFonts w:ascii="Arial" w:cs="Arial" w:eastAsia="Arial" w:hAnsi="Arial"/>
          <w:sz w:val="21"/>
          <w:szCs w:val="21"/>
          <w:u w:val="single" w:color="auto"/>
          <w:color w:val="auto"/>
        </w:rPr>
        <w:t>Schedule 2.04(a)</w:t>
      </w:r>
      <w:r>
        <w:rPr>
          <w:rFonts w:ascii="Arial" w:cs="Arial" w:eastAsia="Arial" w:hAnsi="Arial"/>
          <w:sz w:val="21"/>
          <w:szCs w:val="21"/>
          <w:color w:val="auto"/>
        </w:rPr>
        <w:t xml:space="preserve"> or, in the case of any L/C Issuer that becomes an L/C Issuer pursuant to clause (d) of the definition of such term, in the agreement referred to in such clause. The Letter of Credit Commitment of any L/C Issuer may be increased or reduced from time to time by a written agreement between such L/C Issuer and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copy of such written agreement shall have been delivered to the Administrative Agent.</w:t>
      </w:r>
    </w:p>
    <w:p>
      <w:pPr>
        <w:spacing w:after="0" w:line="179"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Expiration Date</w:t>
      </w:r>
      <w:r>
        <w:rPr>
          <w:rFonts w:ascii="Arial" w:cs="Arial" w:eastAsia="Arial" w:hAnsi="Arial"/>
          <w:sz w:val="22"/>
          <w:szCs w:val="22"/>
          <w:color w:val="auto"/>
        </w:rPr>
        <w:t>” means the day that is five (5) Business Days prior to the Maturity Date (or, if such day is not a Business Day, the immediately preceding Business Day).</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2.04(h)</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an amount equal to the lesser of $25,000,000 and the Aggregate Commitments. The Letter of Credit Sublimit is part of, and not in addition to, the Aggregate Commitments.</w:t>
      </w:r>
    </w:p>
    <w:p>
      <w:pPr>
        <w:spacing w:after="0" w:line="18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any losses, claims (including intraparty claims), demands, damages or liabilities of any kind.</w:t>
      </w:r>
    </w:p>
    <w:p>
      <w:pPr>
        <w:spacing w:after="0" w:line="175"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xml:space="preserve">” means, with respect to any Eurocurrency Rate Borrowing denominated in US Dollars for any Interest Period, the LIBO Screen Rate at approximately 11:00 a.m., London time, two (2)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not be available at such time for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then the LIBO Rate shall be the Interpolated Rate.</w:t>
      </w:r>
    </w:p>
    <w:p>
      <w:pPr>
        <w:spacing w:after="0" w:line="147"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any day and time, with respect to any Eurocurrency Rate Borrowing denominated in US Dollars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as so determined would be less than zero, such rate shall be deemed to be zero for the purposes of this Agreement.</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1.09</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28" w:name="page129"/>
    <w:bookmarkEnd w:id="128"/>
    <w:p>
      <w:pPr>
        <w:jc w:val="both"/>
        <w:ind w:left="540" w:right="479" w:firstLine="635"/>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xml:space="preserve">” means any mortgage, pledge, hypothecation, encumbrance, lien (statutory or other), charge or other security interest or preferential arrangement in the nature of a security interest of any kind (including any conditional sale or other title retention agreement, any easement and right of way or other encumbrance on title to real property, and any financing lease having substantially the same economic effect as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 operating lease be deemed to be a Lien.</w:t>
      </w:r>
    </w:p>
    <w:p>
      <w:pPr>
        <w:spacing w:after="0" w:line="149"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Transaction</w:t>
      </w:r>
      <w:r>
        <w:rPr>
          <w:rFonts w:ascii="Arial" w:cs="Arial" w:eastAsia="Arial" w:hAnsi="Arial"/>
          <w:sz w:val="22"/>
          <w:szCs w:val="22"/>
          <w:color w:val="auto"/>
        </w:rPr>
        <w:t>” means any investment or Acquisition (whether by merger, amalgamation, consolidation or other business combination or the acquisition of Equity Interests or otherwise), whose consummation is not conditioned on the availability of, or on obtaining, third party financing.</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w:t>
      </w:r>
      <w:r>
        <w:rPr>
          <w:rFonts w:ascii="Arial" w:cs="Arial" w:eastAsia="Arial" w:hAnsi="Arial"/>
          <w:sz w:val="21"/>
          <w:szCs w:val="21"/>
          <w:color w:val="auto"/>
        </w:rPr>
        <w:t>” means a Committed Loan or a Bid Loan, as the context may require.</w:t>
      </w:r>
    </w:p>
    <w:p>
      <w:pPr>
        <w:spacing w:after="0" w:line="231" w:lineRule="exact"/>
        <w:rPr>
          <w:sz w:val="20"/>
          <w:szCs w:val="20"/>
          <w:color w:val="auto"/>
        </w:rPr>
      </w:pPr>
    </w:p>
    <w:p>
      <w:pPr>
        <w:jc w:val="both"/>
        <w:ind w:left="540" w:right="479" w:firstLine="635"/>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each Incremental Joinder Agreement, each Guarantor Counterpart and, other than for purposes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each agreement referred to in the definition of “L/C Issuer” pursuant to which any Lender becomes an L/C Issuer hereunder, each agreement referred to in the definition of “Letter of Credit Commitment” as to the amount thereof with respect to any L/C Issuer, each Letter of Credit Application and any agreement creating or perfecting rights in Cash Collateral pursuant to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each Note.</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 and the Guarantors.</w:t>
      </w:r>
    </w:p>
    <w:p>
      <w:pPr>
        <w:spacing w:after="0" w:line="220" w:lineRule="exact"/>
        <w:rPr>
          <w:sz w:val="20"/>
          <w:szCs w:val="20"/>
          <w:color w:val="auto"/>
        </w:rPr>
      </w:pPr>
    </w:p>
    <w:p>
      <w:pPr>
        <w:jc w:val="both"/>
        <w:ind w:left="540" w:right="479" w:firstLine="635"/>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means (a) with respect to a Loan or Borrowing denominated in US Dollars that is a Base Rate Loan or Base Rate Borrowing and with respect to any Letter of Credit, New York City time and (b) with respect to any Loan or Borrowing denominated in US Dollars that is a Eurocurrency Rate Loan or Eurocurrency Rate Borrowing or any Loan or Borrowing denominated in an Alternative Currency or a Discretionary Alternative Currency, London time.</w:t>
      </w:r>
    </w:p>
    <w:p>
      <w:pPr>
        <w:spacing w:after="0" w:line="193" w:lineRule="exact"/>
        <w:rPr>
          <w:sz w:val="20"/>
          <w:szCs w:val="20"/>
          <w:color w:val="auto"/>
        </w:rPr>
      </w:pPr>
    </w:p>
    <w:p>
      <w:pPr>
        <w:jc w:val="both"/>
        <w:ind w:left="540" w:right="479" w:firstLine="635"/>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 Default</w:t>
      </w:r>
      <w:r>
        <w:rPr>
          <w:rFonts w:ascii="Arial" w:cs="Arial" w:eastAsia="Arial" w:hAnsi="Arial"/>
          <w:sz w:val="19"/>
          <w:szCs w:val="19"/>
          <w:color w:val="auto"/>
        </w:rPr>
        <w:t xml:space="preserve">” means a Default that has occurred and is continuing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(solely with respect to this Agreement, including </w:t>
      </w:r>
      <w:r>
        <w:rPr>
          <w:rFonts w:ascii="Arial" w:cs="Arial" w:eastAsia="Arial" w:hAnsi="Arial"/>
          <w:sz w:val="19"/>
          <w:szCs w:val="19"/>
          <w:u w:val="single" w:color="auto"/>
          <w:color w:val="auto"/>
        </w:rPr>
        <w:t>Article IX</w:t>
      </w:r>
      <w:r>
        <w:rPr>
          <w:rFonts w:ascii="Arial" w:cs="Arial" w:eastAsia="Arial" w:hAnsi="Arial"/>
          <w:sz w:val="19"/>
          <w:szCs w:val="19"/>
          <w:color w:val="auto"/>
        </w:rPr>
        <w:t>) 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(k)</w:t>
      </w:r>
      <w:r>
        <w:rPr>
          <w:rFonts w:ascii="Arial" w:cs="Arial" w:eastAsia="Arial" w:hAnsi="Arial"/>
          <w:sz w:val="22"/>
          <w:szCs w:val="22"/>
          <w:color w:val="auto"/>
        </w:rPr>
        <w:t>.</w:t>
      </w:r>
    </w:p>
    <w:p>
      <w:pPr>
        <w:spacing w:after="0" w:line="202" w:lineRule="exact"/>
        <w:rPr>
          <w:sz w:val="20"/>
          <w:szCs w:val="20"/>
          <w:color w:val="auto"/>
        </w:rPr>
      </w:pPr>
    </w:p>
    <w:p>
      <w:pPr>
        <w:jc w:val="both"/>
        <w:ind w:left="540" w:right="479" w:firstLine="716"/>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Acquisition</w:t>
      </w:r>
      <w:r>
        <w:rPr>
          <w:rFonts w:ascii="Arial" w:cs="Arial" w:eastAsia="Arial" w:hAnsi="Arial"/>
          <w:sz w:val="19"/>
          <w:szCs w:val="19"/>
          <w:color w:val="auto"/>
        </w:rPr>
        <w:t>” means any Acquisition that involves the payment of non-contingent consideration (including the aggregate principal amount of any Indebtedness that is assumed or refinanced by the Borrower or any Subsidiary concurrent with or following such Acquisition) by the Borrower and its Subsidiaries in excess of $200,000,000 (including the value of any Equity Interests of the Borrower or any of its Subsidiaries used as consideration in such Acquisition). For purposes hereof, any Acquisition that is a Qualified Acquisition shall be deemed to be a Material Acquisition.</w:t>
      </w:r>
    </w:p>
    <w:p>
      <w:pPr>
        <w:spacing w:after="0" w:line="151" w:lineRule="exact"/>
        <w:rPr>
          <w:sz w:val="20"/>
          <w:szCs w:val="20"/>
          <w:color w:val="auto"/>
        </w:rPr>
      </w:pPr>
    </w:p>
    <w:p>
      <w:pPr>
        <w:jc w:val="both"/>
        <w:ind w:left="540" w:right="479" w:firstLine="635"/>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a material adverse change in, or a material adverse effect upon, the business, results of operations or financial condition of the Borrower and its Subsidiaries taken as a whole, (b) a material adverse effect on the ability of any Loan Party to perform its payment Obligations under any Loan Document to which it is a party, or (c) a material adverse effect on the rights and remedies of the Administrative Agent or any Lender under any Loan Document.</w:t>
      </w:r>
    </w:p>
    <w:p>
      <w:pPr>
        <w:sectPr>
          <w:pgSz w:w="11900" w:h="16838" w:orient="portrait"/>
          <w:cols w:equalWidth="0" w:num="1">
            <w:col w:w="9019"/>
          </w:cols>
          <w:pgMar w:left="1440" w:top="928" w:right="1440" w:bottom="1440" w:gutter="0" w:footer="0" w:header="0"/>
        </w:sect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29" w:name="page130"/>
    <w:bookmarkEnd w:id="129"/>
    <w:p>
      <w:pPr>
        <w:jc w:val="both"/>
        <w:ind w:left="540" w:right="479" w:firstLine="635"/>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Disposition</w:t>
      </w:r>
      <w:r>
        <w:rPr>
          <w:rFonts w:ascii="Arial" w:cs="Arial" w:eastAsia="Arial" w:hAnsi="Arial"/>
          <w:sz w:val="21"/>
          <w:szCs w:val="21"/>
          <w:color w:val="auto"/>
        </w:rPr>
        <w:t>” means any Disposition (in a single transaction or series of related transactions) of (a) assets comprising all or substantially all of the assets of any Person, or of all or substantially all or any significant portion of a business or operating unit of a business, division, product line (including rights in respect of any drug or other pharmaceutical product) or line of business of any Person or (b) Equity Interests in any Subsidiary if, as a result thereof, such Subsidiary shall cease to be a Subsidiary, in each case, that involves gross proceeds to Borrower and its Subsidiaries (including as proceeds the aggregate principal amount of any Indebtedness that is assumed by the acquiror) in excess of $200,000,000.</w:t>
      </w:r>
    </w:p>
    <w:p>
      <w:pPr>
        <w:spacing w:after="0" w:line="179"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Indebtedness (other than the Obligations) of any one or more of the Borrower and its Subsidiaries in an aggregate principal amount exceeding $75,000,000.</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 the Borrower and each Subsidiary Guarantor and</w:t>
      </w:r>
    </w:p>
    <w:p>
      <w:pPr>
        <w:spacing w:after="0" w:line="56" w:lineRule="exact"/>
        <w:rPr>
          <w:sz w:val="20"/>
          <w:szCs w:val="20"/>
          <w:color w:val="auto"/>
        </w:rPr>
      </w:pPr>
    </w:p>
    <w:p>
      <w:pPr>
        <w:jc w:val="both"/>
        <w:ind w:left="540" w:right="479"/>
        <w:spacing w:after="0" w:line="287" w:lineRule="auto"/>
        <w:tabs>
          <w:tab w:leader="none" w:pos="858" w:val="left"/>
        </w:tabs>
        <w:numPr>
          <w:ilvl w:val="0"/>
          <w:numId w:val="64"/>
        </w:numPr>
        <w:rPr>
          <w:rFonts w:ascii="Arial" w:cs="Arial" w:eastAsia="Arial" w:hAnsi="Arial"/>
          <w:sz w:val="19"/>
          <w:szCs w:val="19"/>
          <w:color w:val="auto"/>
        </w:rPr>
      </w:pPr>
      <w:r>
        <w:rPr>
          <w:rFonts w:ascii="Arial" w:cs="Arial" w:eastAsia="Arial" w:hAnsi="Arial"/>
          <w:sz w:val="19"/>
          <w:szCs w:val="19"/>
          <w:color w:val="auto"/>
        </w:rPr>
        <w:t>each other Domestic Subsidiary, whether existing as of the Effective Date or formed or acquired thereafter (i) the revenues of which, as of the end of any fiscal quarter, for the period of the four fiscal quarters of the Borrower then most recently ended, were equal to or greater than 10% of the consolidated revenues of the Borrower and its Subsidiaries for such period or (ii) the consolidated assets of which, as of the end of any fiscal quarter, were equal to or greater than 10% of the Consolidated Total Assets of the Borrower and its Subsidiaries, in each case, as reflected on the most recent annual or quarterly consolidated financial statements of the Borrower and its Subsidiaries.</w:t>
      </w:r>
    </w:p>
    <w:p>
      <w:pPr>
        <w:spacing w:after="0" w:line="16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the third anniversary of the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date is not a Business Day, the Maturity Date shall be the immediately preceding Business Day.</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has the meaning assigned to it in Section 11.09.</w:t>
      </w:r>
    </w:p>
    <w:p>
      <w:pPr>
        <w:spacing w:after="0" w:line="220" w:lineRule="exact"/>
        <w:rPr>
          <w:sz w:val="20"/>
          <w:szCs w:val="20"/>
          <w:color w:val="auto"/>
        </w:rPr>
      </w:pPr>
    </w:p>
    <w:p>
      <w:pPr>
        <w:jc w:val="both"/>
        <w:ind w:left="540" w:right="479" w:firstLine="635"/>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Milestone Payments</w:t>
      </w:r>
      <w:r>
        <w:rPr>
          <w:rFonts w:ascii="Arial" w:cs="Arial" w:eastAsia="Arial" w:hAnsi="Arial"/>
          <w:sz w:val="19"/>
          <w:szCs w:val="19"/>
          <w:color w:val="auto"/>
        </w:rPr>
        <w:t>” means payments made under contractual arrangements arising in connection with any acquisition (or licensing) of assets (including rights in respect of any drug candidate, drug or other pharmaceutical product) or Equity Interests by the Borrower or any Subsidiary to the sellers (or licensors) of such assets (including rights in respect of any drug candidate, drug or other pharmaceutical product) or Equity Interests acquired (or licensed) under such contractual arrangements based on the achievement of specified revenue, profit or other performance targets (financial or otherwise).</w:t>
      </w:r>
    </w:p>
    <w:p>
      <w:pPr>
        <w:spacing w:after="0" w:line="151"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means material non-public information (within the meaning of the United States federal or state securities Laws or the securities Laws of other applicable jurisdictions) with respect to Borrower or its Subsidiaries, or the respective securities of any of the foregoing.</w:t>
      </w:r>
    </w:p>
    <w:p>
      <w:pPr>
        <w:spacing w:after="0" w:line="188" w:lineRule="exact"/>
        <w:rPr>
          <w:sz w:val="20"/>
          <w:szCs w:val="20"/>
          <w:color w:val="auto"/>
        </w:rPr>
      </w:pPr>
    </w:p>
    <w:p>
      <w:pPr>
        <w:jc w:val="both"/>
        <w:ind w:left="540" w:right="479" w:firstLine="635"/>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any employee benefit plan of the type described in Section 4001(a)(3) of ERISA that is subject to Title IV of ERISA and to which Borrower or any ERISA Affiliate makes or is obligated to make contributions.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0" w:name="page131"/>
    <w:bookmarkEnd w:id="130"/>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Worth</w:t>
      </w:r>
      <w:r>
        <w:rPr>
          <w:rFonts w:ascii="Arial" w:cs="Arial" w:eastAsia="Arial" w:hAnsi="Arial"/>
          <w:sz w:val="22"/>
          <w:szCs w:val="22"/>
          <w:color w:val="auto"/>
        </w:rPr>
        <w:t>” means, as at any time, (a) the Consolidated Total Assets at such time less (b) all liabilities of the Borrower and its Subsidiaries at such time, calculated in accordance with GAAP on a consolidated basis.</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Non-Extension Notice Date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2.04(b)(iii)</w:t>
      </w:r>
      <w:r>
        <w:rPr>
          <w:rFonts w:ascii="Arial" w:cs="Arial" w:eastAsia="Arial" w:hAnsi="Arial"/>
          <w:sz w:val="21"/>
          <w:szCs w:val="21"/>
          <w:color w:val="auto"/>
        </w:rPr>
        <w:t>.</w:t>
      </w:r>
    </w:p>
    <w:p>
      <w:pPr>
        <w:spacing w:after="0" w:line="231" w:lineRule="exact"/>
        <w:rPr>
          <w:sz w:val="20"/>
          <w:szCs w:val="20"/>
          <w:color w:val="auto"/>
        </w:rPr>
      </w:pPr>
    </w:p>
    <w:p>
      <w:pPr>
        <w:jc w:val="both"/>
        <w:ind w:left="540" w:right="479" w:firstLine="635"/>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Non-Qualifying Lender</w:t>
      </w:r>
      <w:r>
        <w:rPr>
          <w:rFonts w:ascii="Arial" w:cs="Arial" w:eastAsia="Arial" w:hAnsi="Arial"/>
          <w:sz w:val="22"/>
          <w:szCs w:val="22"/>
          <w:color w:val="auto"/>
        </w:rPr>
        <w:t>” means a Lender that is (a) not a U.S. citizen, (b) not a “resident of a member State of the European Union”, (c) a Disqualified Competitor or (d) a Defaulting Lender. For the avoidance of doubt, any Lender that is a U.S. corporation that is publicly traded, or is a Subsidiary of a publicly traded U.S. corporation, shall not be treated as a Non-Qualifying Lender.</w:t>
      </w:r>
    </w:p>
    <w:p>
      <w:pPr>
        <w:spacing w:after="0" w:line="192" w:lineRule="exact"/>
        <w:rPr>
          <w:sz w:val="20"/>
          <w:szCs w:val="20"/>
          <w:color w:val="auto"/>
        </w:rPr>
      </w:pPr>
    </w:p>
    <w:p>
      <w:pPr>
        <w:jc w:val="both"/>
        <w:ind w:left="540" w:right="45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made by the Borrower in favor of a Lender evidencing Loans made by such Lender to the Borrower, substantially in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jc w:val="both"/>
        <w:ind w:left="540" w:right="479" w:firstLine="635"/>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of the aforesaid rates as so determined would be less than zero, such rate shall be deemed to be zero for purposes of this Agreement.</w:t>
      </w:r>
    </w:p>
    <w:p>
      <w:pPr>
        <w:spacing w:after="0" w:line="179"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NYFRB’s Website</w:t>
      </w:r>
      <w:r>
        <w:rPr>
          <w:rFonts w:ascii="Arial" w:cs="Arial" w:eastAsia="Arial" w:hAnsi="Arial"/>
          <w:sz w:val="22"/>
          <w:szCs w:val="22"/>
          <w:color w:val="auto"/>
        </w:rPr>
        <w:t>” means the website of the NYFRB at http://www.newyorkfed.org, or any successor source.</w:t>
      </w:r>
    </w:p>
    <w:p>
      <w:pPr>
        <w:spacing w:after="0" w:line="175" w:lineRule="exact"/>
        <w:rPr>
          <w:sz w:val="20"/>
          <w:szCs w:val="20"/>
          <w:color w:val="auto"/>
        </w:rPr>
      </w:pPr>
    </w:p>
    <w:p>
      <w:pPr>
        <w:jc w:val="both"/>
        <w:ind w:left="540" w:right="459" w:firstLine="635"/>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the due and punctual payment by the Borrower of (i) the principal of and interest (including interest accruing during the pendency of any proceeding under any Debtor Relief Laws, regardless of whether allowed or allowable in such proceeding) on the Loans, when and as due, whether at maturity, by acceleration, upon one or more dates set for prepayment or otherwise, (ii) each payment required to be made by the Borrower in respect of any Letter of Credit, when and as due, including payments in respect of reimbursement of disbursements and interest thereon, and (iii) all other monetary obligations of the Borrower under this Agreement and each of the other Loan Documents, including obligations to pay fees, expense reimbursement obligations and indemnification obligations, whether primary, secondary, direct, indirect (including those acquired by assumption), absolute or contingent, due or to become due, now existing or hereafter arising (including monetary obligations incurred during the pendency of any proceeding under any Debtor Relief Laws, regardless of whether allowed or allowable in such proceeding) and obligations to provide Cash Collateral with respect to Letters of Credit and (b) all other debts, liabilities, obligations, covenants and duties of any Loan Party arising under this Agreement or any other Loan Document, whether primary, secondary, direct, indirect (including those acquired by assumption), absolute or contingent, due or to become due, now existing or hereafter arising (including all such debts, liabilities, obligations, covenants</w:t>
      </w:r>
    </w:p>
    <w:p>
      <w:pPr>
        <w:sectPr>
          <w:pgSz w:w="11900" w:h="16838" w:orient="portrait"/>
          <w:cols w:equalWidth="0" w:num="1">
            <w:col w:w="9019"/>
          </w:cols>
          <w:pgMar w:left="1440" w:top="928" w:right="1440" w:bottom="1440" w:gutter="0" w:footer="0" w:header="0"/>
        </w:sectPr>
      </w:pP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1" w:name="page132"/>
    <w:bookmarkEnd w:id="131"/>
    <w:p>
      <w:pPr>
        <w:jc w:val="both"/>
        <w:ind w:left="540" w:right="479"/>
        <w:spacing w:after="0" w:line="263" w:lineRule="auto"/>
        <w:rPr>
          <w:sz w:val="20"/>
          <w:szCs w:val="20"/>
          <w:color w:val="auto"/>
        </w:rPr>
      </w:pPr>
      <w:r>
        <w:rPr>
          <w:rFonts w:ascii="Arial" w:cs="Arial" w:eastAsia="Arial" w:hAnsi="Arial"/>
          <w:sz w:val="22"/>
          <w:szCs w:val="22"/>
          <w:color w:val="auto"/>
        </w:rPr>
        <w:t>and duties incurred during the pendency of any proceeding under any Debtor Relief Laws, regardless of whether allowed or allowable in such proceeding).</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 Guarantee</w:t>
      </w:r>
      <w:r>
        <w:rPr>
          <w:rFonts w:ascii="Arial" w:cs="Arial" w:eastAsia="Arial" w:hAnsi="Arial"/>
          <w:sz w:val="19"/>
          <w:szCs w:val="19"/>
          <w:color w:val="auto"/>
        </w:rPr>
        <w:t xml:space="preserve">” means the Guarantee of the Guarantors contained in </w:t>
      </w:r>
      <w:r>
        <w:rPr>
          <w:rFonts w:ascii="Arial" w:cs="Arial" w:eastAsia="Arial" w:hAnsi="Arial"/>
          <w:sz w:val="19"/>
          <w:szCs w:val="19"/>
          <w:u w:val="single" w:color="auto"/>
          <w:color w:val="auto"/>
        </w:rPr>
        <w:t>Article</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IX</w:t>
      </w:r>
      <w:r>
        <w:rPr>
          <w:rFonts w:ascii="Arial" w:cs="Arial" w:eastAsia="Arial" w:hAnsi="Arial"/>
          <w:sz w:val="22"/>
          <w:szCs w:val="22"/>
          <w:color w:val="auto"/>
        </w:rPr>
        <w:t>.</w:t>
      </w:r>
    </w:p>
    <w:p>
      <w:pPr>
        <w:spacing w:after="0" w:line="202"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U.S. Department of Treasury.</w:t>
      </w:r>
    </w:p>
    <w:p>
      <w:pPr>
        <w:spacing w:after="0" w:line="175" w:lineRule="exact"/>
        <w:rPr>
          <w:sz w:val="20"/>
          <w:szCs w:val="20"/>
          <w:color w:val="auto"/>
        </w:rPr>
      </w:pPr>
    </w:p>
    <w:p>
      <w:pPr>
        <w:jc w:val="both"/>
        <w:ind w:left="540" w:right="479" w:firstLine="635"/>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certificate or articles of incorporation and the bylaws, (b) with respect to any limited liability company, the certificate or articles of formation, association or organization (or analogous constitutional documents)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7" w:lineRule="exact"/>
        <w:rPr>
          <w:sz w:val="20"/>
          <w:szCs w:val="20"/>
          <w:color w:val="auto"/>
        </w:rPr>
      </w:pPr>
    </w:p>
    <w:p>
      <w:pPr>
        <w:jc w:val="both"/>
        <w:ind w:left="540" w:right="479" w:firstLine="63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by any jurisdiction with which such recipient has a present or former connection (other than on account of the execution, delivery, performance, filing, recording and enforcement of, and the other activities contemplated in, this Agreement).</w:t>
      </w:r>
    </w:p>
    <w:p>
      <w:pPr>
        <w:spacing w:after="0" w:line="142" w:lineRule="exact"/>
        <w:rPr>
          <w:sz w:val="20"/>
          <w:szCs w:val="20"/>
          <w:color w:val="auto"/>
        </w:rPr>
      </w:pPr>
    </w:p>
    <w:p>
      <w:pPr>
        <w:jc w:val="both"/>
        <w:ind w:left="540" w:right="479" w:firstLine="635"/>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or documentary Taxes or any other excise or property Taxes, charges or similar levies arising from any payment made hereunder or under any other Loan Document or from the execution, delivery, registration, performance or enforcement of, or otherwise with respect to, this Agreement or any other Loan Document, except any such Taxes that are Other Connection Taxes imposed with respect to an assignment (other than pursuant to an assignment request by the Borrower under Section 11.13).</w:t>
      </w:r>
    </w:p>
    <w:p>
      <w:pPr>
        <w:spacing w:after="0" w:line="196" w:lineRule="exact"/>
        <w:rPr>
          <w:sz w:val="20"/>
          <w:szCs w:val="20"/>
          <w:color w:val="auto"/>
        </w:rPr>
      </w:pPr>
    </w:p>
    <w:p>
      <w:pPr>
        <w:jc w:val="both"/>
        <w:ind w:left="540" w:right="479" w:firstLine="635"/>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Committed Loans on any date, the sum of the US Dollar Equivalents of the outstanding principal amounts thereof after giving effect to any borrowings and prepayments or repayments of such Committed Loans occurring on such date, (b) with respect to Bid Loans on any date, the sum of the US Dollar Equivalents of the outstanding principal amounts thereof after giving effect to any borrowings and prepayments or repayments of such Bid Loans occurring on such date, and</w:t>
      </w:r>
    </w:p>
    <w:p>
      <w:pPr>
        <w:jc w:val="both"/>
        <w:ind w:left="540" w:right="459"/>
        <w:spacing w:after="0" w:line="244" w:lineRule="auto"/>
        <w:tabs>
          <w:tab w:leader="none" w:pos="8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with respect to any L/C Obligations on any date, the sum of the US Dollar Equivalents of the outstanding amounts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95"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xml:space="preserve">”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ectPr>
          <w:pgSz w:w="11900" w:h="16838" w:orient="portrait"/>
          <w:cols w:equalWidth="0" w:num="1">
            <w:col w:w="9019"/>
          </w:cols>
          <w:pgMar w:left="1440" w:top="928" w:right="1440" w:bottom="1440" w:gutter="0" w:footer="0" w:header="0"/>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2" w:name="page133"/>
    <w:bookmarkEnd w:id="132"/>
    <w:p>
      <w:pPr>
        <w:jc w:val="both"/>
        <w:ind w:left="540" w:right="479"/>
        <w:spacing w:after="0" w:line="263" w:lineRule="auto"/>
        <w:rPr>
          <w:sz w:val="20"/>
          <w:szCs w:val="20"/>
          <w:color w:val="auto"/>
        </w:rPr>
      </w:pPr>
      <w:r>
        <w:rPr>
          <w:rFonts w:ascii="Arial" w:cs="Arial" w:eastAsia="Arial" w:hAnsi="Arial"/>
          <w:sz w:val="22"/>
          <w:szCs w:val="22"/>
          <w:color w:val="auto"/>
        </w:rPr>
        <w:t>if such rate as so determined would be less than zero, such rate shall be deemed to be zero for purposes of this Agreement.</w:t>
      </w:r>
    </w:p>
    <w:p>
      <w:pPr>
        <w:spacing w:after="0" w:line="175"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means, for any day, (a) with respect to any amount denominated in US Dollars, the NYFRB Rate, and (b) with respect to any amount denominated in an Alternative Currency or a Discretionary Alternative Currency, an overnight rate reasonably determined by the Administrative Agent or the applicable L/C Issuer, as the case may be, in accordance with banking industry rules on interbank compensation.</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11.06(e)</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11.06(e)</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means the USA PATRIOT Act (Title III of Pub. L. 107-56 (signed into law October 26, 2001)).</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11.21</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11.21</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referred to and defined in</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ERISA.</w:t>
      </w:r>
    </w:p>
    <w:p>
      <w:pPr>
        <w:spacing w:after="0" w:line="202" w:lineRule="exact"/>
        <w:rPr>
          <w:sz w:val="20"/>
          <w:szCs w:val="20"/>
          <w:color w:val="auto"/>
        </w:rPr>
      </w:pPr>
    </w:p>
    <w:p>
      <w:pPr>
        <w:jc w:val="both"/>
        <w:ind w:left="540" w:right="479" w:firstLine="635"/>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Plan</w:t>
      </w:r>
      <w:r>
        <w:rPr>
          <w:rFonts w:ascii="Arial" w:cs="Arial" w:eastAsia="Arial" w:hAnsi="Arial"/>
          <w:sz w:val="21"/>
          <w:szCs w:val="21"/>
          <w:color w:val="auto"/>
        </w:rPr>
        <w:t>” means any “employee pension benefit plan” (as such term is defined in Section 3(2) of ERISA), other than a Multiemployer Plan, that is subject to Title IV of ERISA and is sponsored or maintained by the Borrower or any ERISA Affiliate or to which Borrower or any ERISA Affiliate has an obligation to contribute.</w:t>
      </w:r>
    </w:p>
    <w:p>
      <w:pPr>
        <w:spacing w:after="0" w:line="175"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20" w:lineRule="exact"/>
        <w:rPr>
          <w:sz w:val="20"/>
          <w:szCs w:val="20"/>
          <w:color w:val="auto"/>
        </w:rPr>
      </w:pPr>
    </w:p>
    <w:p>
      <w:pPr>
        <w:jc w:val="both"/>
        <w:ind w:left="1180" w:right="499" w:firstLine="656"/>
        <w:spacing w:after="0" w:line="271" w:lineRule="auto"/>
        <w:tabs>
          <w:tab w:leader="none" w:pos="2476" w:val="left"/>
        </w:tabs>
        <w:numPr>
          <w:ilvl w:val="0"/>
          <w:numId w:val="66"/>
        </w:numPr>
        <w:rPr>
          <w:rFonts w:ascii="Arial" w:cs="Arial" w:eastAsia="Arial" w:hAnsi="Arial"/>
          <w:sz w:val="21"/>
          <w:szCs w:val="21"/>
          <w:color w:val="auto"/>
        </w:rPr>
      </w:pPr>
      <w:r>
        <w:rPr>
          <w:rFonts w:ascii="Arial" w:cs="Arial" w:eastAsia="Arial" w:hAnsi="Arial"/>
          <w:sz w:val="21"/>
          <w:szCs w:val="21"/>
          <w:color w:val="auto"/>
        </w:rPr>
        <w:t>Liens imposed by law for Taxes that have not yet been paid (to the extent such non-payment does not violate Section 6.03) or that are being contested in compliance with Section 6.03 and Liens for unpaid utility charges;</w:t>
      </w:r>
    </w:p>
    <w:p>
      <w:pPr>
        <w:spacing w:after="0" w:line="167" w:lineRule="exact"/>
        <w:rPr>
          <w:rFonts w:ascii="Arial" w:cs="Arial" w:eastAsia="Arial" w:hAnsi="Arial"/>
          <w:sz w:val="21"/>
          <w:szCs w:val="21"/>
          <w:color w:val="auto"/>
        </w:rPr>
      </w:pPr>
    </w:p>
    <w:p>
      <w:pPr>
        <w:jc w:val="both"/>
        <w:ind w:left="1180" w:right="499" w:firstLine="656"/>
        <w:spacing w:after="0" w:line="302" w:lineRule="auto"/>
        <w:tabs>
          <w:tab w:leader="none" w:pos="2476" w:val="left"/>
        </w:tabs>
        <w:numPr>
          <w:ilvl w:val="0"/>
          <w:numId w:val="66"/>
        </w:numPr>
        <w:rPr>
          <w:rFonts w:ascii="Arial" w:cs="Arial" w:eastAsia="Arial" w:hAnsi="Arial"/>
          <w:sz w:val="19"/>
          <w:szCs w:val="19"/>
          <w:color w:val="auto"/>
        </w:rPr>
      </w:pPr>
      <w:r>
        <w:rPr>
          <w:rFonts w:ascii="Arial" w:cs="Arial" w:eastAsia="Arial" w:hAnsi="Arial"/>
          <w:sz w:val="19"/>
          <w:szCs w:val="19"/>
          <w:color w:val="auto"/>
        </w:rPr>
        <w:t>carriers’, warehousemen’s, mechanics’, materialmen’s, repairmen’s, supplier’s and other like Liens imposed by law, arising in the ordinary course of business and securing obligations that are not overdue by more than sixty (60) days or are being contested in compliance with Section 6.03;</w:t>
      </w:r>
    </w:p>
    <w:p>
      <w:pPr>
        <w:spacing w:after="0" w:line="142" w:lineRule="exact"/>
        <w:rPr>
          <w:rFonts w:ascii="Arial" w:cs="Arial" w:eastAsia="Arial" w:hAnsi="Arial"/>
          <w:sz w:val="19"/>
          <w:szCs w:val="19"/>
          <w:color w:val="auto"/>
        </w:rPr>
      </w:pPr>
    </w:p>
    <w:p>
      <w:pPr>
        <w:jc w:val="both"/>
        <w:ind w:left="1180" w:right="499" w:firstLine="656"/>
        <w:spacing w:after="0" w:line="263" w:lineRule="auto"/>
        <w:tabs>
          <w:tab w:leader="none" w:pos="2476" w:val="left"/>
        </w:tabs>
        <w:numPr>
          <w:ilvl w:val="0"/>
          <w:numId w:val="66"/>
        </w:numPr>
        <w:rPr>
          <w:rFonts w:ascii="Arial" w:cs="Arial" w:eastAsia="Arial" w:hAnsi="Arial"/>
          <w:sz w:val="21"/>
          <w:szCs w:val="21"/>
          <w:color w:val="auto"/>
        </w:rPr>
      </w:pPr>
      <w:r>
        <w:rPr>
          <w:rFonts w:ascii="Arial" w:cs="Arial" w:eastAsia="Arial" w:hAnsi="Arial"/>
          <w:sz w:val="21"/>
          <w:szCs w:val="21"/>
          <w:color w:val="auto"/>
        </w:rPr>
        <w:t>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spacing w:after="0" w:line="175" w:lineRule="exact"/>
        <w:rPr>
          <w:rFonts w:ascii="Arial" w:cs="Arial" w:eastAsia="Arial" w:hAnsi="Arial"/>
          <w:sz w:val="21"/>
          <w:szCs w:val="21"/>
          <w:color w:val="auto"/>
        </w:rPr>
      </w:pPr>
    </w:p>
    <w:p>
      <w:pPr>
        <w:jc w:val="both"/>
        <w:ind w:left="1180" w:right="499" w:firstLine="656"/>
        <w:spacing w:after="0" w:line="247" w:lineRule="auto"/>
        <w:tabs>
          <w:tab w:leader="none" w:pos="2476" w:val="left"/>
        </w:tabs>
        <w:numPr>
          <w:ilvl w:val="0"/>
          <w:numId w:val="66"/>
        </w:numPr>
        <w:rPr>
          <w:rFonts w:ascii="Arial" w:cs="Arial" w:eastAsia="Arial" w:hAnsi="Arial"/>
          <w:sz w:val="22"/>
          <w:szCs w:val="22"/>
          <w:color w:val="auto"/>
        </w:rPr>
      </w:pPr>
      <w:r>
        <w:rPr>
          <w:rFonts w:ascii="Arial" w:cs="Arial" w:eastAsia="Arial" w:hAnsi="Arial"/>
          <w:sz w:val="22"/>
          <w:szCs w:val="22"/>
          <w:color w:val="auto"/>
        </w:rPr>
        <w:t>pledges and deposits to secure the performance of bids, trade contracts, government contracts, leases, statutory obligations, customer deposit and advances, company credit cards, travel cards and other employee credit card programs, surety, customs and appeal bonds, performance and completion bonds and other obligations of a like nature, in each case in the ordinary course of business,</w:t>
      </w:r>
    </w:p>
    <w:p>
      <w:pPr>
        <w:sectPr>
          <w:pgSz w:w="11900" w:h="16838" w:orient="portrait"/>
          <w:cols w:equalWidth="0" w:num="1">
            <w:col w:w="9019"/>
          </w:cols>
          <w:pgMar w:left="1440" w:top="928" w:right="1440"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3" w:name="page134"/>
    <w:bookmarkEnd w:id="133"/>
    <w:p>
      <w:pPr>
        <w:ind w:left="1180" w:right="519"/>
        <w:spacing w:after="0" w:line="263" w:lineRule="auto"/>
        <w:rPr>
          <w:sz w:val="20"/>
          <w:szCs w:val="20"/>
          <w:color w:val="auto"/>
        </w:rPr>
      </w:pPr>
      <w:r>
        <w:rPr>
          <w:rFonts w:ascii="Arial" w:cs="Arial" w:eastAsia="Arial" w:hAnsi="Arial"/>
          <w:sz w:val="22"/>
          <w:szCs w:val="22"/>
          <w:color w:val="auto"/>
        </w:rPr>
        <w:t>and Liens to secure letters of credit or bank guarantees supporting any of the foregoing;</w:t>
      </w:r>
    </w:p>
    <w:p>
      <w:pPr>
        <w:spacing w:after="0" w:line="175" w:lineRule="exact"/>
        <w:rPr>
          <w:sz w:val="20"/>
          <w:szCs w:val="20"/>
          <w:color w:val="auto"/>
        </w:rPr>
      </w:pPr>
    </w:p>
    <w:p>
      <w:pPr>
        <w:jc w:val="both"/>
        <w:ind w:left="1180" w:right="499" w:firstLine="656"/>
        <w:spacing w:after="0" w:line="253" w:lineRule="auto"/>
        <w:tabs>
          <w:tab w:leader="none" w:pos="24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judgment Liens in respect of judgments that do not constitute an Event of Default under Section 8.01(h) or Liens securing appeal or surety bonds related to such judgments;</w:t>
      </w:r>
    </w:p>
    <w:p>
      <w:pPr>
        <w:spacing w:after="0" w:line="185" w:lineRule="exact"/>
        <w:rPr>
          <w:rFonts w:ascii="Arial" w:cs="Arial" w:eastAsia="Arial" w:hAnsi="Arial"/>
          <w:sz w:val="22"/>
          <w:szCs w:val="22"/>
          <w:color w:val="auto"/>
        </w:rPr>
      </w:pPr>
    </w:p>
    <w:p>
      <w:pPr>
        <w:jc w:val="both"/>
        <w:ind w:left="1180" w:right="499" w:firstLine="656"/>
        <w:spacing w:after="0" w:line="297" w:lineRule="auto"/>
        <w:tabs>
          <w:tab w:leader="none" w:pos="2476"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46" w:lineRule="exact"/>
        <w:rPr>
          <w:rFonts w:ascii="Arial" w:cs="Arial" w:eastAsia="Arial" w:hAnsi="Arial"/>
          <w:sz w:val="19"/>
          <w:szCs w:val="19"/>
          <w:color w:val="auto"/>
        </w:rPr>
      </w:pPr>
    </w:p>
    <w:p>
      <w:pPr>
        <w:jc w:val="both"/>
        <w:ind w:left="1180" w:right="499" w:firstLine="656"/>
        <w:spacing w:after="0" w:line="263" w:lineRule="auto"/>
        <w:tabs>
          <w:tab w:leader="none" w:pos="24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leases, licenses, subleases or sublicenses granted (i) to others not adversely interfering in any material respect with the business of the Borrower and its Subsidiaries as conducted at the time granted, taken as a whole, (ii) between or among any of the Loan Parties or any of their Subsidiaries or (iii) granted to other Persons and permitted under </w:t>
      </w:r>
      <w:r>
        <w:rPr>
          <w:rFonts w:ascii="Arial" w:cs="Arial" w:eastAsia="Arial" w:hAnsi="Arial"/>
          <w:sz w:val="21"/>
          <w:szCs w:val="21"/>
          <w:u w:val="single" w:color="auto"/>
          <w:color w:val="auto"/>
        </w:rPr>
        <w:t>Section 7.04</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1180" w:right="499" w:firstLine="656"/>
        <w:spacing w:after="0" w:line="247" w:lineRule="auto"/>
        <w:tabs>
          <w:tab w:leader="none" w:pos="24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92" w:lineRule="exact"/>
        <w:rPr>
          <w:rFonts w:ascii="Arial" w:cs="Arial" w:eastAsia="Arial" w:hAnsi="Arial"/>
          <w:sz w:val="22"/>
          <w:szCs w:val="22"/>
          <w:color w:val="auto"/>
        </w:rPr>
      </w:pPr>
    </w:p>
    <w:p>
      <w:pPr>
        <w:jc w:val="both"/>
        <w:ind w:left="1180" w:right="499" w:firstLine="656"/>
        <w:spacing w:after="0" w:line="297" w:lineRule="auto"/>
        <w:tabs>
          <w:tab w:leader="none" w:pos="2476" w:val="left"/>
        </w:tabs>
        <w:numPr>
          <w:ilvl w:val="0"/>
          <w:numId w:val="67"/>
        </w:numPr>
        <w:rPr>
          <w:rFonts w:ascii="Arial" w:cs="Arial" w:eastAsia="Arial" w:hAnsi="Arial"/>
          <w:sz w:val="19"/>
          <w:szCs w:val="19"/>
          <w:color w:val="auto"/>
        </w:rPr>
      </w:pPr>
      <w:r>
        <w:rPr>
          <w:rFonts w:ascii="Arial" w:cs="Arial" w:eastAsia="Arial" w:hAnsi="Arial"/>
          <w:sz w:val="19"/>
          <w:szCs w:val="19"/>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46" w:lineRule="exact"/>
        <w:rPr>
          <w:rFonts w:ascii="Arial" w:cs="Arial" w:eastAsia="Arial" w:hAnsi="Arial"/>
          <w:sz w:val="19"/>
          <w:szCs w:val="19"/>
          <w:color w:val="auto"/>
        </w:rPr>
      </w:pPr>
    </w:p>
    <w:p>
      <w:pPr>
        <w:jc w:val="both"/>
        <w:ind w:left="1180" w:right="499" w:firstLine="656"/>
        <w:spacing w:after="0" w:line="250" w:lineRule="auto"/>
        <w:tabs>
          <w:tab w:leader="none" w:pos="24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87" w:lineRule="exact"/>
        <w:rPr>
          <w:rFonts w:ascii="Arial" w:cs="Arial" w:eastAsia="Arial" w:hAnsi="Arial"/>
          <w:sz w:val="22"/>
          <w:szCs w:val="22"/>
          <w:color w:val="auto"/>
        </w:rPr>
      </w:pPr>
    </w:p>
    <w:p>
      <w:pPr>
        <w:jc w:val="both"/>
        <w:ind w:left="1180" w:right="499" w:firstLine="656"/>
        <w:spacing w:after="0" w:line="250" w:lineRule="auto"/>
        <w:tabs>
          <w:tab w:leader="none" w:pos="24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87" w:lineRule="exact"/>
        <w:rPr>
          <w:rFonts w:ascii="Arial" w:cs="Arial" w:eastAsia="Arial" w:hAnsi="Arial"/>
          <w:sz w:val="22"/>
          <w:szCs w:val="22"/>
          <w:color w:val="auto"/>
        </w:rPr>
      </w:pPr>
    </w:p>
    <w:p>
      <w:pPr>
        <w:jc w:val="both"/>
        <w:ind w:left="1180" w:right="499" w:firstLine="656"/>
        <w:spacing w:after="0" w:line="253" w:lineRule="auto"/>
        <w:tabs>
          <w:tab w:leader="none" w:pos="24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interest or title of a landlord, lessor or sublessor under any lease of real estate or any Lien affecting solely the interest of the landlord, lessor or sublessor;</w:t>
      </w:r>
    </w:p>
    <w:p>
      <w:pPr>
        <w:spacing w:after="0" w:line="185" w:lineRule="exact"/>
        <w:rPr>
          <w:rFonts w:ascii="Arial" w:cs="Arial" w:eastAsia="Arial" w:hAnsi="Arial"/>
          <w:sz w:val="22"/>
          <w:szCs w:val="22"/>
          <w:color w:val="auto"/>
        </w:rPr>
      </w:pPr>
    </w:p>
    <w:p>
      <w:pPr>
        <w:ind w:left="1180" w:right="499" w:firstLine="656"/>
        <w:spacing w:after="0" w:line="287" w:lineRule="auto"/>
        <w:tabs>
          <w:tab w:leader="none" w:pos="24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purported Liens evidenced by the filing of precautionary UCC financing statements or similar filings relating to operating leases of personal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34" w:name="page135"/>
    <w:bookmarkEnd w:id="134"/>
    <w:p>
      <w:pPr>
        <w:ind w:left="1180" w:right="519"/>
        <w:spacing w:after="0" w:line="263" w:lineRule="auto"/>
        <w:rPr>
          <w:sz w:val="20"/>
          <w:szCs w:val="20"/>
          <w:color w:val="auto"/>
        </w:rPr>
      </w:pPr>
      <w:r>
        <w:rPr>
          <w:rFonts w:ascii="Arial" w:cs="Arial" w:eastAsia="Arial" w:hAnsi="Arial"/>
          <w:sz w:val="22"/>
          <w:szCs w:val="22"/>
          <w:color w:val="auto"/>
        </w:rPr>
        <w:t>property entered into by the Borrower or any of its Subsidiaries in the ordinary course of business;</w:t>
      </w:r>
    </w:p>
    <w:p>
      <w:pPr>
        <w:spacing w:after="0" w:line="175" w:lineRule="exact"/>
        <w:rPr>
          <w:sz w:val="20"/>
          <w:szCs w:val="20"/>
          <w:color w:val="auto"/>
        </w:rPr>
      </w:pPr>
    </w:p>
    <w:p>
      <w:pPr>
        <w:jc w:val="both"/>
        <w:ind w:left="1180" w:right="499" w:firstLine="656"/>
        <w:spacing w:after="0" w:line="271" w:lineRule="auto"/>
        <w:tabs>
          <w:tab w:leader="none" w:pos="2476"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interest or title of a licensor under any license or sublicense entered into by the Borrower or any Subsidiary as a licensee or sublicensee (i) existing on the Effective Date or (ii) in the ordinary course of its business; and</w:t>
      </w:r>
    </w:p>
    <w:p>
      <w:pPr>
        <w:spacing w:after="0" w:line="167" w:lineRule="exact"/>
        <w:rPr>
          <w:rFonts w:ascii="Arial" w:cs="Arial" w:eastAsia="Arial" w:hAnsi="Arial"/>
          <w:sz w:val="21"/>
          <w:szCs w:val="21"/>
          <w:color w:val="auto"/>
        </w:rPr>
      </w:pPr>
    </w:p>
    <w:p>
      <w:pPr>
        <w:jc w:val="both"/>
        <w:ind w:left="540" w:right="519" w:firstLine="1296"/>
        <w:spacing w:after="0" w:line="253" w:lineRule="auto"/>
        <w:tabs>
          <w:tab w:leader="none" w:pos="2484" w:val="left"/>
        </w:tabs>
        <w:numPr>
          <w:ilvl w:val="0"/>
          <w:numId w:val="68"/>
        </w:numPr>
        <w:rPr>
          <w:rFonts w:ascii="Arial" w:cs="Arial" w:eastAsia="Arial" w:hAnsi="Arial"/>
          <w:sz w:val="22"/>
          <w:szCs w:val="22"/>
          <w:color w:val="auto"/>
        </w:rPr>
      </w:pPr>
      <w:r>
        <w:rPr>
          <w:rFonts w:ascii="Arial" w:cs="Arial" w:eastAsia="Arial" w:hAnsi="Arial"/>
          <w:sz w:val="22"/>
          <w:szCs w:val="22"/>
          <w:color w:val="auto"/>
        </w:rPr>
        <w:t>with respect to any real property, immaterial title defects or irregularities that do not, individually or in the aggregate, materially impair the use of such real property; and</w:t>
      </w:r>
    </w:p>
    <w:p>
      <w:pPr>
        <w:spacing w:after="0" w:line="185" w:lineRule="exact"/>
        <w:rPr>
          <w:rFonts w:ascii="Arial" w:cs="Arial" w:eastAsia="Arial" w:hAnsi="Arial"/>
          <w:sz w:val="22"/>
          <w:szCs w:val="22"/>
          <w:color w:val="auto"/>
        </w:rPr>
      </w:pPr>
    </w:p>
    <w:p>
      <w:pPr>
        <w:ind w:left="2480" w:hanging="644"/>
        <w:spacing w:after="0"/>
        <w:tabs>
          <w:tab w:leader="none" w:pos="24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non-exclusive licenses of Intellectual Property rights in the ordinary</w:t>
      </w:r>
    </w:p>
    <w:p>
      <w:pPr>
        <w:spacing w:after="0" w:line="55"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02"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“Permitted Encumbrances” shall not include any Lien securing Indebtedness.</w:t>
      </w:r>
    </w:p>
    <w:p>
      <w:pPr>
        <w:spacing w:after="0" w:line="175" w:lineRule="exact"/>
        <w:rPr>
          <w:sz w:val="20"/>
          <w:szCs w:val="20"/>
          <w:color w:val="auto"/>
        </w:rPr>
      </w:pPr>
    </w:p>
    <w:p>
      <w:pPr>
        <w:ind w:left="620" w:right="49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other entity.</w:t>
      </w:r>
    </w:p>
    <w:p>
      <w:pPr>
        <w:spacing w:after="0" w:line="104"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means 29 CFR § 2510.3-101 et seq., as modified by Section 3(42) of ERISA, as amended from time to time.</w:t>
      </w:r>
    </w:p>
    <w:p>
      <w:pPr>
        <w:spacing w:after="0" w:line="175"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Notice</w:t>
      </w:r>
      <w:r>
        <w:rPr>
          <w:rFonts w:ascii="Arial" w:cs="Arial" w:eastAsia="Arial" w:hAnsi="Arial"/>
          <w:sz w:val="19"/>
          <w:szCs w:val="19"/>
          <w:color w:val="auto"/>
        </w:rPr>
        <w:t xml:space="preserve">” means a notice of a prepayment of any Committed Borrowing pursuant to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w:t>
      </w:r>
    </w:p>
    <w:p>
      <w:pPr>
        <w:spacing w:after="0" w:line="104" w:lineRule="exact"/>
        <w:rPr>
          <w:sz w:val="20"/>
          <w:szCs w:val="20"/>
          <w:color w:val="auto"/>
        </w:rPr>
      </w:pPr>
    </w:p>
    <w:p>
      <w:pPr>
        <w:jc w:val="both"/>
        <w:ind w:left="540" w:right="479" w:firstLine="635"/>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Department of Labor, as any such exemption may be amended from time to time.</w:t>
      </w:r>
    </w:p>
    <w:p>
      <w:pPr>
        <w:spacing w:after="0" w:line="202"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Acquisition</w:t>
      </w:r>
      <w:r>
        <w:rPr>
          <w:rFonts w:ascii="Arial" w:cs="Arial" w:eastAsia="Arial" w:hAnsi="Arial"/>
          <w:sz w:val="19"/>
          <w:szCs w:val="19"/>
          <w:color w:val="auto"/>
        </w:rPr>
        <w:t>” means any Acquisition consummated after the Effective Date that (a) involves the payment of non-contingent consideration in excess of $200,000,000 (or any two Acquisitions occurring in the same 12-month period involving the payment of non-contingent consideration in excess of $200,000,000 in the aggregate) and</w:t>
      </w:r>
    </w:p>
    <w:p>
      <w:pPr>
        <w:spacing w:after="0" w:line="3" w:lineRule="exact"/>
        <w:rPr>
          <w:sz w:val="20"/>
          <w:szCs w:val="20"/>
          <w:color w:val="auto"/>
        </w:rPr>
      </w:pPr>
    </w:p>
    <w:p>
      <w:pPr>
        <w:ind w:left="540" w:right="479"/>
        <w:spacing w:after="0" w:line="246" w:lineRule="auto"/>
        <w:tabs>
          <w:tab w:leader="none" w:pos="864" w:val="left"/>
        </w:tabs>
        <w:numPr>
          <w:ilvl w:val="0"/>
          <w:numId w:val="69"/>
        </w:numPr>
        <w:rPr>
          <w:rFonts w:ascii="Arial" w:cs="Arial" w:eastAsia="Arial" w:hAnsi="Arial"/>
          <w:sz w:val="22"/>
          <w:szCs w:val="22"/>
          <w:color w:val="auto"/>
        </w:rPr>
      </w:pPr>
      <w:r>
        <w:rPr>
          <w:rFonts w:ascii="Arial" w:cs="Arial" w:eastAsia="Arial" w:hAnsi="Arial"/>
          <w:sz w:val="22"/>
          <w:szCs w:val="22"/>
          <w:color w:val="auto"/>
        </w:rPr>
        <w:t>has been designated by the Borrower as a “Qualified Acquisition” by written notice to the Administrative Agent.</w:t>
      </w:r>
    </w:p>
    <w:p>
      <w:pPr>
        <w:spacing w:after="0" w:line="192" w:lineRule="exact"/>
        <w:rPr>
          <w:sz w:val="20"/>
          <w:szCs w:val="20"/>
          <w:color w:val="auto"/>
        </w:rPr>
      </w:pPr>
    </w:p>
    <w:p>
      <w:pPr>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ectPr>
          <w:pgSz w:w="11900" w:h="16838" w:orient="portrait"/>
          <w:cols w:equalWidth="0" w:num="1">
            <w:col w:w="9019"/>
          </w:cols>
          <w:pgMar w:left="1440" w:top="928"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5" w:name="page136"/>
    <w:bookmarkEnd w:id="135"/>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11.20</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D</w:t>
      </w:r>
      <w:r>
        <w:rPr>
          <w:rFonts w:ascii="Arial" w:cs="Arial" w:eastAsia="Arial" w:hAnsi="Arial"/>
          <w:sz w:val="21"/>
          <w:szCs w:val="21"/>
          <w:color w:val="auto"/>
        </w:rPr>
        <w:t>” means Regulation D of the Federal Reserve Board, as in effect from time to time and all official rulings and interpretations thereunder or thereof.</w:t>
      </w:r>
    </w:p>
    <w:p>
      <w:pPr>
        <w:spacing w:after="0" w:line="151" w:lineRule="exact"/>
        <w:rPr>
          <w:sz w:val="20"/>
          <w:szCs w:val="20"/>
          <w:color w:val="auto"/>
        </w:rPr>
      </w:pPr>
    </w:p>
    <w:p>
      <w:pPr>
        <w:jc w:val="both"/>
        <w:ind w:left="540" w:right="479" w:firstLine="743"/>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Indemnified Parties</w:t>
      </w:r>
      <w:r>
        <w:rPr>
          <w:rFonts w:ascii="Arial" w:cs="Arial" w:eastAsia="Arial" w:hAnsi="Arial"/>
          <w:sz w:val="22"/>
          <w:szCs w:val="22"/>
          <w:color w:val="auto"/>
        </w:rPr>
        <w:t xml:space="preserve">” means, with respect to any Indemnitee, (a) any controlling Person or controlled Affiliate of such Indemnitee, (b) the respective directors, officers or employees of such Indemnitee or any of its controlling Persons or controlled Affiliates and (c) the respective Agent of such Indemnitee or any of its controlling Persons or controlled Affiliates, in the case of this clause (c), acting at the instructions of such Indemnitee, controlling Person or such controlled Affiliate;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reference to a controlled Affiliate or controlling Person in this definition pertains to a controlled Affiliate or controlling Person involved in the negotiation of this Agreement or any other Loan Document.</w:t>
      </w:r>
    </w:p>
    <w:p>
      <w:pPr>
        <w:spacing w:after="0" w:line="20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directors, officers, employees, agent or advisors of such Person and of such Person’s Affiliates.</w:t>
      </w:r>
    </w:p>
    <w:p>
      <w:pPr>
        <w:spacing w:after="0" w:line="18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30-day notice period has been waived under Section 4043 of ERISA.</w:t>
      </w:r>
    </w:p>
    <w:p>
      <w:pPr>
        <w:spacing w:after="0" w:line="18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 for Credit Extension</w:t>
      </w:r>
      <w:r>
        <w:rPr>
          <w:rFonts w:ascii="Arial" w:cs="Arial" w:eastAsia="Arial" w:hAnsi="Arial"/>
          <w:sz w:val="22"/>
          <w:szCs w:val="22"/>
          <w:color w:val="auto"/>
        </w:rPr>
        <w:t>” means (a) with respect to a borrowing, conversion or continuation of Committed Loans, a Committed Loan Notice, (b) with respect to a Bid Loan, a Bid Request and (c) with respect to an L/C Credit Extension, a Letter of Credit Application.</w:t>
      </w:r>
    </w:p>
    <w:p>
      <w:pPr>
        <w:spacing w:after="0" w:line="188"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as of any date of determination, Lenders holding in the aggregate more than 50% of the sum of the aggregate unused Commitments and the aggregate principal amount of the Total Outstandings (excluding any portion thereof attributable to Bid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declaring the Loans to be due and payable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for all purposes after the Loans have become due and payable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all the Commitments have expired or terminated, any portion thereof attributable to Bid Loans shall be included) (with the aggregate amount of each Lender’s risk participation and funded participation in L/C Obligations being deemed “held” by such Lender for purposes of this definition);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 of, and the portion of the Total Outstandings held or deemed held by, any Defaulting Lender will be excluded for purposes of making a determination of Required Lenders.</w:t>
      </w:r>
    </w:p>
    <w:p>
      <w:pPr>
        <w:spacing w:after="0" w:line="163"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jc w:val="both"/>
        <w:ind w:left="540" w:right="479" w:firstLine="63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with respect to any Person, the chief executive officer, a director, the chief financial officer, the treasurer, the chief legal officer, the chief accounting officer, any vice president or any other duly authorized signatory of such Person (or, in the case of any Person that is partnership, of the general partner of such Person);</w:t>
      </w:r>
    </w:p>
    <w:p>
      <w:pPr>
        <w:sectPr>
          <w:pgSz w:w="11900" w:h="16838" w:orient="portrait"/>
          <w:cols w:equalWidth="0" w:num="1">
            <w:col w:w="9019"/>
          </w:cols>
          <w:pgMar w:left="1440" w:top="928" w:right="1440" w:bottom="1440" w:gutter="0" w:footer="0" w:header="0"/>
        </w:sectPr>
      </w:pP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6" w:name="page137"/>
    <w:bookmarkEnd w:id="136"/>
    <w:p>
      <w:pPr>
        <w:jc w:val="both"/>
        <w:ind w:left="540" w:right="479"/>
        <w:spacing w:after="0" w:line="29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such term is used in reference to any document executed by, or certification of, a Responsible Officer, the secretary or assistant secretary or other duly authorized signatory of such Person shall have delivered an incumbency certificate to the Administrative Agent as to the authority of such individual. Any document delivered hereunder that is signed by a Responsible Officer of any Loan Party will be conclusively presumed to have been authorized by all necessary corporate, partnership and/or other action on the part of such Loan Party, and such Responsible Officer will be conclusively presumed to have acted on behalf of such Loan Party.</w:t>
      </w:r>
    </w:p>
    <w:p>
      <w:pPr>
        <w:spacing w:after="0" w:line="156" w:lineRule="exact"/>
        <w:rPr>
          <w:sz w:val="20"/>
          <w:szCs w:val="20"/>
          <w:color w:val="auto"/>
        </w:rPr>
      </w:pPr>
    </w:p>
    <w:p>
      <w:pPr>
        <w:jc w:val="both"/>
        <w:ind w:left="540" w:right="499"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or warrant to acquire any such Equity Interests in the Borrower or any Subsidiary.</w:t>
      </w:r>
    </w:p>
    <w:p>
      <w:pPr>
        <w:spacing w:after="0" w:line="196" w:lineRule="exact"/>
        <w:rPr>
          <w:sz w:val="20"/>
          <w:szCs w:val="20"/>
          <w:color w:val="auto"/>
        </w:rPr>
      </w:pPr>
    </w:p>
    <w:p>
      <w:pPr>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as applicable, Thomson Reuters Corp., Refinitiv, or any successor thereto.</w:t>
      </w:r>
    </w:p>
    <w:p>
      <w:pPr>
        <w:spacing w:after="0" w:line="175" w:lineRule="exact"/>
        <w:rPr>
          <w:sz w:val="20"/>
          <w:szCs w:val="20"/>
          <w:color w:val="auto"/>
        </w:rPr>
      </w:pPr>
    </w:p>
    <w:p>
      <w:pPr>
        <w:ind w:left="540" w:right="479" w:firstLine="635"/>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means (a) with respect to any Loan denominated in any Alternative Currency, each of the following: (i) the date of the Borrowing of such Loan and</w:t>
      </w:r>
    </w:p>
    <w:p>
      <w:pPr>
        <w:spacing w:after="0" w:line="1" w:lineRule="exact"/>
        <w:rPr>
          <w:sz w:val="20"/>
          <w:szCs w:val="20"/>
          <w:color w:val="auto"/>
        </w:rPr>
      </w:pPr>
    </w:p>
    <w:p>
      <w:pPr>
        <w:jc w:val="both"/>
        <w:ind w:left="540" w:right="479"/>
        <w:spacing w:after="0" w:line="257" w:lineRule="auto"/>
        <w:tabs>
          <w:tab w:leader="none" w:pos="925" w:val="left"/>
        </w:tabs>
        <w:numPr>
          <w:ilvl w:val="0"/>
          <w:numId w:val="70"/>
        </w:numPr>
        <w:rPr>
          <w:rFonts w:ascii="Arial" w:cs="Arial" w:eastAsia="Arial" w:hAnsi="Arial"/>
          <w:sz w:val="21"/>
          <w:szCs w:val="21"/>
          <w:color w:val="auto"/>
        </w:rPr>
      </w:pPr>
      <w:r>
        <w:rPr>
          <w:rFonts w:ascii="Arial" w:cs="Arial" w:eastAsia="Arial" w:hAnsi="Arial"/>
          <w:sz w:val="21"/>
          <w:szCs w:val="21"/>
          <w:color w:val="auto"/>
        </w:rPr>
        <w:t>with respect to any Eurocurrency Rate Loan, each date of a conversion into or continuation of such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3" w:lineRule="exact"/>
        <w:rPr>
          <w:sz w:val="20"/>
          <w:szCs w:val="20"/>
          <w:color w:val="auto"/>
        </w:rPr>
      </w:pPr>
    </w:p>
    <w:p>
      <w:pPr>
        <w:jc w:val="both"/>
        <w:ind w:left="540" w:right="479" w:firstLine="63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Same Day Funds</w:t>
      </w:r>
      <w:r>
        <w:rPr>
          <w:rFonts w:ascii="Arial" w:cs="Arial" w:eastAsia="Arial" w:hAnsi="Arial"/>
          <w:sz w:val="21"/>
          <w:szCs w:val="21"/>
          <w:color w:val="auto"/>
        </w:rPr>
        <w:t>” means (a) with respect to disbursements and payments in US Dollars, immediately available funds, (b) with respect to disbursements and payments in an Alternative Currency, same day or other funds as may be determined by the Administrative Agent or the applicable L/C Issuer, as the case may be, to be customary in London, or in the place of disbursement or payment, for the settlement of international banking transactions in the relevant Alternative Currency and (c) with respect to disbursements and payments in a Discretionary Alternative Currency, same day or other funds as may be determined by the Administrative Agent to be customary in London, or in the place of disbursement or payment, for the settlement of international banking transactions in the relevant Discretionary Alternative Currency.</w:t>
      </w:r>
    </w:p>
    <w:p>
      <w:pPr>
        <w:spacing w:after="0" w:line="18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that is the subject or target of any Sanctions that broadly prohibit dealings with that country, region or territory.</w:t>
      </w:r>
    </w:p>
    <w:p>
      <w:pPr>
        <w:spacing w:after="0" w:line="185" w:lineRule="exact"/>
        <w:rPr>
          <w:sz w:val="20"/>
          <w:szCs w:val="20"/>
          <w:color w:val="auto"/>
        </w:rPr>
      </w:pPr>
    </w:p>
    <w:p>
      <w:pPr>
        <w:jc w:val="both"/>
        <w:ind w:left="540" w:right="479" w:firstLine="63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whose name appears on the list of Specially Designated Nationals and Blocked Persons or on any other similar list of designated Persons published by OFAC, the United States Department of State, the United States Department of the Treasury or the United States Department of Commerce, (b) any</w:t>
      </w:r>
    </w:p>
    <w:p>
      <w:pPr>
        <w:sectPr>
          <w:pgSz w:w="11900" w:h="16838" w:orient="portrait"/>
          <w:cols w:equalWidth="0" w:num="1">
            <w:col w:w="9019"/>
          </w:cols>
          <w:pgMar w:left="1440" w:top="928" w:right="1440" w:bottom="1440" w:gutter="0" w:footer="0" w:header="0"/>
        </w:sectPr>
      </w:pP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7" w:name="page138"/>
    <w:bookmarkEnd w:id="137"/>
    <w:p>
      <w:pPr>
        <w:jc w:val="both"/>
        <w:ind w:left="540" w:right="479"/>
        <w:spacing w:after="0" w:line="291" w:lineRule="auto"/>
        <w:rPr>
          <w:sz w:val="20"/>
          <w:szCs w:val="20"/>
          <w:color w:val="auto"/>
        </w:rPr>
      </w:pPr>
      <w:r>
        <w:rPr>
          <w:rFonts w:ascii="Arial" w:cs="Arial" w:eastAsia="Arial" w:hAnsi="Arial"/>
          <w:sz w:val="19"/>
          <w:szCs w:val="19"/>
          <w:color w:val="auto"/>
        </w:rPr>
        <w:t>Person listed in any Sanctions-related list of designated Persons maintained by Her Majesty’s Treasury of the United Kingdom, the European Union or any EU member state,</w:t>
      </w:r>
    </w:p>
    <w:p>
      <w:pPr>
        <w:spacing w:after="0" w:line="1" w:lineRule="exact"/>
        <w:rPr>
          <w:sz w:val="20"/>
          <w:szCs w:val="20"/>
          <w:color w:val="auto"/>
        </w:rPr>
      </w:pPr>
    </w:p>
    <w:p>
      <w:pPr>
        <w:jc w:val="both"/>
        <w:ind w:left="540" w:right="479"/>
        <w:spacing w:after="0" w:line="244" w:lineRule="auto"/>
        <w:tabs>
          <w:tab w:leader="none" w:pos="8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Person located, organized or resident in a Sanctioned Country, (d) any Person subject to Sanctions by reason of a relationship of ownership or control with any such Person or Persons identified in clauses (a) or (b) above or (e) any Person otherwise the subject of Sanctions.</w:t>
      </w:r>
    </w:p>
    <w:p>
      <w:pPr>
        <w:spacing w:after="0" w:line="195" w:lineRule="exact"/>
        <w:rPr>
          <w:sz w:val="20"/>
          <w:szCs w:val="20"/>
          <w:color w:val="auto"/>
        </w:rPr>
      </w:pPr>
    </w:p>
    <w:p>
      <w:pPr>
        <w:jc w:val="both"/>
        <w:ind w:left="540" w:right="479" w:firstLine="635"/>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any economic or financial sanctions or trade embargoes administered or enforced by the United States federal government (including OFAC, the United States Department of State, the United States Department of the Treasury and the United States Department of Commerce), Her Majesty’s Treasury of the United Kingdom, the European Union or any EU member state in which the Borrower or a Subsidiary is organized or operates.</w:t>
      </w:r>
    </w:p>
    <w:p>
      <w:pPr>
        <w:spacing w:after="0" w:line="193"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Documents</w:t>
      </w:r>
      <w:r>
        <w:rPr>
          <w:rFonts w:ascii="Arial" w:cs="Arial" w:eastAsia="Arial" w:hAnsi="Arial"/>
          <w:sz w:val="22"/>
          <w:szCs w:val="22"/>
          <w:color w:val="auto"/>
        </w:rPr>
        <w:t>” means all reports, schedules, forms, proxy statements, prospectuses (including prospectus supplements), registration statements and other information filed by the Borrower with the SEC or furnished by the Borrower to the SEC pursuant to the Securities Exchange Act.</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Exchange Act</w:t>
      </w:r>
      <w:r>
        <w:rPr>
          <w:rFonts w:ascii="Arial" w:cs="Arial" w:eastAsia="Arial" w:hAnsi="Arial"/>
          <w:sz w:val="22"/>
          <w:szCs w:val="22"/>
          <w:color w:val="auto"/>
        </w:rPr>
        <w:t>” means the Securities Exchange Act of 1934.</w:t>
      </w:r>
    </w:p>
    <w:p>
      <w:pPr>
        <w:spacing w:after="0" w:line="220"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Notice Currency</w:t>
      </w:r>
      <w:r>
        <w:rPr>
          <w:rFonts w:ascii="Arial" w:cs="Arial" w:eastAsia="Arial" w:hAnsi="Arial"/>
          <w:sz w:val="22"/>
          <w:szCs w:val="22"/>
          <w:color w:val="auto"/>
        </w:rPr>
        <w:t>” means, at any time, an Alternative Currency or a Discretionary Alternative Currency that is not the currency of a country that is a member of the Organization for Economic Cooperation and Development at such time located in North America or Europe.</w:t>
      </w:r>
    </w:p>
    <w:p>
      <w:pPr>
        <w:spacing w:after="0" w:line="188"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Time</w:t>
      </w:r>
      <w:r>
        <w:rPr>
          <w:rFonts w:ascii="Arial" w:cs="Arial" w:eastAsia="Arial" w:hAnsi="Arial"/>
          <w:sz w:val="22"/>
          <w:szCs w:val="22"/>
          <w:color w:val="auto"/>
        </w:rPr>
        <w:t>” means, with respect to any Eurocurrency Rate Borrowing, 11:00 a.m., London time.</w:t>
      </w:r>
    </w:p>
    <w:p>
      <w:pPr>
        <w:spacing w:after="0" w:line="175" w:lineRule="exact"/>
        <w:rPr>
          <w:sz w:val="20"/>
          <w:szCs w:val="20"/>
          <w:color w:val="auto"/>
        </w:rPr>
      </w:pPr>
    </w:p>
    <w:p>
      <w:pPr>
        <w:jc w:val="both"/>
        <w:ind w:left="540" w:right="459" w:firstLine="63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Federal Reserve Board to which the Administrative Agent is subject for eurocurrency funding (currently referred to as “Eurocurrency Liabilities” in Regulation D of the Federal Reserve Board). Such reserve percentages shall include those imposed pursuant to such Regulation D. Eurocurrency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59"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 corporation, partnership, joint venture, limited liability company or other business entity (a) of which a majority of the</w:t>
      </w:r>
    </w:p>
    <w:p>
      <w:pPr>
        <w:sectPr>
          <w:pgSz w:w="11900" w:h="16838" w:orient="portrait"/>
          <w:cols w:equalWidth="0" w:num="1">
            <w:col w:w="9019"/>
          </w:cols>
          <w:pgMar w:left="1440" w:top="928" w:right="1440" w:bottom="1440" w:gutter="0" w:footer="0" w:header="0"/>
        </w:sectPr>
      </w:pP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8" w:name="page139"/>
    <w:bookmarkEnd w:id="138"/>
    <w:p>
      <w:pPr>
        <w:jc w:val="both"/>
        <w:ind w:left="540" w:right="479"/>
        <w:spacing w:after="0" w:line="260" w:lineRule="auto"/>
        <w:rPr>
          <w:sz w:val="20"/>
          <w:szCs w:val="20"/>
          <w:color w:val="auto"/>
        </w:rPr>
      </w:pPr>
      <w:r>
        <w:rPr>
          <w:rFonts w:ascii="Arial" w:cs="Arial" w:eastAsia="Arial" w:hAnsi="Arial"/>
          <w:sz w:val="21"/>
          <w:szCs w:val="21"/>
          <w:color w:val="auto"/>
        </w:rPr>
        <w:t>Equity Interests having ordinary voting power for the election of directors or other governing body (other than Equity Interests having such power only by reason of the happening of a contingency) are at the time beneficially owned, or (b) that is, at the time any determination is made, otherwise Controlled, by such Person or one or more Subsidiaries of such Person or by such Person and one or more Subsidiaries of such Person. Unless otherwise specified, all references herein to a “Subsidiary” or to “Subsidiaries” will refer to a Subsidiary or Subsidiaries of the Borrower.</w:t>
      </w:r>
    </w:p>
    <w:p>
      <w:pPr>
        <w:spacing w:after="0" w:line="18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means (a) Incyte Holdings Corporation and (b) each other Subsidiary of the Borrower that, after the Effective Date, becomes a party to this Agreement as a “Guarantor”, either pursuant to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9.11</w:t>
      </w:r>
      <w:r>
        <w:rPr>
          <w:rFonts w:ascii="Arial" w:cs="Arial" w:eastAsia="Arial" w:hAnsi="Arial"/>
          <w:sz w:val="22"/>
          <w:szCs w:val="22"/>
          <w:color w:val="auto"/>
        </w:rPr>
        <w:t>.</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11.20</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58" w:lineRule="exact"/>
        <w:rPr>
          <w:sz w:val="20"/>
          <w:szCs w:val="20"/>
          <w:color w:val="auto"/>
        </w:rPr>
      </w:pPr>
    </w:p>
    <w:p>
      <w:pPr>
        <w:jc w:val="both"/>
        <w:ind w:left="540" w:right="479" w:firstLine="635"/>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means, in respect of any one or more Swap Contracts, after taking into account the effect of any netting agreement relating to such Swap Contracts, (a) for any date on or after the date such Swap Contracts have been closed out and termination value(s) determined in accordance therewith, such termination value(s), and</w:t>
      </w:r>
    </w:p>
    <w:p>
      <w:pPr>
        <w:spacing w:after="0" w:line="3" w:lineRule="exact"/>
        <w:rPr>
          <w:sz w:val="20"/>
          <w:szCs w:val="20"/>
          <w:color w:val="auto"/>
        </w:rPr>
      </w:pPr>
    </w:p>
    <w:p>
      <w:pPr>
        <w:jc w:val="both"/>
        <w:ind w:left="540" w:right="479"/>
        <w:spacing w:after="0" w:line="244" w:lineRule="auto"/>
        <w:tabs>
          <w:tab w:leader="none" w:pos="869"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for any date prior to the date referenced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the amount(s) determined as the mark-to-market value(s) for such Swap Contracts, as determined based upon one or more mid-market or other readily available quotations provided by any recognized dealer in such Swap Contracts (which may include a Lender or any Affiliate of a Lender) or any third party in the business of determining such values acceptable to the Administrative Agent.</w:t>
      </w:r>
    </w:p>
    <w:p>
      <w:pPr>
        <w:spacing w:after="0" w:line="194"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8"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Outstandings</w:t>
      </w:r>
      <w:r>
        <w:rPr>
          <w:rFonts w:ascii="Arial" w:cs="Arial" w:eastAsia="Arial" w:hAnsi="Arial"/>
          <w:sz w:val="22"/>
          <w:szCs w:val="22"/>
          <w:color w:val="auto"/>
        </w:rPr>
        <w:t>” means the aggregate Outstanding Amount of all Loans and all L/C Obligations.</w:t>
      </w:r>
    </w:p>
    <w:p>
      <w:pPr>
        <w:sectPr>
          <w:pgSz w:w="11900" w:h="16838" w:orient="portrait"/>
          <w:cols w:equalWidth="0" w:num="1">
            <w:col w:w="9019"/>
          </w:cols>
          <w:pgMar w:left="1440" w:top="928"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39" w:name="page140"/>
    <w:bookmarkEnd w:id="139"/>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11.06(h)(i)</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(a) with respect to a Committed Loan, its character as a Base Rate Loan or a Eurocurrency Rate Loan, and (b) with respect to a Bid Loan, its character as an Absolute Rate Loan.</w:t>
      </w:r>
    </w:p>
    <w:p>
      <w:pPr>
        <w:spacing w:after="0" w:line="185"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85"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w:t>
      </w:r>
      <w:r>
        <w:rPr>
          <w:rFonts w:ascii="Arial" w:cs="Arial" w:eastAsia="Arial" w:hAnsi="Arial"/>
          <w:sz w:val="22"/>
          <w:szCs w:val="22"/>
          <w:color w:val="auto"/>
        </w:rPr>
        <w:t>” means, with respect to any Letter of Credit, the “Uniform Customs and Practice for Documentary Credits” published by the International Chamber of Commerce Publication No. 600 (or such later version thereof as may be in effect at the time of issuance).</w:t>
      </w:r>
    </w:p>
    <w:p>
      <w:pPr>
        <w:spacing w:after="0" w:line="188" w:lineRule="exact"/>
        <w:rPr>
          <w:sz w:val="20"/>
          <w:szCs w:val="20"/>
          <w:color w:val="auto"/>
        </w:rPr>
      </w:pPr>
    </w:p>
    <w:p>
      <w:pPr>
        <w:jc w:val="both"/>
        <w:ind w:left="540" w:right="479" w:firstLine="635"/>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Financial Institution</w:t>
      </w:r>
      <w:r>
        <w:rPr>
          <w:rFonts w:ascii="Arial" w:cs="Arial" w:eastAsia="Arial" w:hAnsi="Arial"/>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left="540" w:right="479" w:firstLine="63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2.04(c)(ii)</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Commitment Fees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2.09(a)</w:t>
      </w:r>
      <w:r>
        <w:rPr>
          <w:rFonts w:ascii="Arial" w:cs="Arial" w:eastAsia="Arial" w:hAnsi="Arial"/>
          <w:sz w:val="22"/>
          <w:szCs w:val="22"/>
          <w:color w:val="auto"/>
        </w:rPr>
        <w:t>.</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20" w:lineRule="exact"/>
        <w:rPr>
          <w:sz w:val="20"/>
          <w:szCs w:val="20"/>
          <w:color w:val="auto"/>
        </w:rPr>
      </w:pPr>
    </w:p>
    <w:p>
      <w:pPr>
        <w:jc w:val="both"/>
        <w:ind w:left="540" w:right="479" w:firstLine="635"/>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Dollar Equivalent</w:t>
      </w:r>
      <w:r>
        <w:rPr>
          <w:rFonts w:ascii="Arial" w:cs="Arial" w:eastAsia="Arial" w:hAnsi="Arial"/>
          <w:sz w:val="19"/>
          <w:szCs w:val="19"/>
          <w:color w:val="auto"/>
        </w:rPr>
        <w:t xml:space="preserve">” means, at any time, (a) with respect to any amount denominated in US Dollars, such amount and (b) with respect to any amount denominated in any Alternative Currency or any Discretionary Alternative Currency, the equivalent amount thereof in US Dollars as determined by the Administrative Agent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on the basis of the Exchange Rate (determined as of the most recent applicable Revaluation Date) with respect to such Alternative Currency or such Discretionary Alternative Currency in effect for such amount on such date.</w:t>
      </w:r>
    </w:p>
    <w:p>
      <w:pPr>
        <w:spacing w:after="0" w:line="151"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 (30) of the Code.</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Special Resolution Regime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11.20</w:t>
      </w:r>
      <w:r>
        <w:rPr>
          <w:rFonts w:ascii="Arial" w:cs="Arial" w:eastAsia="Arial" w:hAnsi="Arial"/>
          <w:sz w:val="21"/>
          <w:szCs w:val="21"/>
          <w:color w:val="auto"/>
        </w:rPr>
        <w:t>.</w:t>
      </w:r>
    </w:p>
    <w:p>
      <w:pPr>
        <w:spacing w:after="0" w:line="23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Voidable Transfer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9.10</w:t>
      </w:r>
      <w:r>
        <w:rPr>
          <w:rFonts w:ascii="Arial" w:cs="Arial" w:eastAsia="Arial" w:hAnsi="Arial"/>
          <w:sz w:val="22"/>
          <w:szCs w:val="22"/>
          <w:color w:val="auto"/>
        </w:rPr>
        <w:t>.</w:t>
      </w:r>
    </w:p>
    <w:p>
      <w:pPr>
        <w:spacing w:after="0" w:line="220"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with respect to any Person, a Subsidiary of such Person all the Equity Interests of which (except for directors’ qualifying shares and other</w:t>
      </w:r>
    </w:p>
    <w:p>
      <w:pPr>
        <w:sectPr>
          <w:pgSz w:w="11900" w:h="16838" w:orient="portrait"/>
          <w:cols w:equalWidth="0" w:num="1">
            <w:col w:w="9019"/>
          </w:cols>
          <w:pgMar w:left="1440" w:top="928" w:right="1440" w:bottom="1440" w:gutter="0" w:footer="0" w:header="0"/>
        </w:sectPr>
      </w:pP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0" w:name="page141"/>
    <w:bookmarkEnd w:id="140"/>
    <w:p>
      <w:pPr>
        <w:jc w:val="both"/>
        <w:ind w:left="540" w:right="479"/>
        <w:spacing w:after="0" w:line="312" w:lineRule="auto"/>
        <w:rPr>
          <w:sz w:val="20"/>
          <w:szCs w:val="20"/>
          <w:color w:val="auto"/>
        </w:rPr>
      </w:pPr>
      <w:r>
        <w:rPr>
          <w:rFonts w:ascii="Arial" w:cs="Arial" w:eastAsia="Arial" w:hAnsi="Arial"/>
          <w:sz w:val="19"/>
          <w:szCs w:val="19"/>
          <w:color w:val="auto"/>
        </w:rPr>
        <w:t>nominal amounts of Equity Interests that are required to be held by other Persons under applicable Law) are, at the time any determination is being made, owned, Controlled or held by such Person and/or one or more Wholly Owned Subsidiaries of such Person.</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Loan Party or the Administrative Agent.</w:t>
      </w:r>
    </w:p>
    <w:p>
      <w:pPr>
        <w:spacing w:after="0" w:line="220" w:lineRule="exact"/>
        <w:rPr>
          <w:sz w:val="20"/>
          <w:szCs w:val="20"/>
          <w:color w:val="auto"/>
        </w:rPr>
      </w:pPr>
    </w:p>
    <w:p>
      <w:pPr>
        <w:jc w:val="both"/>
        <w:ind w:left="540" w:right="479" w:firstLine="635"/>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1"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85" w:lineRule="exact"/>
        <w:rPr>
          <w:sz w:val="20"/>
          <w:szCs w:val="20"/>
          <w:color w:val="auto"/>
        </w:rPr>
      </w:pPr>
    </w:p>
    <w:p>
      <w:pPr>
        <w:jc w:val="both"/>
        <w:ind w:left="540" w:right="539" w:firstLine="725"/>
        <w:spacing w:after="0" w:line="284" w:lineRule="auto"/>
        <w:tabs>
          <w:tab w:leader="none" w:pos="1836"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definitions of terms herein will apply equally to the singular and plural forms of the terms defined. Whenever the context may require, any pronoun will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will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will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will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will be construed to include such Person’s successors and permitted assigns, (iii) the words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any Loan Document, will be construed to refer to such Loan Document in its entirety and not to any particular provision thereof, (iv) all references in a Loan Document to Articles, Sections, Exhibits and Schedules will be construed to refer to Articles and Sections of, and Exhibits and Schedules to, the Loan Document in which such references appear, (v) any reference to any law will include all statutory and regulatory provisions consolidating, amending, replacing or interpreting such law and any reference to any law or regulation will, unless otherwise specified, refer to such law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will be construed to have the same meaning and effect and to refer to any and all tangible and intangible assets and properties, including cash, securities, accounts and contract rights.</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1840" w:hanging="575"/>
        <w:spacing w:after="0"/>
        <w:tabs>
          <w:tab w:leader="none" w:pos="18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1" w:name="page142"/>
    <w:bookmarkEnd w:id="141"/>
    <w:p>
      <w:pPr>
        <w:ind w:left="540" w:right="859"/>
        <w:spacing w:after="0" w:line="358" w:lineRule="auto"/>
        <w:rPr>
          <w:sz w:val="20"/>
          <w:szCs w:val="20"/>
          <w:color w:val="auto"/>
        </w:rPr>
      </w:pPr>
      <w:r>
        <w:rPr>
          <w:rFonts w:ascii="Arial" w:cs="Arial" w:eastAsia="Arial" w:hAnsi="Arial"/>
          <w:sz w:val="19"/>
          <w:szCs w:val="19"/>
          <w:color w:val="auto"/>
        </w:rPr>
        <w:t>specified date, the word “from” means “</w:t>
      </w:r>
      <w:r>
        <w:rPr>
          <w:rFonts w:ascii="Arial" w:cs="Arial" w:eastAsia="Arial" w:hAnsi="Arial"/>
          <w:sz w:val="19"/>
          <w:szCs w:val="19"/>
          <w:u w:val="single" w:color="auto"/>
          <w:color w:val="auto"/>
        </w:rPr>
        <w:t>from 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37" w:lineRule="exact"/>
        <w:rPr>
          <w:sz w:val="20"/>
          <w:szCs w:val="20"/>
          <w:color w:val="auto"/>
        </w:rPr>
      </w:pPr>
    </w:p>
    <w:p>
      <w:pPr>
        <w:jc w:val="both"/>
        <w:ind w:left="540" w:right="539" w:firstLine="725"/>
        <w:spacing w:after="0" w:line="253" w:lineRule="auto"/>
        <w:tabs>
          <w:tab w:leader="none" w:pos="18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will not affect the interpretation of this Agreement or any other Loan Document.</w:t>
      </w:r>
    </w:p>
    <w:p>
      <w:pPr>
        <w:spacing w:after="0" w:line="185" w:lineRule="exact"/>
        <w:rPr>
          <w:sz w:val="20"/>
          <w:szCs w:val="20"/>
          <w:color w:val="auto"/>
        </w:rPr>
      </w:pPr>
    </w:p>
    <w:p>
      <w:pPr>
        <w:jc w:val="both"/>
        <w:ind w:left="540" w:right="539" w:firstLine="648"/>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Accounting Terms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Agreement or any other Loan Document to the contrary, (i) for purposes of determining compliance with any covenant (including the computation of any financial covenant, but excluding compliance with </w:t>
      </w:r>
      <w:r>
        <w:rPr>
          <w:rFonts w:ascii="Arial" w:cs="Arial" w:eastAsia="Arial" w:hAnsi="Arial"/>
          <w:sz w:val="19"/>
          <w:szCs w:val="19"/>
          <w:u w:val="single" w:color="auto"/>
          <w:color w:val="auto"/>
        </w:rPr>
        <w:t>Section 6.01</w:t>
      </w:r>
      <w:r>
        <w:rPr>
          <w:rFonts w:ascii="Arial" w:cs="Arial" w:eastAsia="Arial" w:hAnsi="Arial"/>
          <w:sz w:val="19"/>
          <w:szCs w:val="19"/>
          <w:color w:val="auto"/>
        </w:rPr>
        <w:t>) contained herein, Indebtedness of the Borrower and its Subsidiaries shall be deemed to be carried at 100% of the outstanding principal amount thereof, and the effects of FASB ASC 825 and FASB ASC 470-20 shall be disregarded and (ii) treatment of operating leases shall be subject to the proviso set forth in the definition of “Capital Lease Obligations”.</w:t>
      </w:r>
    </w:p>
    <w:p>
      <w:pPr>
        <w:spacing w:after="0" w:line="163" w:lineRule="exact"/>
        <w:rPr>
          <w:sz w:val="20"/>
          <w:szCs w:val="20"/>
          <w:color w:val="auto"/>
        </w:rPr>
      </w:pPr>
    </w:p>
    <w:p>
      <w:pPr>
        <w:jc w:val="both"/>
        <w:ind w:left="540" w:right="539" w:firstLine="725"/>
        <w:spacing w:after="0" w:line="287" w:lineRule="auto"/>
        <w:tabs>
          <w:tab w:leader="none" w:pos="183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Borrower or the Required Lenders shall so request, the Administrative Agent, the Lenders and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3" w:lineRule="exact"/>
        <w:rPr>
          <w:rFonts w:ascii="Arial" w:cs="Arial" w:eastAsia="Arial" w:hAnsi="Arial"/>
          <w:sz w:val="19"/>
          <w:szCs w:val="19"/>
          <w:color w:val="auto"/>
        </w:rPr>
      </w:pPr>
    </w:p>
    <w:p>
      <w:pPr>
        <w:jc w:val="both"/>
        <w:ind w:left="540" w:right="539" w:firstLine="725"/>
        <w:spacing w:after="0" w:line="285" w:lineRule="auto"/>
        <w:tabs>
          <w:tab w:leader="none" w:pos="183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Pro Forma Calculations</w:t>
      </w:r>
      <w:r>
        <w:rPr>
          <w:rFonts w:ascii="Arial" w:cs="Arial" w:eastAsia="Arial" w:hAnsi="Arial"/>
          <w:sz w:val="19"/>
          <w:szCs w:val="19"/>
          <w:color w:val="auto"/>
        </w:rPr>
        <w:t xml:space="preserve">. All pro forma computations required to be made hereunder giving effect to any Material Acquisition or Material Disposition shall be calculated after giving pro forma effect thereto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of the Borrower for which financial statements shall have been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prior to the first such delivery, ending with the most recent fiscal quarter referred to in </w:t>
      </w:r>
      <w:r>
        <w:rPr>
          <w:rFonts w:ascii="Arial" w:cs="Arial" w:eastAsia="Arial" w:hAnsi="Arial"/>
          <w:sz w:val="19"/>
          <w:szCs w:val="19"/>
          <w:u w:val="single" w:color="auto"/>
          <w:color w:val="auto"/>
        </w:rPr>
        <w:t>Section 5.05(a)</w:t>
      </w:r>
      <w:r>
        <w:rPr>
          <w:rFonts w:ascii="Arial" w:cs="Arial" w:eastAsia="Arial" w:hAnsi="Arial"/>
          <w:sz w:val="19"/>
          <w:szCs w:val="19"/>
          <w:color w:val="auto"/>
        </w:rPr>
        <w:t>), and, to the extent applicable, the historical earnings and cash flows associated with the assets acquired or disposed of, any related incurrence or reduction of Indebtedness and, in the case of any Material Acquisition, any related cost savings, operating expense reductions and synergies which (i) are calculated on a basis that is consistent with Article 11 of Regulation S-X under the Securities Act or (ii) are implemented, committed to be implemented, the commencement of implementation of which has begun or is reasonably expected to be implemented in good faith by the business that was the subject of any such Material Acquisition within eighteen (18) months of the date of such Material Acquisition and that</w:t>
      </w:r>
    </w:p>
    <w:p>
      <w:pPr>
        <w:sectPr>
          <w:pgSz w:w="11900" w:h="16838" w:orient="portrait"/>
          <w:cols w:equalWidth="0" w:num="1">
            <w:col w:w="9019"/>
          </w:cols>
          <w:pgMar w:left="1440" w:top="928"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603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2" w:name="page143"/>
    <w:bookmarkEnd w:id="142"/>
    <w:p>
      <w:pPr>
        <w:jc w:val="both"/>
        <w:ind w:left="540" w:right="539"/>
        <w:spacing w:after="0" w:line="289" w:lineRule="auto"/>
        <w:rPr>
          <w:sz w:val="20"/>
          <w:szCs w:val="20"/>
          <w:color w:val="auto"/>
        </w:rPr>
      </w:pPr>
      <w:r>
        <w:rPr>
          <w:rFonts w:ascii="Arial" w:cs="Arial" w:eastAsia="Arial" w:hAnsi="Arial"/>
          <w:sz w:val="19"/>
          <w:szCs w:val="19"/>
          <w:color w:val="auto"/>
        </w:rPr>
        <w:t xml:space="preserve">are factually supportable and quantifiable and expected to have a continuing impact, as if,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all such cost savings, operating expense reductions and synergies had been effected as of the beginning of such period, decreased by any recurring incremental expenses incurred or to be incurred during such period in order to achieve such cost savings, operating expense reductions and synergies. If any Indebtedness bears a floating rate of interest and is being given pro forma effect, the interest on such Indebtedness shall be calculated as if the rate in effect on the date of determination had been the applicable rate for the entire period (taking into account any Swap Contract applicable to such Indebtedness).</w:t>
      </w:r>
    </w:p>
    <w:p>
      <w:pPr>
        <w:spacing w:after="0" w:line="157" w:lineRule="exact"/>
        <w:rPr>
          <w:sz w:val="20"/>
          <w:szCs w:val="20"/>
          <w:color w:val="auto"/>
        </w:rPr>
      </w:pPr>
    </w:p>
    <w:p>
      <w:pPr>
        <w:jc w:val="both"/>
        <w:ind w:left="540" w:right="539" w:firstLine="648"/>
        <w:spacing w:after="0" w:line="258"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Exchange Rates; US Dollar Equivalents</w:t>
      </w:r>
      <w:r>
        <w:rPr>
          <w:rFonts w:ascii="Arial" w:cs="Arial" w:eastAsia="Arial" w:hAnsi="Arial"/>
          <w:sz w:val="21"/>
          <w:szCs w:val="21"/>
          <w:color w:val="auto"/>
        </w:rPr>
        <w:t>. The Administrative Agent will determine, for each Loan or L/C Obligation denominated in an Alternative Currency or a Discretionary Alternative Currency, as of each applicable Revaluation Date, the Exchange Rate to be used for calculating the US Dollar Equivalent amount thereof. Such Exchange Rate shall become effective as of such Revaluation Date and shall be the Exchange Rate employed in determining the US Dollar Equivalent of such Loan or L/C Obligation until the next Revaluation Date to occur in respect of such Loan or L/C Obligation. The Administrative Agent shall notify the Borrower, the Lenders and the applicable L/C Issuer of each determination of the US Dollar Equivalent of each Loan and each L/C Obligation.</w:t>
      </w:r>
    </w:p>
    <w:p>
      <w:pPr>
        <w:spacing w:after="0" w:line="185" w:lineRule="exact"/>
        <w:rPr>
          <w:sz w:val="20"/>
          <w:szCs w:val="20"/>
          <w:color w:val="auto"/>
        </w:rPr>
      </w:pPr>
    </w:p>
    <w:p>
      <w:pPr>
        <w:jc w:val="both"/>
        <w:ind w:left="540" w:right="539" w:firstLine="648"/>
        <w:spacing w:after="0" w:line="289"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Additional Alternative Currencies</w:t>
      </w:r>
      <w:r>
        <w:rPr>
          <w:rFonts w:ascii="Arial" w:cs="Arial" w:eastAsia="Arial" w:hAnsi="Arial"/>
          <w:sz w:val="19"/>
          <w:szCs w:val="19"/>
          <w:color w:val="auto"/>
        </w:rPr>
        <w:t xml:space="preserve">. (a) The Borrower may from time to time request that Eurocurrency Rate Committed Loans be made and/or Letters of Credit be issued in a currency other US Dollars;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freely available, freely transferable and freely convertible into US Dollars;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in the case of any such request with respect to the making of Eurocurrency Rate Committed Loans, such request will be subject to the approval of the Administrative Agent and each Lender and (ii) in the case of any such request with respect to Letters of Credit, such request will be subject to the approval of the Administrative Agent and, as to Letters of Credit to be issued by such L/C Issuer, each L/C Issuer.</w:t>
      </w:r>
    </w:p>
    <w:p>
      <w:pPr>
        <w:spacing w:after="0" w:line="157" w:lineRule="exact"/>
        <w:rPr>
          <w:sz w:val="20"/>
          <w:szCs w:val="20"/>
          <w:color w:val="auto"/>
        </w:rPr>
      </w:pPr>
    </w:p>
    <w:p>
      <w:pPr>
        <w:jc w:val="both"/>
        <w:ind w:left="540" w:right="539" w:firstLine="725"/>
        <w:spacing w:after="0" w:line="285" w:lineRule="auto"/>
        <w:tabs>
          <w:tab w:leader="none" w:pos="18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such request will be made to the Administrative Agent not later than 10:00 a.m., New York City time, twenty (20) Business Days prior to the date of the desired Credit Extension (or such other time or date as may be agreed by the Administrative Agent and, in the case of any such request pertaining to Letters of Credit, the applicable L/C Issuer, in its or their sole discretion). In the case of any such request pertaining to Eurocurrency Rate Committed Loans, the Administrative Agent will promptly notify each Lender thereof; and in the case of any such request pertaining to Letters of Credit, the Administrative Agent will promptly notify each L/C Issuer thereof. Each Lender (in the case of any such request pertaining to Eurocurrency Rate Committed Loans) or each L/C Issuer (in the case of any such request pertaining to Letters of Credit) will notify the Administrative Agent, not later than 10:00 a.m., New York City time, ten (10) Business Days after receipt of such request whether it consents, in its sole discretion, to the making of Eurocurrency Rate Committed Loans or the issuance of Letters of Credit, as the case may be, in such requested currency. Any failure by a Lender or an L/C Issuer to respond to such request within the time period specified in the preceding sentence will be deemed to be a refusal by such Lender or such L/C Issuer, as the case may be, to permit Eurocurrency Rate Committed Loans to be made or Letters of Credit to be issued in such</w:t>
      </w:r>
    </w:p>
    <w:p>
      <w:pPr>
        <w:sectPr>
          <w:pgSz w:w="11900" w:h="16838" w:orient="portrait"/>
          <w:cols w:equalWidth="0" w:num="1">
            <w:col w:w="9019"/>
          </w:cols>
          <w:pgMar w:left="1440" w:top="928"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3" w:name="page144"/>
    <w:bookmarkEnd w:id="143"/>
    <w:p>
      <w:pPr>
        <w:jc w:val="both"/>
        <w:ind w:left="540" w:right="539"/>
        <w:spacing w:after="0" w:line="258" w:lineRule="auto"/>
        <w:rPr>
          <w:sz w:val="20"/>
          <w:szCs w:val="20"/>
          <w:color w:val="auto"/>
        </w:rPr>
      </w:pPr>
      <w:r>
        <w:rPr>
          <w:rFonts w:ascii="Arial" w:cs="Arial" w:eastAsia="Arial" w:hAnsi="Arial"/>
          <w:sz w:val="21"/>
          <w:szCs w:val="21"/>
          <w:color w:val="auto"/>
        </w:rPr>
        <w:t xml:space="preserve">requested currency. If the Administrative Agent and all the Lenders consent to making Eurocurrency Rate Committed Loans in such requested currency, the Administrative Agent will so notify the Borrower and such currency will thereupon be deemed to be an “Alternative Currency” hereunder for purposes of any Eurocurrency Rate Committed Loans; and if the Administrative Agent and any L/C Issuer consent to the issuance of Letters of Credit in such requested currency, the Administrative Agent will so notify the Borrower and such currency will thereupon be deemed for all purposes to be an “Alternative Currency” hereunder for purposes of any Letter of Credit issuances by such L/C Issuer. If the Administrative Agent shall fail to obtain consent to any request for an additional currency under this </w:t>
      </w:r>
      <w:r>
        <w:rPr>
          <w:rFonts w:ascii="Arial" w:cs="Arial" w:eastAsia="Arial" w:hAnsi="Arial"/>
          <w:sz w:val="21"/>
          <w:szCs w:val="21"/>
          <w:u w:val="single" w:color="auto"/>
          <w:color w:val="auto"/>
        </w:rPr>
        <w:t>Section 1.05</w:t>
      </w:r>
      <w:r>
        <w:rPr>
          <w:rFonts w:ascii="Arial" w:cs="Arial" w:eastAsia="Arial" w:hAnsi="Arial"/>
          <w:sz w:val="21"/>
          <w:szCs w:val="21"/>
          <w:color w:val="auto"/>
        </w:rPr>
        <w:t>, the Administrative Agent will promptly so notify the Borrower.</w:t>
      </w:r>
    </w:p>
    <w:p>
      <w:pPr>
        <w:spacing w:after="0" w:line="182" w:lineRule="exact"/>
        <w:rPr>
          <w:sz w:val="20"/>
          <w:szCs w:val="20"/>
          <w:color w:val="auto"/>
        </w:rPr>
      </w:pPr>
    </w:p>
    <w:p>
      <w:pPr>
        <w:jc w:val="both"/>
        <w:ind w:left="540" w:right="559" w:firstLine="648"/>
        <w:spacing w:after="0" w:line="259"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Divisions</w:t>
      </w:r>
      <w:r>
        <w:rPr>
          <w:rFonts w:ascii="Arial" w:cs="Arial" w:eastAsia="Arial" w:hAnsi="Arial"/>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both"/>
        <w:ind w:left="540" w:right="559" w:firstLine="648"/>
        <w:spacing w:after="0" w:line="290"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xml:space="preserve">. Unless otherwise specified herein, the amount of a Letter of Credit at any time will be deemed to be the US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will be deemed to be the US Dollar Equivalent of the maximum stated amount of such Letter of Credit after giving effect to all such increases, whether or not such maximum stated amount is in effect at such time.</w:t>
      </w:r>
    </w:p>
    <w:p>
      <w:pPr>
        <w:spacing w:after="0" w:line="156" w:lineRule="exact"/>
        <w:rPr>
          <w:sz w:val="20"/>
          <w:szCs w:val="20"/>
          <w:color w:val="auto"/>
        </w:rPr>
      </w:pPr>
    </w:p>
    <w:p>
      <w:pPr>
        <w:jc w:val="both"/>
        <w:ind w:left="540" w:right="559" w:firstLine="648"/>
        <w:spacing w:after="0" w:line="29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7"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Eurodollar Loans is determined by reference to the LIBO Rate, which is derived from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LIBOR is intended to represent the rate at which contributing banks may obtain short-term borrowings from each other in the London interbank market. On March 5, 2021, the U.K. Financial Conduct Authority (the “</w:t>
      </w:r>
      <w:r>
        <w:rPr>
          <w:rFonts w:ascii="Arial" w:cs="Arial" w:eastAsia="Arial" w:hAnsi="Arial"/>
          <w:sz w:val="19"/>
          <w:szCs w:val="19"/>
          <w:u w:val="single" w:color="auto"/>
          <w:color w:val="auto"/>
        </w:rPr>
        <w:t>FCA</w:t>
      </w:r>
      <w:r>
        <w:rPr>
          <w:rFonts w:ascii="Arial" w:cs="Arial" w:eastAsia="Arial" w:hAnsi="Arial"/>
          <w:sz w:val="19"/>
          <w:szCs w:val="19"/>
          <w:color w:val="auto"/>
        </w:rPr>
        <w:t>”) publicly announced that: (a) immediately after December 31, 2021, publication of the 1-week and 2-month U.S. Dollar LIBOR settings will permanently cease; (b) immediately after June 30, 2023, publication of the overnight and 12-month U.S. Dollar LIBOR settings will permanently cease; and (c) immediately after June 30, 2023, the 1-month, 3-month and 6-month U.S. Dollar LIBOR settings will cease to be provided or, subject to the FCA’s consideration of the case, be provided on a changed methodology (or “synthetic”) basis and no longer be representative of the underlying market and economic reality they are</w:t>
      </w:r>
    </w:p>
    <w:p>
      <w:pPr>
        <w:sectPr>
          <w:pgSz w:w="11900" w:h="16838" w:orient="portrait"/>
          <w:cols w:equalWidth="0" w:num="1">
            <w:col w:w="9019"/>
          </w:cols>
          <w:pgMar w:left="1440" w:top="928" w:right="1440" w:bottom="1440" w:gutter="0" w:footer="0" w:header="0"/>
        </w:sect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4" w:name="page145"/>
    <w:bookmarkEnd w:id="144"/>
    <w:p>
      <w:pPr>
        <w:jc w:val="both"/>
        <w:ind w:left="540" w:right="499"/>
        <w:spacing w:after="0" w:line="283" w:lineRule="auto"/>
        <w:rPr>
          <w:sz w:val="20"/>
          <w:szCs w:val="20"/>
          <w:color w:val="auto"/>
        </w:rPr>
      </w:pPr>
      <w:r>
        <w:rPr>
          <w:rFonts w:ascii="Arial" w:cs="Arial" w:eastAsia="Arial" w:hAnsi="Arial"/>
          <w:sz w:val="19"/>
          <w:szCs w:val="19"/>
          <w:color w:val="auto"/>
        </w:rPr>
        <w:t>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an Early Opt-in Election or an Other Benchmark Rate Election, Section 2.17(b) and Section 2.17(c) provide a mechanism for determining an alternative rate of interest. The Administrative Agent will promptly notify the Borrower, pursuant to Section 2.17(e), of any change to the reference rate upon which the interest rate on Eurodollar Loans is based. However, the Administrative Agent does not warrant or accept any responsibility for, and shall not have any liability with respect to, the administration, submission, performance or any other matter related to LIBOR or other rates in the definition of “LIBO Rate” or with respect to any alternative or successor rate thereto, or replacement rate thereof (including, without limitation, (i) any such alternative, successor or replacement rate implemented pursuant to Section 2.17(b) or Section 2.17(c), whether upon the occurrence of a Benchmark Transition Event, a Term SOFR Transition Event, an Early Opt-in Election or an Other Benchmark Rate Election, and (ii) the implementation of any Benchmark Replacement Conforming Changes pursuant to Section 2.17(d)), including without limitation, whether the composition or characteristics of any such alternative, successor or replacement reference rate will be similar to, or produce the same value or economic equivalence of, the LIBO Rate or have the same volume or liquidity as did LIBOR prior to its discontinuance or unavailability. The Administrative Agent may select information sources or services in its reasonable discretion to ascertain any rate with respect to Eurodollar Loans,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COMMITMENTS AND CREDIT EXTENSIONS</w:t>
      </w:r>
    </w:p>
    <w:p>
      <w:pPr>
        <w:spacing w:after="0" w:line="220"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Committed Loans</w:t>
      </w:r>
      <w:r>
        <w:rPr>
          <w:rFonts w:ascii="Arial" w:cs="Arial" w:eastAsia="Arial" w:hAnsi="Arial"/>
          <w:sz w:val="19"/>
          <w:szCs w:val="19"/>
          <w:color w:val="auto"/>
        </w:rPr>
        <w:t>. Subject to the terms and conditions set forth herein, each Lender severally agrees to make loans (each such loan, a “</w:t>
      </w:r>
      <w:r>
        <w:rPr>
          <w:rFonts w:ascii="Arial" w:cs="Arial" w:eastAsia="Arial" w:hAnsi="Arial"/>
          <w:sz w:val="19"/>
          <w:szCs w:val="19"/>
          <w:u w:val="single" w:color="auto"/>
          <w:color w:val="auto"/>
        </w:rPr>
        <w:t>Committed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w:t>
      </w:r>
      <w:r>
        <w:rPr>
          <w:rFonts w:ascii="Arial" w:cs="Arial" w:eastAsia="Arial" w:hAnsi="Arial"/>
          <w:sz w:val="19"/>
          <w:szCs w:val="19"/>
          <w:color w:val="auto"/>
        </w:rPr>
        <w:t>”) to the Borrower in US Dollars or in one or more Alternative Currencies from time to time, on any Business Day during the Availability Period, in an aggregate principal amount that will not result in (a) the Total Outstandings exceeding the Aggregate Commitments, (b) the aggregate Outstanding Amount of the Committed Loans of any Lender, plus such Lender’s Applicable Percentage of the Outstanding Amount of all L/C Obligations exceeding such Lender’s Commitment or (c) the aggregate Outstanding Amount of all Committed Loans, all Bid Loans and all L/C Obligations denominated in Alternative Currencies or Discretionary Alternative Currencies exceeding the Alternative Currency Sublimit. Within the limits of each Lender’s Commitment, and subject to the</w:t>
      </w:r>
    </w:p>
    <w:p>
      <w:pPr>
        <w:sectPr>
          <w:pgSz w:w="11900" w:h="16838" w:orient="portrait"/>
          <w:cols w:equalWidth="0" w:num="1">
            <w:col w:w="9019"/>
          </w:cols>
          <w:pgMar w:left="1440" w:top="928" w:right="1440"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5" w:name="page146"/>
    <w:bookmarkEnd w:id="145"/>
    <w:p>
      <w:pPr>
        <w:jc w:val="both"/>
        <w:ind w:left="540" w:right="479"/>
        <w:spacing w:after="0" w:line="248" w:lineRule="auto"/>
        <w:rPr>
          <w:sz w:val="20"/>
          <w:szCs w:val="20"/>
          <w:color w:val="auto"/>
        </w:rPr>
      </w:pPr>
      <w:r>
        <w:rPr>
          <w:rFonts w:ascii="Arial" w:cs="Arial" w:eastAsia="Arial" w:hAnsi="Arial"/>
          <w:sz w:val="22"/>
          <w:szCs w:val="22"/>
          <w:color w:val="auto"/>
        </w:rPr>
        <w:t xml:space="preserve">other terms and conditions hereof, the Borrower may borrow under this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prepay under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and reborrow under this </w:t>
      </w:r>
      <w:r>
        <w:rPr>
          <w:rFonts w:ascii="Arial" w:cs="Arial" w:eastAsia="Arial" w:hAnsi="Arial"/>
          <w:sz w:val="22"/>
          <w:szCs w:val="22"/>
          <w:u w:val="single" w:color="auto"/>
          <w:color w:val="auto"/>
        </w:rPr>
        <w:t>Section 2.01</w:t>
      </w:r>
      <w:r>
        <w:rPr>
          <w:rFonts w:ascii="Arial" w:cs="Arial" w:eastAsia="Arial" w:hAnsi="Arial"/>
          <w:sz w:val="22"/>
          <w:szCs w:val="22"/>
          <w:color w:val="auto"/>
        </w:rPr>
        <w:t>. Committed Loans denominated in US Dollars may be Base Rate Loans or Eurocurrency Rate Loans, and Committed Loans denominated in any Alternative Currency may only be Eurocurrency Rate Loans, all as further provided herein.</w:t>
      </w:r>
    </w:p>
    <w:p>
      <w:pPr>
        <w:spacing w:after="0" w:line="192" w:lineRule="exact"/>
        <w:rPr>
          <w:sz w:val="20"/>
          <w:szCs w:val="20"/>
          <w:color w:val="auto"/>
        </w:rPr>
      </w:pPr>
    </w:p>
    <w:p>
      <w:pPr>
        <w:jc w:val="both"/>
        <w:ind w:left="540" w:right="559" w:firstLine="648"/>
        <w:spacing w:after="0" w:line="283"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Borrowings, Conversions and Continuations of Committed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(a) Each Committed Borrowing, each conversion of any Committed Borrowing denominated in US Dollars from one Type to the other, and each continuation of any Eurocurrency Rate Committed Borrowing will be made upon the Borrower’s notice to the Administrative Agent, which must be given by hand delivery, fax or e-mail to the Administrative Agent of a written Committed Loan Notice, appropriately completed and signed by a Responsible Officer of the Borrower; provided that, subject to Section 3.05, a Committed Loan Notice requesting a borrowing of Committed Loans may state that it is conditioned upon the occurrence of one or more events specified therein, in which case such Committed Loan Notice may be revoked by the Borrower (by notice to the Administrative Agent prior to the time specified herein for the funding by the Lenders of the applicable Committed Borrowing) if such condition is not satisfied. Each such written Committed Loan Notice must be received by the Administrative Agent (i) not later than 12:00 noon, Local Time, three (3) Business Days prior to the requested date of any Committed Borrowing of, or conversion to or continuation of, Eurocurrency Rate Committed Loans denominated in US Dollars, (ii) not later than 12:00 noon, Local Time, four (4) Business Days (or five (5) Business Days in the case of a Special Notice Currency) prior to the requested date of any Committed Borrowing of, or conversion to or continuation of, Eurocurrency Rate Committed Loans denominated in any Alternative Currency, and (iii) not later than 1:00 p.m., Local Time, on the requested date of any Borrowing of, or conversion to, Base Rate Committed Loans; provided that if the Borrower wishes to request Eurocurrency Rate Committed Borrowing having an Interest Period other than one, two, three or six months in duration as provided in the definition of “Interest Period”, the applicable notice must be received by the Administrative Agent not later than 12:00 noon, Local Time, (A) four (4) Business Days prior to the requested date of such Committed Borrowing of, conversion to or continuation of, Eurocurrency Rate Committed Loans denominated in US Dollars, or (B) five (5) Business Days (or six (6) Business Days in the case of a Special Notice Currency) prior to the requested date of such Committed Borrowing, or conversion to or continuation of, Eurocurrency Rate Committed Loans denominated in any Alternative Currency, whereupon the Administrative Agent will give prompt notice to the Lenders of such request and determine whether the requested Interest Period is acceptable to all of them. Not later than 12:00 noon, Local Time, (x) three (3) Business Days before the requested date of such Committed Borrowing of, or conversion to or continuation of, Eurocurrency Rate Committed Loans denominated in US Dollars, or</w:t>
      </w:r>
    </w:p>
    <w:p>
      <w:pPr>
        <w:spacing w:after="0" w:line="237" w:lineRule="exact"/>
        <w:rPr>
          <w:sz w:val="20"/>
          <w:szCs w:val="20"/>
          <w:color w:val="auto"/>
        </w:rPr>
      </w:pPr>
    </w:p>
    <w:p>
      <w:pPr>
        <w:jc w:val="both"/>
        <w:ind w:left="540" w:right="559"/>
        <w:spacing w:after="0" w:line="244" w:lineRule="auto"/>
        <w:tabs>
          <w:tab w:leader="none" w:pos="886" w:val="left"/>
        </w:tabs>
        <w:numPr>
          <w:ilvl w:val="0"/>
          <w:numId w:val="77"/>
        </w:numPr>
        <w:rPr>
          <w:rFonts w:ascii="Arial" w:cs="Arial" w:eastAsia="Arial" w:hAnsi="Arial"/>
          <w:sz w:val="22"/>
          <w:szCs w:val="22"/>
          <w:color w:val="auto"/>
        </w:rPr>
      </w:pPr>
      <w:r>
        <w:rPr>
          <w:rFonts w:ascii="Arial" w:cs="Arial" w:eastAsia="Arial" w:hAnsi="Arial"/>
          <w:sz w:val="22"/>
          <w:szCs w:val="22"/>
          <w:color w:val="auto"/>
        </w:rPr>
        <w:t>four (4) Business Days (or five (5) Business Days in the case of a Special Notice Currency) prior to the requested date of such Committed Borrowing of, or conversion to or continuation of, Eurocurrency Rate Committed Loans denominated in any Alternative Currency, the Administrative Agent will notify the Borrower (which notice may be by telephone) whether or not the requested Interest Period has been consented to by all the Lenders.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46" w:name="page147"/>
    <w:bookmarkEnd w:id="146"/>
    <w:p>
      <w:pPr>
        <w:jc w:val="both"/>
        <w:ind w:left="540" w:right="479" w:firstLine="635"/>
        <w:spacing w:after="0" w:line="285" w:lineRule="auto"/>
        <w:rPr>
          <w:sz w:val="20"/>
          <w:szCs w:val="20"/>
          <w:color w:val="auto"/>
        </w:rPr>
      </w:pPr>
      <w:r>
        <w:rPr>
          <w:rFonts w:ascii="Arial" w:cs="Arial" w:eastAsia="Arial" w:hAnsi="Arial"/>
          <w:sz w:val="19"/>
          <w:szCs w:val="19"/>
          <w:color w:val="auto"/>
        </w:rPr>
        <w:t xml:space="preserve">Each Committed Loan shall be made as part of a Committed Borrowing consisting of Committed Loans of the same Type and in the same currency made by the Lenders ratably in accordance with their respective Commitments. Each Committed Borrowing initially shall be of the Type specified in the applicable Committed Loan Notice and, in the case of a Eurocurrency Rate Committed Borrowing, each Committed Borrowing shall have an initial Interest Period as specified in such applicable Committed Loan Notice or as otherwise provided in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Thereafter, the Borrower may elect to convert such Committed Borrowing denominated in US Dollars to a Committed Borrowing of a different Type or to continue such Eurocurrency Rate Committed Borrowing and, in the case of a Eurocurrency Rate Committed Borrowing, may elect Interest Periods therefor, all as provided in this </w:t>
      </w:r>
      <w:r>
        <w:rPr>
          <w:rFonts w:ascii="Arial" w:cs="Arial" w:eastAsia="Arial" w:hAnsi="Arial"/>
          <w:sz w:val="19"/>
          <w:szCs w:val="19"/>
          <w:u w:val="single" w:color="auto"/>
          <w:color w:val="auto"/>
        </w:rPr>
        <w:t>Section 2.02</w:t>
      </w:r>
      <w:r>
        <w:rPr>
          <w:rFonts w:ascii="Arial" w:cs="Arial" w:eastAsia="Arial" w:hAnsi="Arial"/>
          <w:sz w:val="19"/>
          <w:szCs w:val="19"/>
          <w:color w:val="auto"/>
        </w:rPr>
        <w:t>. The Borrower may elect different conversion or continuation options with respect to different portions of the affected Committed Borrowing (and all references herein to conversion or continuation of a Committed Borrowing shall be understood to include any such election of different options with respect thereto), in which case each such portion shall be allocated ratably among the Lenders holding the Committed Loans comprising such Committed Borrowing, and the Committed Loans comprising each such portion shall be considered a separate Committed Borrowing.</w:t>
      </w:r>
    </w:p>
    <w:p>
      <w:pPr>
        <w:spacing w:after="0" w:line="200" w:lineRule="exact"/>
        <w:rPr>
          <w:sz w:val="20"/>
          <w:szCs w:val="20"/>
          <w:color w:val="auto"/>
        </w:rPr>
      </w:pPr>
    </w:p>
    <w:p>
      <w:pPr>
        <w:spacing w:after="0" w:line="225" w:lineRule="exact"/>
        <w:rPr>
          <w:sz w:val="20"/>
          <w:szCs w:val="20"/>
          <w:color w:val="auto"/>
        </w:rPr>
      </w:pPr>
    </w:p>
    <w:p>
      <w:pPr>
        <w:jc w:val="both"/>
        <w:ind w:left="540" w:right="479" w:firstLine="635"/>
        <w:spacing w:after="0" w:line="258" w:lineRule="auto"/>
        <w:rPr>
          <w:sz w:val="20"/>
          <w:szCs w:val="20"/>
          <w:color w:val="auto"/>
        </w:rPr>
      </w:pPr>
      <w:r>
        <w:rPr>
          <w:rFonts w:ascii="Arial" w:cs="Arial" w:eastAsia="Arial" w:hAnsi="Arial"/>
          <w:sz w:val="21"/>
          <w:szCs w:val="21"/>
          <w:color w:val="auto"/>
        </w:rPr>
        <w:t xml:space="preserve">At the commencement of each Interest Period for any Eurocurrency Rate Committed Borrowing, such Committed Borrowing shall be in a principal amount that is an integral multiple of the Borrowing Multiple and not less than the Borrowing Minimum;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Eurocurrency Rate Committed Borrowing that results from a continuation of an outstanding Eurocurrency Rate Committed Borrowing may be in an aggregate amount that is equal to such outstanding Borrowing. At the time that each Base Rate Committed Borrowing is made, such Committed Borrowing shall be in a principal amount that is an integral multiple of the Borrowing Multiple;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Base Rate Committed Borrowing may be in an aggregate amount that is equal to the entire unused balance of the Aggregate Commitments.</w:t>
      </w:r>
    </w:p>
    <w:p>
      <w:pPr>
        <w:spacing w:after="0" w:line="185" w:lineRule="exact"/>
        <w:rPr>
          <w:sz w:val="20"/>
          <w:szCs w:val="20"/>
          <w:color w:val="auto"/>
        </w:rPr>
      </w:pPr>
    </w:p>
    <w:p>
      <w:pPr>
        <w:jc w:val="both"/>
        <w:ind w:left="540" w:right="479" w:firstLine="635"/>
        <w:spacing w:after="0" w:line="285" w:lineRule="auto"/>
        <w:rPr>
          <w:sz w:val="20"/>
          <w:szCs w:val="20"/>
          <w:color w:val="auto"/>
        </w:rPr>
      </w:pPr>
      <w:r>
        <w:rPr>
          <w:rFonts w:ascii="Arial" w:cs="Arial" w:eastAsia="Arial" w:hAnsi="Arial"/>
          <w:sz w:val="19"/>
          <w:szCs w:val="19"/>
          <w:color w:val="auto"/>
        </w:rPr>
        <w:t>Each Committed Loan Notice will specify (i) whether the Borrower is requesting a Committed Borrowing, a conversion of any Committed Borrowing denominated in US Dollars from one Type to the other, or a continuation of any Eurocurrency Rate Committed Borrowing, (ii) the requested date of such Committed Borrowing, conversion or continuation, as the case may be (which shall be a Business Day), (iii) the aggregate principal amount and currency of Committed Loans to be borrowed or the existing Committed Borrowing that is to be converted or continued (and, if different conversion or continuation options are being elected with respect to different portions thereof, the portions thereof to be allocated to each resulting Committed Borrowing), (iv) the Type of each requested resulting Committed Borrowing, (v) the duration of the Interest Period with respect to each requested resulting Eurocurrency Rate Committed Borrowing and (vi) if applicable, the location and number of the account to which funds are to be disbursed (which shall be an account of the Borrower or another account reasonably acceptable to the Administrative Agent and shall be located in New York City or another jurisdiction reasonably acceptable to the Administrative Agent). If the Borrower fails to specify a currency in a Committed Loan Notice requesting a Committed Borrowing, then the Committed Loans so requested will be made in US Dollars. If the Borrower fails to specify a Type of the requested Committed Loans denominated in US Dollars in a Committed Loan Notice, then the applicable Committed Loans will be made as Base Rate Loans. If the</w:t>
      </w:r>
    </w:p>
    <w:p>
      <w:pPr>
        <w:sectPr>
          <w:pgSz w:w="11900" w:h="16838" w:orient="portrait"/>
          <w:cols w:equalWidth="0" w:num="1">
            <w:col w:w="9019"/>
          </w:cols>
          <w:pgMar w:left="1440" w:top="928"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7" w:name="page148"/>
    <w:bookmarkEnd w:id="147"/>
    <w:p>
      <w:pPr>
        <w:jc w:val="both"/>
        <w:ind w:left="540" w:right="459"/>
        <w:spacing w:after="0" w:line="289" w:lineRule="auto"/>
        <w:rPr>
          <w:sz w:val="20"/>
          <w:szCs w:val="20"/>
          <w:color w:val="auto"/>
        </w:rPr>
      </w:pPr>
      <w:r>
        <w:rPr>
          <w:rFonts w:ascii="Arial" w:cs="Arial" w:eastAsia="Arial" w:hAnsi="Arial"/>
          <w:sz w:val="19"/>
          <w:szCs w:val="19"/>
          <w:color w:val="auto"/>
        </w:rPr>
        <w:t>Borrower fails to give timely notice requesting a conversion or continuation of any Eurocurrency Rate Committed Borrowing, such Eurocurrency Rate Committed Borrowing will be continued with an Interest Period of one month and in its original currency. If the Borrower requests a Committed Borrowing of, or conversion to or continuation of, Eurocurrency Rate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57" w:lineRule="exact"/>
        <w:rPr>
          <w:sz w:val="20"/>
          <w:szCs w:val="20"/>
          <w:color w:val="auto"/>
        </w:rPr>
      </w:pPr>
    </w:p>
    <w:p>
      <w:pPr>
        <w:jc w:val="both"/>
        <w:ind w:left="540" w:right="539" w:firstLine="725"/>
        <w:spacing w:after="0" w:line="285" w:lineRule="auto"/>
        <w:tabs>
          <w:tab w:leader="none" w:pos="1836" w:val="left"/>
        </w:tabs>
        <w:numPr>
          <w:ilvl w:val="0"/>
          <w:numId w:val="78"/>
        </w:numPr>
        <w:rPr>
          <w:rFonts w:ascii="Arial" w:cs="Arial" w:eastAsia="Arial" w:hAnsi="Arial"/>
          <w:sz w:val="19"/>
          <w:szCs w:val="19"/>
          <w:color w:val="auto"/>
        </w:rPr>
      </w:pPr>
      <w:r>
        <w:rPr>
          <w:rFonts w:ascii="Arial" w:cs="Arial" w:eastAsia="Arial" w:hAnsi="Arial"/>
          <w:sz w:val="19"/>
          <w:szCs w:val="19"/>
          <w:color w:val="auto"/>
        </w:rPr>
        <w:t>Following receipt of a Committed Loan Notice, the Administrative Agent will promptly notify each Lender of the details thereof and of the amount (and currency) of its Applicable Percentage of each resulting Committed Borrowing. In the case of a Committed Loan Notice requesting the making of a Committed Borrowing, each Lender will make the amount of its Committed Loan to be made as part of such Committed Borrowing available to the Administrative Agent, in Same Day Funds for the applicable currency by wire transfer to the account of the Administrative Agent most recently designated by it for such purpose by notice to the Lenders, not later than 1:00 p.m., Local Time (2:00 p.m., Local Time, in the case of any Base Rate Committed Loan), in the case of any Committed Loan denominated in US Dollars, and not later than the Applicable Time in the case of any Committed Loan denominated in an Alternative Currency, in each case on the date of such Committed Borrowing specified in the applicable Committed Loan Notice. The Administrative Agent will make such Committed Loans available to the Borrower by remitting the amounts so received, in Same Day Funds for the applicable currency by wire transfer to the account of the Borrower specified in the applicable Committed Loan Notice, not later than 2:00 p.m., Local Time (3:00 p.m., Local Time, in the case of any Base Rate Committed Borrowing), on the same Business Day such funds are so received by the Administrative Agent.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540" w:right="539" w:firstLine="725"/>
        <w:spacing w:after="0" w:line="294" w:lineRule="auto"/>
        <w:tabs>
          <w:tab w:leader="none" w:pos="1836"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during the existence of an Event of Default, (i) no Committed Borrowing denominated in US Dollars may be converted to or continued as Eurocurrency Rate Committed Borrowing and (ii) no Eurocurrency Rate Committed Borrowing denominated in an Alternative Currency may be converted to or continued as a Committed Borrowing with an Interest Period of other than one month’s duration, in each case, without the consent of the Required Lenders.</w:t>
      </w:r>
    </w:p>
    <w:p>
      <w:pPr>
        <w:spacing w:after="0" w:line="149" w:lineRule="exact"/>
        <w:rPr>
          <w:rFonts w:ascii="Arial" w:cs="Arial" w:eastAsia="Arial" w:hAnsi="Arial"/>
          <w:sz w:val="19"/>
          <w:szCs w:val="19"/>
          <w:color w:val="auto"/>
        </w:rPr>
      </w:pPr>
    </w:p>
    <w:p>
      <w:pPr>
        <w:jc w:val="both"/>
        <w:ind w:left="540" w:right="539" w:firstLine="725"/>
        <w:spacing w:after="0" w:line="259" w:lineRule="auto"/>
        <w:tabs>
          <w:tab w:leader="none" w:pos="1836"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applicable Base Rate or Eurocurrency Rate shall be determined by the Administrative Agent, and such determination shall be conclusive absent manifest error. The Administrative Agent will notify the Borrower and the Lenders of the Eurocurrency Rate applicable to any Eurocurrency Rate Committed Borrowing for any Interest Period promptly upon determination thereof. At any time that Base Rate Committed Loans are outstanding, the Administrative Agent will notify the Borrower and the Lenders of any change in the Prime Rate used in determining the Base Rate promptly following the public announcement of such change.</w:t>
      </w:r>
    </w:p>
    <w:p>
      <w:pPr>
        <w:spacing w:after="0" w:line="183" w:lineRule="exact"/>
        <w:rPr>
          <w:rFonts w:ascii="Arial" w:cs="Arial" w:eastAsia="Arial" w:hAnsi="Arial"/>
          <w:sz w:val="21"/>
          <w:szCs w:val="21"/>
          <w:color w:val="auto"/>
        </w:rPr>
      </w:pPr>
    </w:p>
    <w:p>
      <w:pPr>
        <w:jc w:val="both"/>
        <w:ind w:left="540" w:right="539" w:firstLine="725"/>
        <w:spacing w:after="0" w:line="271" w:lineRule="auto"/>
        <w:tabs>
          <w:tab w:leader="none" w:pos="1836" w:val="left"/>
        </w:tabs>
        <w:numPr>
          <w:ilvl w:val="0"/>
          <w:numId w:val="78"/>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after giving effect to all Committed Borrowings, all conversions of Committed Borrowings denominated in US Dollars from one Type to the other, and all continuations of</w:t>
      </w:r>
    </w:p>
    <w:p>
      <w:pPr>
        <w:sectPr>
          <w:pgSz w:w="11900" w:h="16838" w:orient="portrait"/>
          <w:cols w:equalWidth="0" w:num="1">
            <w:col w:w="9019"/>
          </w:cols>
          <w:pgMar w:left="1440" w:top="928"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8" w:name="page149"/>
    <w:bookmarkEnd w:id="148"/>
    <w:p>
      <w:pPr>
        <w:jc w:val="both"/>
        <w:ind w:left="540" w:right="539"/>
        <w:spacing w:after="0" w:line="271" w:lineRule="auto"/>
        <w:rPr>
          <w:sz w:val="20"/>
          <w:szCs w:val="20"/>
          <w:color w:val="auto"/>
        </w:rPr>
      </w:pPr>
      <w:r>
        <w:rPr>
          <w:rFonts w:ascii="Arial" w:cs="Arial" w:eastAsia="Arial" w:hAnsi="Arial"/>
          <w:sz w:val="21"/>
          <w:szCs w:val="21"/>
          <w:color w:val="auto"/>
        </w:rPr>
        <w:t>Eurocurrency Rate Committed Borrowings, there will not be more than ten (10) Interest Periods (or such greater number as may be agreed to by the Administrative Agent) in effect with respect to Eurocurrency Rate Committed Loans.</w:t>
      </w:r>
    </w:p>
    <w:p>
      <w:pPr>
        <w:spacing w:after="0" w:line="167" w:lineRule="exact"/>
        <w:rPr>
          <w:sz w:val="20"/>
          <w:szCs w:val="20"/>
          <w:color w:val="auto"/>
        </w:rPr>
      </w:pPr>
    </w:p>
    <w:p>
      <w:pPr>
        <w:jc w:val="both"/>
        <w:ind w:left="540" w:right="559" w:firstLine="648"/>
        <w:spacing w:after="0" w:line="288"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Bid Loans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each Lender agrees that the Borrower may from time to time request the Lenders to submit offers to make loans in a Discretionary Alternative Currency (each such loan, a “</w:t>
      </w:r>
      <w:r>
        <w:rPr>
          <w:rFonts w:ascii="Arial" w:cs="Arial" w:eastAsia="Arial" w:hAnsi="Arial"/>
          <w:sz w:val="19"/>
          <w:szCs w:val="19"/>
          <w:u w:val="single" w:color="auto"/>
          <w:color w:val="auto"/>
        </w:rPr>
        <w:t>Bid Loan</w:t>
      </w:r>
      <w:r>
        <w:rPr>
          <w:rFonts w:ascii="Arial" w:cs="Arial" w:eastAsia="Arial" w:hAnsi="Arial"/>
          <w:sz w:val="19"/>
          <w:szCs w:val="19"/>
          <w:color w:val="auto"/>
        </w:rPr>
        <w:t xml:space="preserve">”) to the Borrower prior to the Maturity Date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after giving effect to any Bid Borrowing, (i) the Total Outstandings shall not exceed the Aggregate Commitments and (ii) the aggregate Outstanding Amount of all Bid Loans, all Committed Loans and all L/C Obligations denominated in Alternative Currencies or Discretionary Alternative Currencies shall not exceed the Alternative Currency Sublimit. There shall not be more than ten (10) different Interest Periods in effect with respect to Bid Loans at any time.</w:t>
      </w:r>
    </w:p>
    <w:p>
      <w:pPr>
        <w:spacing w:after="0" w:line="159" w:lineRule="exact"/>
        <w:rPr>
          <w:sz w:val="20"/>
          <w:szCs w:val="20"/>
          <w:color w:val="auto"/>
        </w:rPr>
      </w:pPr>
    </w:p>
    <w:p>
      <w:pPr>
        <w:jc w:val="both"/>
        <w:ind w:left="540" w:right="539" w:firstLine="725"/>
        <w:spacing w:after="0" w:line="283" w:lineRule="auto"/>
        <w:tabs>
          <w:tab w:leader="none" w:pos="1836" w:val="left"/>
        </w:tabs>
        <w:numPr>
          <w:ilvl w:val="1"/>
          <w:numId w:val="79"/>
        </w:numPr>
        <w:rPr>
          <w:rFonts w:ascii="Arial" w:cs="Arial" w:eastAsia="Arial" w:hAnsi="Arial"/>
          <w:sz w:val="19"/>
          <w:szCs w:val="19"/>
          <w:color w:val="auto"/>
        </w:rPr>
      </w:pPr>
      <w:r>
        <w:rPr>
          <w:rFonts w:ascii="Arial" w:cs="Arial" w:eastAsia="Arial" w:hAnsi="Arial"/>
          <w:sz w:val="19"/>
          <w:szCs w:val="19"/>
          <w:color w:val="auto"/>
        </w:rPr>
        <w:t>Requesting Competitive Bids. The Borrower may request the submission of Competitive Bids by hand delivery, fax or e-mail of a Bid Request, appropriately completed and signed by a Responsible Officer of the Borrower, to the Administrative Agent not later than 12:00 noon, Local Time, five (5) Business Days prior to the requested date of any Bid Borrowing (or six (6) Business Days in the case of any Special Notice Currency). Each Bid Request shall specify (i) the requested date of the Bid Borrowing (which shall be a Business Day), (ii) the aggregate principal amount of Bid Loans requested (which shall be an aggregate amount that is an integral multiple of the Borrowing Multiple and not less than the Borrowing Minimum), (iii) the Type and currency of Bid Loans requested, (iv) the duration of the Interest Period with respect thereto and (v) the requested Discretionary Alternative Currency. No Bid Request shall contain a request for</w:t>
      </w:r>
    </w:p>
    <w:p>
      <w:pPr>
        <w:spacing w:after="0" w:line="5" w:lineRule="exact"/>
        <w:rPr>
          <w:rFonts w:ascii="Arial" w:cs="Arial" w:eastAsia="Arial" w:hAnsi="Arial"/>
          <w:sz w:val="19"/>
          <w:szCs w:val="19"/>
          <w:color w:val="auto"/>
        </w:rPr>
      </w:pPr>
    </w:p>
    <w:p>
      <w:pPr>
        <w:jc w:val="both"/>
        <w:ind w:left="540" w:right="539"/>
        <w:spacing w:after="0" w:line="295" w:lineRule="auto"/>
        <w:tabs>
          <w:tab w:leader="none" w:pos="903" w:val="left"/>
        </w:tabs>
        <w:numPr>
          <w:ilvl w:val="0"/>
          <w:numId w:val="80"/>
        </w:numPr>
        <w:rPr>
          <w:rFonts w:ascii="Arial" w:cs="Arial" w:eastAsia="Arial" w:hAnsi="Arial"/>
          <w:sz w:val="19"/>
          <w:szCs w:val="19"/>
          <w:color w:val="auto"/>
        </w:rPr>
      </w:pPr>
      <w:r>
        <w:rPr>
          <w:rFonts w:ascii="Arial" w:cs="Arial" w:eastAsia="Arial" w:hAnsi="Arial"/>
          <w:sz w:val="19"/>
          <w:szCs w:val="19"/>
          <w:color w:val="auto"/>
        </w:rPr>
        <w:t>more than one Type or currency of Bid Loan or (B) Bid Loans having more than three different Interest Periods. Bid Loans may only be Absolute Rate Loans. Unless the Administrative Agent otherwise agrees in its sole discretion, the Borrower may not submit a Bid Request if it has submitted another Bid Request within the prior 30 days.</w:t>
      </w:r>
    </w:p>
    <w:p>
      <w:pPr>
        <w:spacing w:after="0" w:line="149" w:lineRule="exact"/>
        <w:rPr>
          <w:rFonts w:ascii="Arial" w:cs="Arial" w:eastAsia="Arial" w:hAnsi="Arial"/>
          <w:sz w:val="19"/>
          <w:szCs w:val="19"/>
          <w:color w:val="auto"/>
        </w:rPr>
      </w:pPr>
    </w:p>
    <w:p>
      <w:pPr>
        <w:jc w:val="both"/>
        <w:ind w:left="540" w:right="539" w:firstLine="725"/>
        <w:spacing w:after="0" w:line="253" w:lineRule="auto"/>
        <w:tabs>
          <w:tab w:leader="none" w:pos="1836"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Submitting Competitive Bids</w:t>
      </w:r>
      <w:r>
        <w:rPr>
          <w:rFonts w:ascii="Arial" w:cs="Arial" w:eastAsia="Arial" w:hAnsi="Arial"/>
          <w:sz w:val="22"/>
          <w:szCs w:val="22"/>
          <w:color w:val="auto"/>
        </w:rPr>
        <w:t>. (i) The Administrative Agent shall promptly notify each Lender of each Bid Request received by it from the Borrower and the contents of such Bid Request.</w:t>
      </w:r>
    </w:p>
    <w:p>
      <w:pPr>
        <w:spacing w:after="0" w:line="185" w:lineRule="exact"/>
        <w:rPr>
          <w:rFonts w:ascii="Arial" w:cs="Arial" w:eastAsia="Arial" w:hAnsi="Arial"/>
          <w:sz w:val="22"/>
          <w:szCs w:val="22"/>
          <w:color w:val="auto"/>
        </w:rPr>
      </w:pPr>
    </w:p>
    <w:p>
      <w:pPr>
        <w:jc w:val="both"/>
        <w:ind w:left="1180" w:right="539" w:firstLine="656"/>
        <w:spacing w:after="0" w:line="286" w:lineRule="auto"/>
        <w:tabs>
          <w:tab w:leader="none" w:pos="2476" w:val="left"/>
        </w:tabs>
        <w:numPr>
          <w:ilvl w:val="2"/>
          <w:numId w:val="80"/>
        </w:numPr>
        <w:rPr>
          <w:rFonts w:ascii="Arial" w:cs="Arial" w:eastAsia="Arial" w:hAnsi="Arial"/>
          <w:sz w:val="19"/>
          <w:szCs w:val="19"/>
          <w:color w:val="auto"/>
        </w:rPr>
      </w:pPr>
      <w:r>
        <w:rPr>
          <w:rFonts w:ascii="Arial" w:cs="Arial" w:eastAsia="Arial" w:hAnsi="Arial"/>
          <w:sz w:val="19"/>
          <w:szCs w:val="19"/>
          <w:color w:val="auto"/>
        </w:rPr>
        <w:t xml:space="preserve">Each Lender may (but shall have no obligation to) submit a Competitive Bid containing an offer to make one or more Bid Loans in response to such Bid Request. Such Competitive Bid must be delivered to the Administrative Agent not later than 11:30 a.m., Local Time, four (4) Business Days prior to the requested date of any Bid Borrowing (or five (5) Business Days in the case of any Special Notice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Competitive Bid submitted by JPMCB in its capacity as a Lender in response to any Bid Request must be submitted to the Administrative Agent not later than 11:15 a.m., Local Time, on the date on which Competitive Bids are required to be delivered by the other Lenders in response to such Bid Request. Each Competitive Bid shall specify (A) the proposed date of the Bid Borrowing, (B) the principal amount of each Bid Loan for which such Competitive Bid is being made, which principal amount (x) may be equal to, greater than or less than the Commitment of the bidding Lender, (y) must</w:t>
      </w:r>
    </w:p>
    <w:p>
      <w:pPr>
        <w:sectPr>
          <w:pgSz w:w="11900" w:h="16838" w:orient="portrait"/>
          <w:cols w:equalWidth="0" w:num="1">
            <w:col w:w="9019"/>
          </w:cols>
          <w:pgMar w:left="1440" w:top="928"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49" w:name="page150"/>
    <w:bookmarkEnd w:id="149"/>
    <w:p>
      <w:pPr>
        <w:jc w:val="both"/>
        <w:ind w:left="1180" w:right="539"/>
        <w:spacing w:after="0" w:line="294" w:lineRule="auto"/>
        <w:rPr>
          <w:sz w:val="20"/>
          <w:szCs w:val="20"/>
          <w:color w:val="auto"/>
        </w:rPr>
      </w:pPr>
      <w:r>
        <w:rPr>
          <w:rFonts w:ascii="Arial" w:cs="Arial" w:eastAsia="Arial" w:hAnsi="Arial"/>
          <w:sz w:val="19"/>
          <w:szCs w:val="19"/>
          <w:color w:val="auto"/>
        </w:rPr>
        <w:t>be an aggregate amount that is an integral multiple of the Borrowing Multiple and not less than the Borrowing Minimum and (z) may not exceed the principal amount of Bid Loans for which Competitive Bids were requested, (C) the Absolute Rate offered for each such Bid Loan and the Interest Period applicable thereto, (D) that such bidding Lender may advance the Bid Borrowing in the proposed Discretionary Alternative Currency and (E) the identity of the bidding Lender.</w:t>
      </w:r>
    </w:p>
    <w:p>
      <w:pPr>
        <w:spacing w:after="0" w:line="149" w:lineRule="exact"/>
        <w:rPr>
          <w:sz w:val="20"/>
          <w:szCs w:val="20"/>
          <w:color w:val="auto"/>
        </w:rPr>
      </w:pPr>
    </w:p>
    <w:p>
      <w:pPr>
        <w:ind w:left="1180" w:right="539" w:firstLine="656"/>
        <w:spacing w:after="0" w:line="257" w:lineRule="auto"/>
        <w:tabs>
          <w:tab w:leader="none" w:pos="2476"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Any Competitive Bid shall be disregarded if it (A) is received after the applicable time specified in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(B) is not substantially in the form of a Competitive Bid as specified herein, (C) contains qualifying, conditional or similar language, (D) proposes terms other than or in addition to those set forth in the applicable Bid Request or (E) is otherwise not responsive to such Bid Request. Any Lender may correct a Competitive Bid containing a manifest error by submitting a corrected Competitive Bid (identified as such) not later than the applicable time required for submission of Competitive Bids. Any such submission of a corrected Competitive Bid shall constitute a revocation of the Competitive Bid that contained the manifest error. The Administrative Agent may, but shall not be required to, notify any Lender of any manifest error it detects in such Lender’s Competitive Bid.</w:t>
      </w:r>
    </w:p>
    <w:p>
      <w:pPr>
        <w:spacing w:after="0" w:line="190" w:lineRule="exact"/>
        <w:rPr>
          <w:rFonts w:ascii="Arial" w:cs="Arial" w:eastAsia="Arial" w:hAnsi="Arial"/>
          <w:sz w:val="21"/>
          <w:szCs w:val="21"/>
          <w:color w:val="auto"/>
        </w:rPr>
      </w:pPr>
    </w:p>
    <w:p>
      <w:pPr>
        <w:ind w:left="1180" w:right="539" w:firstLine="656"/>
        <w:spacing w:after="0" w:line="263" w:lineRule="auto"/>
        <w:tabs>
          <w:tab w:leader="none" w:pos="2476"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Subject only to the provisions of </w:t>
      </w:r>
      <w:r>
        <w:rPr>
          <w:rFonts w:ascii="Arial" w:cs="Arial" w:eastAsia="Arial" w:hAnsi="Arial"/>
          <w:sz w:val="22"/>
          <w:szCs w:val="22"/>
          <w:u w:val="single" w:color="auto"/>
          <w:color w:val="auto"/>
        </w:rPr>
        <w:t>Sections 3.02</w:t>
      </w:r>
      <w:r>
        <w:rPr>
          <w:rFonts w:ascii="Arial" w:cs="Arial" w:eastAsia="Arial" w:hAnsi="Arial"/>
          <w:sz w:val="22"/>
          <w:szCs w:val="22"/>
          <w:color w:val="auto"/>
        </w:rPr>
        <w:t xml:space="preserve">,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above, each Competitive Bid shall be irrevocable.</w:t>
      </w:r>
    </w:p>
    <w:p>
      <w:pPr>
        <w:spacing w:after="0" w:line="174" w:lineRule="exact"/>
        <w:rPr>
          <w:rFonts w:ascii="Arial" w:cs="Arial" w:eastAsia="Arial" w:hAnsi="Arial"/>
          <w:sz w:val="22"/>
          <w:szCs w:val="22"/>
          <w:color w:val="auto"/>
        </w:rPr>
      </w:pPr>
    </w:p>
    <w:p>
      <w:pPr>
        <w:jc w:val="both"/>
        <w:ind w:left="540" w:right="539" w:firstLine="725"/>
        <w:spacing w:after="0" w:line="247" w:lineRule="auto"/>
        <w:tabs>
          <w:tab w:leader="none" w:pos="1836"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Notice to the Borrower of Competitive Bids. Not later than 12:00 noon, Local Time, four (4) Business Days prior to the requested date of any Bid Borrowing (or five (5) Business Days in the case of any Special Notice Currency), the Administrative Agent shall notify the Borrower of the identity of each Lender that has submitted a Competitive Bid that complies with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and of the terms of the offers contained in each such Competitive Bid.</w:t>
      </w:r>
    </w:p>
    <w:p>
      <w:pPr>
        <w:spacing w:after="0" w:line="192" w:lineRule="exact"/>
        <w:rPr>
          <w:rFonts w:ascii="Arial" w:cs="Arial" w:eastAsia="Arial" w:hAnsi="Arial"/>
          <w:sz w:val="22"/>
          <w:szCs w:val="22"/>
          <w:color w:val="auto"/>
        </w:rPr>
      </w:pPr>
    </w:p>
    <w:p>
      <w:pPr>
        <w:jc w:val="both"/>
        <w:ind w:left="540" w:right="539" w:firstLine="725"/>
        <w:spacing w:after="0" w:line="245" w:lineRule="auto"/>
        <w:tabs>
          <w:tab w:leader="none" w:pos="183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Acceptance of Competitive Bids</w:t>
      </w:r>
      <w:r>
        <w:rPr>
          <w:rFonts w:ascii="Arial" w:cs="Arial" w:eastAsia="Arial" w:hAnsi="Arial"/>
          <w:sz w:val="22"/>
          <w:szCs w:val="22"/>
          <w:color w:val="auto"/>
        </w:rPr>
        <w:t xml:space="preserve">. Not later than 12:30 p.m., Local Time, four (4) Business Days prior to the requested date of any Bid Borrowing (or five (5) Business Days in the case of any Special Notice Currency), the Borrower shall notify the Administrative Agent of its acceptance or rejection of the offers notified to it pursuant to </w:t>
      </w:r>
      <w:r>
        <w:rPr>
          <w:rFonts w:ascii="Arial" w:cs="Arial" w:eastAsia="Arial" w:hAnsi="Arial"/>
          <w:sz w:val="22"/>
          <w:szCs w:val="22"/>
          <w:u w:val="single" w:color="auto"/>
          <w:color w:val="auto"/>
        </w:rPr>
        <w:t>Section 2.03(d)</w:t>
      </w:r>
      <w:r>
        <w:rPr>
          <w:rFonts w:ascii="Arial" w:cs="Arial" w:eastAsia="Arial" w:hAnsi="Arial"/>
          <w:sz w:val="22"/>
          <w:szCs w:val="22"/>
          <w:color w:val="auto"/>
        </w:rPr>
        <w:t xml:space="preserve">. The Borrower shall be under no obligation to accept any Competitive Bid and may choose to reject all Competitive Bids. In the case of acceptance, such notice shall specify the aggregate principal amount of Competitive Bids for each Interest Period that is accepted. The Borrower may accept any Competitive Bid in whole or in part;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rFonts w:ascii="Arial" w:cs="Arial" w:eastAsia="Arial" w:hAnsi="Arial"/>
          <w:sz w:val="22"/>
          <w:szCs w:val="22"/>
          <w:color w:val="auto"/>
        </w:rPr>
      </w:pPr>
    </w:p>
    <w:p>
      <w:pPr>
        <w:ind w:left="1180" w:right="539" w:firstLine="656"/>
        <w:spacing w:after="0" w:line="263" w:lineRule="auto"/>
        <w:tabs>
          <w:tab w:leader="none" w:pos="247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aggregate principal amount of each Bid Borrowing may not exceed the applicable amount set forth in the related Bid Request;</w:t>
      </w:r>
    </w:p>
    <w:p>
      <w:pPr>
        <w:spacing w:after="0" w:line="174" w:lineRule="exact"/>
        <w:rPr>
          <w:rFonts w:ascii="Arial" w:cs="Arial" w:eastAsia="Arial" w:hAnsi="Arial"/>
          <w:sz w:val="22"/>
          <w:szCs w:val="22"/>
          <w:color w:val="auto"/>
        </w:rPr>
      </w:pPr>
    </w:p>
    <w:p>
      <w:pPr>
        <w:jc w:val="both"/>
        <w:ind w:left="1180" w:right="539" w:firstLine="656"/>
        <w:spacing w:after="0" w:line="253" w:lineRule="auto"/>
        <w:tabs>
          <w:tab w:leader="none" w:pos="247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principal amount of each Bid Loan must be an aggregate amount that is an integral multiple of the Borrowing Multiple and not less than the Borrowing Minimum;</w:t>
      </w:r>
    </w:p>
    <w:p>
      <w:pPr>
        <w:spacing w:after="0" w:line="185" w:lineRule="exact"/>
        <w:rPr>
          <w:rFonts w:ascii="Arial" w:cs="Arial" w:eastAsia="Arial" w:hAnsi="Arial"/>
          <w:sz w:val="22"/>
          <w:szCs w:val="22"/>
          <w:color w:val="auto"/>
        </w:rPr>
      </w:pPr>
    </w:p>
    <w:p>
      <w:pPr>
        <w:ind w:left="1180" w:right="539" w:firstLine="656"/>
        <w:spacing w:after="0" w:line="263" w:lineRule="auto"/>
        <w:tabs>
          <w:tab w:leader="none" w:pos="247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acceptance of offers may be made only on the basis of ascending Absolute Rates within each Interest Period; and</w:t>
      </w:r>
    </w:p>
    <w:p>
      <w:pPr>
        <w:sectPr>
          <w:pgSz w:w="11900" w:h="16838" w:orient="portrait"/>
          <w:cols w:equalWidth="0" w:num="1">
            <w:col w:w="9019"/>
          </w:cols>
          <w:pgMar w:left="1440" w:top="928" w:right="1440" w:bottom="1440" w:gutter="0" w:footer="0" w:header="0"/>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0" w:name="page151"/>
    <w:bookmarkEnd w:id="150"/>
    <w:p>
      <w:pPr>
        <w:ind w:left="1180" w:right="539" w:firstLine="656"/>
        <w:spacing w:after="0" w:line="343" w:lineRule="auto"/>
        <w:tabs>
          <w:tab w:leader="none" w:pos="2476"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the Borrower may not accept any offer that is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2.03(c)(iii)</w:t>
      </w:r>
      <w:r>
        <w:rPr>
          <w:rFonts w:ascii="Arial" w:cs="Arial" w:eastAsia="Arial" w:hAnsi="Arial"/>
          <w:sz w:val="19"/>
          <w:szCs w:val="19"/>
          <w:color w:val="auto"/>
        </w:rPr>
        <w:t xml:space="preserve"> or that otherwise fails to comply with the requirements hereof.</w:t>
      </w:r>
    </w:p>
    <w:p>
      <w:pPr>
        <w:spacing w:after="0" w:line="104" w:lineRule="exact"/>
        <w:rPr>
          <w:rFonts w:ascii="Arial" w:cs="Arial" w:eastAsia="Arial" w:hAnsi="Arial"/>
          <w:sz w:val="19"/>
          <w:szCs w:val="19"/>
          <w:color w:val="auto"/>
        </w:rPr>
      </w:pPr>
    </w:p>
    <w:p>
      <w:pPr>
        <w:jc w:val="both"/>
        <w:ind w:left="540" w:right="539" w:firstLine="725"/>
        <w:spacing w:after="0" w:line="258" w:lineRule="auto"/>
        <w:tabs>
          <w:tab w:leader="none" w:pos="183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Procedure for Identical Bids</w:t>
      </w:r>
      <w:r>
        <w:rPr>
          <w:rFonts w:ascii="Arial" w:cs="Arial" w:eastAsia="Arial" w:hAnsi="Arial"/>
          <w:sz w:val="21"/>
          <w:szCs w:val="21"/>
          <w:color w:val="auto"/>
        </w:rPr>
        <w:t xml:space="preserve">. If two or more Lenders have submitted Competitive Bids at the same Absolute Rate for the same Interest Period, and the result of accepting all of such Competitive Bids in whole (together with any other Competitive Bids at lower Absolute Rates accepted for such Interest Period in conformity with the requirements of </w:t>
      </w:r>
      <w:r>
        <w:rPr>
          <w:rFonts w:ascii="Arial" w:cs="Arial" w:eastAsia="Arial" w:hAnsi="Arial"/>
          <w:sz w:val="21"/>
          <w:szCs w:val="21"/>
          <w:u w:val="single" w:color="auto"/>
          <w:color w:val="auto"/>
        </w:rPr>
        <w:t>Section 2.03(e)(iii)</w:t>
      </w:r>
      <w:r>
        <w:rPr>
          <w:rFonts w:ascii="Arial" w:cs="Arial" w:eastAsia="Arial" w:hAnsi="Arial"/>
          <w:sz w:val="21"/>
          <w:szCs w:val="21"/>
          <w:color w:val="auto"/>
        </w:rPr>
        <w:t>) would be to cause the aggregate outstanding principal amount of the applicable Bid Borrowing to exceed the amount specified therefor in the related Bid Request, then, unless otherwise agreed by the Borrower, the Administrative Agent and such Lenders, such Competitive Bids shall be accepted as nearly as possible in proportion to the amount offered by each such Lender in respect of such Interest Period, with such accepted amounts being rounded to the nearest whole multiple of the Borrowing Multiple.</w:t>
      </w:r>
    </w:p>
    <w:p>
      <w:pPr>
        <w:spacing w:after="0" w:line="181" w:lineRule="exact"/>
        <w:rPr>
          <w:rFonts w:ascii="Arial" w:cs="Arial" w:eastAsia="Arial" w:hAnsi="Arial"/>
          <w:sz w:val="21"/>
          <w:szCs w:val="21"/>
          <w:color w:val="auto"/>
        </w:rPr>
      </w:pPr>
    </w:p>
    <w:p>
      <w:pPr>
        <w:jc w:val="both"/>
        <w:ind w:left="540" w:right="539" w:firstLine="725"/>
        <w:spacing w:after="0" w:line="294" w:lineRule="auto"/>
        <w:tabs>
          <w:tab w:leader="none" w:pos="183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Notice to Lenders of Acceptance or Rejection of Bids</w:t>
      </w:r>
      <w:r>
        <w:rPr>
          <w:rFonts w:ascii="Arial" w:cs="Arial" w:eastAsia="Arial" w:hAnsi="Arial"/>
          <w:sz w:val="19"/>
          <w:szCs w:val="19"/>
          <w:color w:val="auto"/>
        </w:rPr>
        <w:t xml:space="preserve">. The Administrative Agent shall promptly notify each Lender having submitted a Competitive Bid whether or not its offer has been accepted and, if its offer has been accepted, of the amount of the Bid Loan or Bid Loans to be made by it on the date of the applicable Bid Borrowing. Any Competitive Bid or portion thereof that is not accepted by the Borrower by the applicable time specified in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shall be deemed rejected.</w:t>
      </w:r>
    </w:p>
    <w:p>
      <w:pPr>
        <w:spacing w:after="0" w:line="149" w:lineRule="exact"/>
        <w:rPr>
          <w:rFonts w:ascii="Arial" w:cs="Arial" w:eastAsia="Arial" w:hAnsi="Arial"/>
          <w:sz w:val="19"/>
          <w:szCs w:val="19"/>
          <w:color w:val="auto"/>
        </w:rPr>
      </w:pPr>
    </w:p>
    <w:p>
      <w:pPr>
        <w:ind w:left="1840" w:hanging="575"/>
        <w:spacing w:after="0"/>
        <w:tabs>
          <w:tab w:leader="none" w:pos="18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540" w:right="539" w:firstLine="725"/>
        <w:spacing w:after="0" w:line="257" w:lineRule="auto"/>
        <w:tabs>
          <w:tab w:leader="none" w:pos="183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Funding of Bid Loans</w:t>
      </w:r>
      <w:r>
        <w:rPr>
          <w:rFonts w:ascii="Arial" w:cs="Arial" w:eastAsia="Arial" w:hAnsi="Arial"/>
          <w:sz w:val="21"/>
          <w:szCs w:val="21"/>
          <w:color w:val="auto"/>
        </w:rPr>
        <w:t xml:space="preserve">. Each Lender that has received notice pursuant to </w:t>
      </w:r>
      <w:r>
        <w:rPr>
          <w:rFonts w:ascii="Arial" w:cs="Arial" w:eastAsia="Arial" w:hAnsi="Arial"/>
          <w:sz w:val="21"/>
          <w:szCs w:val="21"/>
          <w:u w:val="single" w:color="auto"/>
          <w:color w:val="auto"/>
        </w:rPr>
        <w:t>Section 2.03(g)</w:t>
      </w:r>
      <w:r>
        <w:rPr>
          <w:rFonts w:ascii="Arial" w:cs="Arial" w:eastAsia="Arial" w:hAnsi="Arial"/>
          <w:sz w:val="21"/>
          <w:szCs w:val="21"/>
          <w:color w:val="auto"/>
        </w:rPr>
        <w:t xml:space="preserve"> that all or a portion of its Competitive Bid has been accepted by the Borrower shall make the amount of its Bid Loan(s) available to the Administrative Agent in Same Day Funds for the applicable Discretionary Alternative Currency by wire transfer to the account of the Administrative Agent most recently designated by it for such purpose by notice to the Lenders, not later than 2:00 p.m., Local Time, on the date of the requested Bid Borrowing. The Administrative Agent shall make all funds so received available to the Borrower in Same Day Funds for the applicable Discretionary Alternative Currency by wire transfer to the account of the Borrower specified by it to the Administrative Agent (which account shall be located in a jurisdiction reasonably acceptable to the Administrative Agent) not later than 3:00 p.m., Local Time, on the date of the requested Bid Borrowing.</w:t>
      </w:r>
    </w:p>
    <w:p>
      <w:pPr>
        <w:spacing w:after="0" w:line="190" w:lineRule="exact"/>
        <w:rPr>
          <w:rFonts w:ascii="Arial" w:cs="Arial" w:eastAsia="Arial" w:hAnsi="Arial"/>
          <w:sz w:val="21"/>
          <w:szCs w:val="21"/>
          <w:color w:val="auto"/>
        </w:rPr>
      </w:pPr>
    </w:p>
    <w:p>
      <w:pPr>
        <w:jc w:val="both"/>
        <w:ind w:left="540" w:right="539" w:firstLine="725"/>
        <w:spacing w:after="0" w:line="302" w:lineRule="auto"/>
        <w:tabs>
          <w:tab w:leader="none" w:pos="183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Notice of Range of Bids</w:t>
      </w:r>
      <w:r>
        <w:rPr>
          <w:rFonts w:ascii="Arial" w:cs="Arial" w:eastAsia="Arial" w:hAnsi="Arial"/>
          <w:sz w:val="19"/>
          <w:szCs w:val="19"/>
          <w:color w:val="auto"/>
        </w:rPr>
        <w:t xml:space="preserve">. After each Competitive Bid auction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the Administrative Agent shall notify each Lender that submitted a Competitive Bid in such auction of the ranges of bids submitted (without the bidder’s name) and accepted for each Bid Loan and the aggregate amount of each Bid Borrowing.</w:t>
      </w:r>
    </w:p>
    <w:p>
      <w:pPr>
        <w:spacing w:after="0" w:line="142" w:lineRule="exact"/>
        <w:rPr>
          <w:sz w:val="20"/>
          <w:szCs w:val="20"/>
          <w:color w:val="auto"/>
        </w:rPr>
      </w:pPr>
    </w:p>
    <w:p>
      <w:pPr>
        <w:jc w:val="both"/>
        <w:ind w:left="540" w:right="539" w:firstLine="648"/>
        <w:spacing w:after="0" w:line="292"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(a) </w:t>
      </w: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rPr>
        <w:t xml:space="preserve">. (i) Subject to the terms and conditions set forth herein, each L/C Issuer agrees, in reliance upon the agreements of the Lenders set forth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(1) from time to time on any Business Day during the period from the Effective Date until the Letter of Credit Expiration Date, to issue Letters of Credit denominated in US Dollars or in one or more Alternative Currencies (but in the case of any Alternative Currency, only if such Alternative Currency shall have been approved by such L/C Issuer as provided in </w:t>
      </w:r>
      <w:r>
        <w:rPr>
          <w:rFonts w:ascii="Arial" w:cs="Arial" w:eastAsia="Arial" w:hAnsi="Arial"/>
          <w:sz w:val="19"/>
          <w:szCs w:val="19"/>
          <w:u w:val="single" w:color="auto"/>
          <w:color w:val="auto"/>
        </w:rPr>
        <w:t>Section</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1" w:name="page152"/>
    <w:bookmarkEnd w:id="151"/>
    <w:p>
      <w:pPr>
        <w:jc w:val="both"/>
        <w:ind w:left="540" w:right="479"/>
        <w:spacing w:after="0" w:line="284" w:lineRule="auto"/>
        <w:rPr>
          <w:sz w:val="20"/>
          <w:szCs w:val="20"/>
          <w:color w:val="auto"/>
        </w:rPr>
      </w:pPr>
      <w:r>
        <w:rPr>
          <w:rFonts w:ascii="Arial" w:cs="Arial" w:eastAsia="Arial" w:hAnsi="Arial"/>
          <w:sz w:val="19"/>
          <w:szCs w:val="19"/>
          <w:u w:val="single" w:color="auto"/>
          <w:color w:val="auto"/>
        </w:rPr>
        <w:t>1.05</w:t>
      </w:r>
      <w:r>
        <w:rPr>
          <w:rFonts w:ascii="Arial" w:cs="Arial" w:eastAsia="Arial" w:hAnsi="Arial"/>
          <w:sz w:val="19"/>
          <w:szCs w:val="19"/>
          <w:color w:val="auto"/>
        </w:rPr>
        <w:t xml:space="preserve">) for the account of the Borrower or, so long as the Borrower is a joint and several co-applicant with respect thereto, any other Subsidiary of the Borrower, and to amend Letters of Credit previously issued by it, in accordance with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and (2) to honor complying drawings under the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(A) the Total Outstandings shall not exceed the Aggregate Commitments, (B) the aggregate Outstanding Amount of all Bid Loans, all Committed Loans and all L/C Obligations denominated in Alternative Currencies or Discretionary Alternative Currencies shall not exceed the Alternative Currency Sublimit,</w:t>
      </w:r>
    </w:p>
    <w:p>
      <w:pPr>
        <w:spacing w:after="0" w:line="2" w:lineRule="exact"/>
        <w:rPr>
          <w:sz w:val="20"/>
          <w:szCs w:val="20"/>
          <w:color w:val="auto"/>
        </w:rPr>
      </w:pPr>
    </w:p>
    <w:p>
      <w:pPr>
        <w:jc w:val="both"/>
        <w:ind w:left="540" w:right="479"/>
        <w:spacing w:after="0" w:line="284" w:lineRule="auto"/>
        <w:tabs>
          <w:tab w:leader="none" w:pos="905"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aggregate Outstanding Amount of the Committed Loans of any Lender, plus such Lender’s Applicable Percentage of the Outstanding Amount of all L/C Obligations shall not exceed such Lender’s Commitment, (D) the Outstanding Amount of the L/C Obligations attributable to Letters of Credit issued by any L/C Issuer will not exceed the Letter of Credit Commitment of such L/C Issuer and (E) the Outstanding Amount of the L/C Obligations shall not exceed the total Letter of Credit Commitments. Each request by the Borrower for any L/C Credit Extension will be deemed to be a representation by the Borrower that the L/C Credit Extension so requested complies with the conditions set forth in the proviso to the preceding sentence. Within the foregoing limits, and subject to the terms and conditions hereof, the ability to obtain Letters of Credit will be fully revolving, and accordingly, during the foregoing period, Letters of Credit may be obtained to replace Letters of Credit that have expired or that have been drawn upon and reimbursed. All Existing Letters of Credit shall be deemed to have been issued pursuant hereto, and from and after the Effective Date shall be subject to and governed by the terms and conditions hereof.</w:t>
      </w:r>
    </w:p>
    <w:p>
      <w:pPr>
        <w:spacing w:after="0" w:line="169" w:lineRule="exact"/>
        <w:rPr>
          <w:rFonts w:ascii="Arial" w:cs="Arial" w:eastAsia="Arial" w:hAnsi="Arial"/>
          <w:sz w:val="19"/>
          <w:szCs w:val="19"/>
          <w:color w:val="auto"/>
        </w:rPr>
      </w:pPr>
    </w:p>
    <w:p>
      <w:pPr>
        <w:ind w:left="1180" w:right="559" w:firstLine="656"/>
        <w:spacing w:after="0" w:line="263" w:lineRule="auto"/>
        <w:tabs>
          <w:tab w:leader="none" w:pos="2476"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 L/C Issuer will issue any Letter of Credit (other than an Existing Letter of Credit) if:</w:t>
      </w:r>
    </w:p>
    <w:p>
      <w:pPr>
        <w:spacing w:after="0" w:line="174" w:lineRule="exact"/>
        <w:rPr>
          <w:rFonts w:ascii="Arial" w:cs="Arial" w:eastAsia="Arial" w:hAnsi="Arial"/>
          <w:sz w:val="22"/>
          <w:szCs w:val="22"/>
          <w:color w:val="auto"/>
        </w:rPr>
      </w:pPr>
    </w:p>
    <w:p>
      <w:pPr>
        <w:jc w:val="both"/>
        <w:ind w:left="1840" w:right="539" w:firstLine="653"/>
        <w:spacing w:after="0" w:line="260" w:lineRule="auto"/>
        <w:tabs>
          <w:tab w:leader="none" w:pos="3127" w:val="left"/>
        </w:tabs>
        <w:numPr>
          <w:ilvl w:val="2"/>
          <w:numId w:val="85"/>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2.04(b)(iii)</w:t>
      </w:r>
      <w:r>
        <w:rPr>
          <w:rFonts w:ascii="Arial" w:cs="Arial" w:eastAsia="Arial" w:hAnsi="Arial"/>
          <w:sz w:val="21"/>
          <w:szCs w:val="21"/>
          <w:color w:val="auto"/>
        </w:rPr>
        <w:t>, the expiry date of such requested Letter of Credit would occur more than twelve (12) months after the date of issuance or last extension thereof, unless the Required Lenders have approved such expiry date, such Letter of Credit is Cash Collateralized or a back-stop letter of credit issued by a bank or financial institution reasonably acceptable to the Administrative Agent and the applicable L/C Issuer is provided therefor; or</w:t>
      </w:r>
    </w:p>
    <w:p>
      <w:pPr>
        <w:spacing w:after="0" w:line="180" w:lineRule="exact"/>
        <w:rPr>
          <w:rFonts w:ascii="Arial" w:cs="Arial" w:eastAsia="Arial" w:hAnsi="Arial"/>
          <w:sz w:val="21"/>
          <w:szCs w:val="21"/>
          <w:color w:val="auto"/>
        </w:rPr>
      </w:pPr>
    </w:p>
    <w:p>
      <w:pPr>
        <w:jc w:val="both"/>
        <w:ind w:left="1840" w:right="559" w:firstLine="644"/>
        <w:spacing w:after="0" w:line="253" w:lineRule="auto"/>
        <w:tabs>
          <w:tab w:leader="none" w:pos="3136"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all the Lenders have approved such expiry date.</w:t>
      </w:r>
    </w:p>
    <w:p>
      <w:pPr>
        <w:spacing w:after="0" w:line="185" w:lineRule="exact"/>
        <w:rPr>
          <w:rFonts w:ascii="Arial" w:cs="Arial" w:eastAsia="Arial" w:hAnsi="Arial"/>
          <w:sz w:val="22"/>
          <w:szCs w:val="22"/>
          <w:color w:val="auto"/>
        </w:rPr>
      </w:pPr>
    </w:p>
    <w:p>
      <w:pPr>
        <w:ind w:left="2480" w:hanging="644"/>
        <w:spacing w:after="0"/>
        <w:tabs>
          <w:tab w:leader="none" w:pos="2480" w:val="left"/>
        </w:tabs>
        <w:numPr>
          <w:ilvl w:val="1"/>
          <w:numId w:val="85"/>
        </w:numPr>
        <w:rPr>
          <w:rFonts w:ascii="Arial" w:cs="Arial" w:eastAsia="Arial" w:hAnsi="Arial"/>
          <w:sz w:val="21"/>
          <w:szCs w:val="21"/>
          <w:color w:val="auto"/>
        </w:rPr>
      </w:pPr>
      <w:r>
        <w:rPr>
          <w:rFonts w:ascii="Arial" w:cs="Arial" w:eastAsia="Arial" w:hAnsi="Arial"/>
          <w:sz w:val="21"/>
          <w:szCs w:val="21"/>
          <w:color w:val="auto"/>
        </w:rPr>
        <w:t>No L/C Issuer will be under any obligation to issue any Letter of</w:t>
      </w:r>
    </w:p>
    <w:p>
      <w:pPr>
        <w:spacing w:after="0" w:line="32" w:lineRule="exact"/>
        <w:rPr>
          <w:rFonts w:ascii="Arial" w:cs="Arial" w:eastAsia="Arial" w:hAnsi="Arial"/>
          <w:sz w:val="21"/>
          <w:szCs w:val="21"/>
          <w:color w:val="auto"/>
        </w:rPr>
      </w:pPr>
    </w:p>
    <w:p>
      <w:pPr>
        <w:ind w:left="1180"/>
        <w:spacing w:after="0"/>
        <w:rPr>
          <w:rFonts w:ascii="Arial" w:cs="Arial" w:eastAsia="Arial" w:hAnsi="Arial"/>
          <w:sz w:val="21"/>
          <w:szCs w:val="21"/>
          <w:color w:val="auto"/>
        </w:rPr>
      </w:pPr>
      <w:r>
        <w:rPr>
          <w:rFonts w:ascii="Arial" w:cs="Arial" w:eastAsia="Arial" w:hAnsi="Arial"/>
          <w:sz w:val="22"/>
          <w:szCs w:val="22"/>
          <w:color w:val="auto"/>
        </w:rPr>
        <w:t>Credit if:</w:t>
      </w:r>
    </w:p>
    <w:p>
      <w:pPr>
        <w:spacing w:after="0" w:line="201" w:lineRule="exact"/>
        <w:rPr>
          <w:rFonts w:ascii="Arial" w:cs="Arial" w:eastAsia="Arial" w:hAnsi="Arial"/>
          <w:sz w:val="21"/>
          <w:szCs w:val="21"/>
          <w:color w:val="auto"/>
        </w:rPr>
      </w:pPr>
    </w:p>
    <w:p>
      <w:pPr>
        <w:jc w:val="both"/>
        <w:ind w:left="1840" w:right="559" w:firstLine="644"/>
        <w:spacing w:after="0" w:line="294" w:lineRule="auto"/>
        <w:tabs>
          <w:tab w:leader="none" w:pos="3136" w:val="left"/>
        </w:tabs>
        <w:numPr>
          <w:ilvl w:val="2"/>
          <w:numId w:val="85"/>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52" w:name="page153"/>
    <w:bookmarkEnd w:id="152"/>
    <w:p>
      <w:pPr>
        <w:jc w:val="both"/>
        <w:ind w:left="1840" w:right="559"/>
        <w:spacing w:after="0" w:line="292" w:lineRule="auto"/>
        <w:rPr>
          <w:sz w:val="20"/>
          <w:szCs w:val="20"/>
          <w:color w:val="auto"/>
        </w:rPr>
      </w:pPr>
      <w:r>
        <w:rPr>
          <w:rFonts w:ascii="Arial" w:cs="Arial" w:eastAsia="Arial" w:hAnsi="Arial"/>
          <w:sz w:val="19"/>
          <w:szCs w:val="19"/>
          <w:color w:val="auto"/>
        </w:rPr>
        <w:t>issuance of letters of credit generally or such Letter of Credit in particular or shall impose upon such L/C Issuer with respect to the Letter of Credit any restriction, reserve or capital requirement (for which such L/C Issuer is not otherwise compensated hereunder) not in effect on the Effective Date, or shall impose upon such L/C Issuer any unreimbursed loss, cost or expense which was not applicable on the Effective Date and which such L/C Issuer in good faith deems material to it;</w:t>
      </w:r>
    </w:p>
    <w:p>
      <w:pPr>
        <w:spacing w:after="0" w:line="151" w:lineRule="exact"/>
        <w:rPr>
          <w:sz w:val="20"/>
          <w:szCs w:val="20"/>
          <w:color w:val="auto"/>
        </w:rPr>
      </w:pPr>
    </w:p>
    <w:p>
      <w:pPr>
        <w:jc w:val="both"/>
        <w:ind w:left="1840" w:right="559" w:firstLine="644"/>
        <w:spacing w:after="0" w:line="312" w:lineRule="auto"/>
        <w:tabs>
          <w:tab w:leader="none" w:pos="313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issuance of the Letter of Credit would violate one or more policies of such L/C Issuer applicable to letters of credit issued to customers of such L/C Issuer that are similarly situated to the Borrower;</w:t>
      </w:r>
    </w:p>
    <w:p>
      <w:pPr>
        <w:spacing w:after="0" w:line="133" w:lineRule="exact"/>
        <w:rPr>
          <w:rFonts w:ascii="Arial" w:cs="Arial" w:eastAsia="Arial" w:hAnsi="Arial"/>
          <w:sz w:val="19"/>
          <w:szCs w:val="19"/>
          <w:color w:val="auto"/>
        </w:rPr>
      </w:pPr>
    </w:p>
    <w:p>
      <w:pPr>
        <w:ind w:left="3140" w:hanging="656"/>
        <w:spacing w:after="0"/>
        <w:tabs>
          <w:tab w:leader="none" w:pos="31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except as otherwise agreed by the Administrative Agent and</w:t>
      </w:r>
    </w:p>
    <w:p>
      <w:pPr>
        <w:spacing w:after="0" w:line="55" w:lineRule="exact"/>
        <w:rPr>
          <w:rFonts w:ascii="Arial" w:cs="Arial" w:eastAsia="Arial" w:hAnsi="Arial"/>
          <w:sz w:val="19"/>
          <w:szCs w:val="19"/>
          <w:color w:val="auto"/>
        </w:rPr>
      </w:pPr>
    </w:p>
    <w:p>
      <w:pPr>
        <w:ind w:left="1840"/>
        <w:spacing w:after="0"/>
        <w:rPr>
          <w:rFonts w:ascii="Arial" w:cs="Arial" w:eastAsia="Arial" w:hAnsi="Arial"/>
          <w:sz w:val="19"/>
          <w:szCs w:val="19"/>
          <w:color w:val="auto"/>
        </w:rPr>
      </w:pPr>
      <w:r>
        <w:rPr>
          <w:rFonts w:ascii="Arial" w:cs="Arial" w:eastAsia="Arial" w:hAnsi="Arial"/>
          <w:sz w:val="22"/>
          <w:szCs w:val="22"/>
          <w:color w:val="auto"/>
        </w:rPr>
        <w:t>such</w:t>
      </w:r>
    </w:p>
    <w:p>
      <w:pPr>
        <w:spacing w:after="0" w:line="202" w:lineRule="exact"/>
        <w:rPr>
          <w:sz w:val="20"/>
          <w:szCs w:val="20"/>
          <w:color w:val="auto"/>
        </w:rPr>
      </w:pPr>
    </w:p>
    <w:p>
      <w:pPr>
        <w:ind w:left="1840" w:right="759"/>
        <w:spacing w:after="0" w:line="327" w:lineRule="auto"/>
        <w:rPr>
          <w:sz w:val="20"/>
          <w:szCs w:val="20"/>
          <w:color w:val="auto"/>
        </w:rPr>
      </w:pPr>
      <w:r>
        <w:rPr>
          <w:rFonts w:ascii="Arial" w:cs="Arial" w:eastAsia="Arial" w:hAnsi="Arial"/>
          <w:sz w:val="19"/>
          <w:szCs w:val="19"/>
          <w:color w:val="auto"/>
        </w:rPr>
        <w:t>L/C Issuer, the Letter of Credit is in an initial stated amount the US Dollar Equivalent of which is less than $100,000, in the case of a commercial Letter of Credit, or $250,000, in the case of a standby Letter of Credit;</w:t>
      </w:r>
    </w:p>
    <w:p>
      <w:pPr>
        <w:spacing w:after="0" w:line="65" w:lineRule="exact"/>
        <w:rPr>
          <w:sz w:val="20"/>
          <w:szCs w:val="20"/>
          <w:color w:val="auto"/>
        </w:rPr>
      </w:pPr>
    </w:p>
    <w:p>
      <w:pPr>
        <w:jc w:val="both"/>
        <w:ind w:left="1840" w:right="559" w:firstLine="644"/>
        <w:spacing w:after="0" w:line="253" w:lineRule="auto"/>
        <w:tabs>
          <w:tab w:leader="none" w:pos="3136"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such Letter of Credit is to be denominated in a currency other than US Dollars or an Alternative Currency that has been approved by such L/C Issuer as provided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840" w:right="559" w:firstLine="644"/>
        <w:spacing w:after="0" w:line="253" w:lineRule="auto"/>
        <w:tabs>
          <w:tab w:leader="none" w:pos="3136"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such L/C Issuer does not as of the issuance date of such requested Letter of Credit issue Letters of Credit in the requested currency;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currency is not US Dollars;</w:t>
      </w:r>
    </w:p>
    <w:p>
      <w:pPr>
        <w:spacing w:after="0" w:line="185" w:lineRule="exact"/>
        <w:rPr>
          <w:rFonts w:ascii="Arial" w:cs="Arial" w:eastAsia="Arial" w:hAnsi="Arial"/>
          <w:sz w:val="22"/>
          <w:szCs w:val="22"/>
          <w:color w:val="auto"/>
        </w:rPr>
      </w:pPr>
    </w:p>
    <w:p>
      <w:pPr>
        <w:jc w:val="both"/>
        <w:ind w:left="1840" w:right="539" w:firstLine="653"/>
        <w:spacing w:after="0" w:line="289" w:lineRule="auto"/>
        <w:tabs>
          <w:tab w:leader="none" w:pos="3127"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any Lender is at that time a Defaulting Lender, unless such L/C Issuer has entered into arrangements, including the delivery of Cash Collateral, reasonably satisfactory to such L/C Issuer (in its sole discretion) with the Borrower or such Lender to eliminate such L/C Issuer’s actual or potential Fronting Exposure (after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with respect to such Defaulting Lender arising from either the Letter of Credit then proposed to be issued or such Letter of Credit and all other L/C Obligations as to which such L/C Issuer has actual or potential Fronting Exposure, as it may elect in its sole discretion; or</w:t>
      </w:r>
    </w:p>
    <w:p>
      <w:pPr>
        <w:spacing w:after="0" w:line="156" w:lineRule="exact"/>
        <w:rPr>
          <w:rFonts w:ascii="Arial" w:cs="Arial" w:eastAsia="Arial" w:hAnsi="Arial"/>
          <w:sz w:val="19"/>
          <w:szCs w:val="19"/>
          <w:color w:val="auto"/>
        </w:rPr>
      </w:pPr>
    </w:p>
    <w:p>
      <w:pPr>
        <w:jc w:val="both"/>
        <w:ind w:left="1840" w:right="559" w:firstLine="644"/>
        <w:spacing w:after="0" w:line="312" w:lineRule="auto"/>
        <w:tabs>
          <w:tab w:leader="none" w:pos="3136" w:val="left"/>
        </w:tabs>
        <w:numPr>
          <w:ilvl w:val="1"/>
          <w:numId w:val="87"/>
        </w:numPr>
        <w:rPr>
          <w:rFonts w:ascii="Arial" w:cs="Arial" w:eastAsia="Arial" w:hAnsi="Arial"/>
          <w:sz w:val="19"/>
          <w:szCs w:val="19"/>
          <w:color w:val="auto"/>
        </w:rPr>
      </w:pPr>
      <w:r>
        <w:rPr>
          <w:rFonts w:ascii="Arial" w:cs="Arial" w:eastAsia="Arial" w:hAnsi="Arial"/>
          <w:sz w:val="19"/>
          <w:szCs w:val="19"/>
          <w:color w:val="auto"/>
        </w:rPr>
        <w:t>such Letter of Credit is not of the type approved for issuance by such L/C Issuer (with each L/C Issuer acknowledging that standby Letters of Credit are of the type approved for issuance by such L/C Issuer).</w:t>
      </w:r>
    </w:p>
    <w:p>
      <w:pPr>
        <w:spacing w:after="0" w:line="133" w:lineRule="exact"/>
        <w:rPr>
          <w:rFonts w:ascii="Arial" w:cs="Arial" w:eastAsia="Arial" w:hAnsi="Arial"/>
          <w:sz w:val="19"/>
          <w:szCs w:val="19"/>
          <w:color w:val="auto"/>
        </w:rPr>
      </w:pPr>
    </w:p>
    <w:p>
      <w:pPr>
        <w:jc w:val="both"/>
        <w:ind w:left="1180" w:right="539" w:firstLine="656"/>
        <w:spacing w:after="0" w:line="253" w:lineRule="auto"/>
        <w:tabs>
          <w:tab w:leader="none" w:pos="2476"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 L/C Issuer shall amend any Letter of Credit if such L/C Issuer would not be permitted at such time to issue the Letter of Credit in its amended form under the terms hereof.</w:t>
      </w:r>
    </w:p>
    <w:p>
      <w:pPr>
        <w:spacing w:after="0" w:line="185" w:lineRule="exact"/>
        <w:rPr>
          <w:rFonts w:ascii="Arial" w:cs="Arial" w:eastAsia="Arial" w:hAnsi="Arial"/>
          <w:sz w:val="22"/>
          <w:szCs w:val="22"/>
          <w:color w:val="auto"/>
        </w:rPr>
      </w:pPr>
    </w:p>
    <w:p>
      <w:pPr>
        <w:jc w:val="both"/>
        <w:ind w:left="1180" w:right="539" w:firstLine="656"/>
        <w:spacing w:after="0" w:line="312" w:lineRule="auto"/>
        <w:tabs>
          <w:tab w:leader="none" w:pos="2476"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 L/C Issuer will be under any obligation to amend any Letter of Credit if (A) such L/C Issuer would have no obligation at such time to issue such Letter of Credit in its amended form under the terms hereof, or (B) the beneficiary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6603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53" w:name="page154"/>
    <w:bookmarkEnd w:id="153"/>
    <w:p>
      <w:pPr>
        <w:ind w:left="1180" w:right="539"/>
        <w:spacing w:after="0" w:line="263" w:lineRule="auto"/>
        <w:rPr>
          <w:sz w:val="20"/>
          <w:szCs w:val="20"/>
          <w:color w:val="auto"/>
        </w:rPr>
      </w:pPr>
      <w:r>
        <w:rPr>
          <w:rFonts w:ascii="Arial" w:cs="Arial" w:eastAsia="Arial" w:hAnsi="Arial"/>
          <w:sz w:val="22"/>
          <w:szCs w:val="22"/>
          <w:color w:val="auto"/>
        </w:rPr>
        <w:t>of such Letter of Credit does not accept the proposed amendment to such Letter of Credit.</w:t>
      </w:r>
    </w:p>
    <w:p>
      <w:pPr>
        <w:spacing w:after="0" w:line="175" w:lineRule="exact"/>
        <w:rPr>
          <w:sz w:val="20"/>
          <w:szCs w:val="20"/>
          <w:color w:val="auto"/>
        </w:rPr>
      </w:pPr>
    </w:p>
    <w:p>
      <w:pPr>
        <w:jc w:val="both"/>
        <w:ind w:left="1180" w:right="539" w:firstLine="656"/>
        <w:spacing w:after="0" w:line="259" w:lineRule="auto"/>
        <w:tabs>
          <w:tab w:leader="none" w:pos="2476" w:val="left"/>
        </w:tabs>
        <w:numPr>
          <w:ilvl w:val="2"/>
          <w:numId w:val="89"/>
        </w:numPr>
        <w:rPr>
          <w:rFonts w:ascii="Arial" w:cs="Arial" w:eastAsia="Arial" w:hAnsi="Arial"/>
          <w:sz w:val="21"/>
          <w:szCs w:val="21"/>
          <w:color w:val="auto"/>
        </w:rPr>
      </w:pPr>
      <w:r>
        <w:rPr>
          <w:rFonts w:ascii="Arial" w:cs="Arial" w:eastAsia="Arial" w:hAnsi="Arial"/>
          <w:sz w:val="21"/>
          <w:szCs w:val="21"/>
          <w:color w:val="auto"/>
        </w:rPr>
        <w:t xml:space="preserve">Each L/C Issuer will act on behalf of the Lenders with respect to any Letters of Credit issued by it and the documents associated therewith, and each L/C Issuer will have all of the benefits and immunities (A) provided to the Administrative Agent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with respect to any acts taken or omissions suffered by such L/C Issuer in connection with Letters of Credit issued by it or proposed to be issued by it and the Issuer Documents pertaining to such Letters of Credit as fully as if the term “Agent” as used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included such L/C Issuer with respect to such acts or omissions, and (B) as additionally provided herein with respect to any L/C Issuer.</w:t>
      </w:r>
    </w:p>
    <w:p>
      <w:pPr>
        <w:spacing w:after="0" w:line="179" w:lineRule="exact"/>
        <w:rPr>
          <w:rFonts w:ascii="Arial" w:cs="Arial" w:eastAsia="Arial" w:hAnsi="Arial"/>
          <w:sz w:val="21"/>
          <w:szCs w:val="21"/>
          <w:color w:val="auto"/>
        </w:rPr>
      </w:pPr>
    </w:p>
    <w:p>
      <w:pPr>
        <w:jc w:val="both"/>
        <w:ind w:left="540" w:right="539" w:firstLine="725"/>
        <w:spacing w:after="0" w:line="282" w:lineRule="auto"/>
        <w:tabs>
          <w:tab w:leader="none" w:pos="1836"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AutoExtension Letters of Credit; Expiration Date</w:t>
      </w:r>
      <w:r>
        <w:rPr>
          <w:rFonts w:ascii="Arial" w:cs="Arial" w:eastAsia="Arial" w:hAnsi="Arial"/>
          <w:sz w:val="19"/>
          <w:szCs w:val="19"/>
          <w:color w:val="auto"/>
        </w:rPr>
        <w:t xml:space="preserve">. (i) Each Letter of Credit will be issued or amended, as the case may be, upon the request of the Borrower delivered to the applicable L/C Issuer (with a copy to the Administrative Agent) in the form of a Letter of Credit Application, appropriately completed and signed by a Responsible Officer of the Borrower and, if applicable, any Subsidiary of the Borrower that is a co-applicant with respect thereto. In the event of an inconsistency between the terms and conditions of this Agreement and the terms and conditions of any Letter of Credit Application, the terms and conditions of this Agreement shall control. Such Letter of Credit Application must be received by hand delivery, e-mail or fax by the applicable L/C Issuer and the Administrative Agent not later than 3:00 p.m., Local Time, at least two (2) Business Days (or such later date and time as the Administrative Agent and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(which shall be US Dollars or, subject to </w:t>
      </w:r>
      <w:r>
        <w:rPr>
          <w:rFonts w:ascii="Arial" w:cs="Arial" w:eastAsia="Arial" w:hAnsi="Arial"/>
          <w:sz w:val="19"/>
          <w:szCs w:val="19"/>
          <w:u w:val="single" w:color="auto"/>
          <w:color w:val="auto"/>
        </w:rPr>
        <w:t>Section 2.04(a)(iii)(D)</w:t>
      </w:r>
      <w:r>
        <w:rPr>
          <w:rFonts w:ascii="Arial" w:cs="Arial" w:eastAsia="Arial" w:hAnsi="Arial"/>
          <w:sz w:val="19"/>
          <w:szCs w:val="19"/>
          <w:color w:val="auto"/>
        </w:rPr>
        <w:t>, an Alternative Currency) thereof, (C) the expiry date thereof, (D) the name and address of the beneficiary thereof,</w:t>
      </w:r>
    </w:p>
    <w:p>
      <w:pPr>
        <w:spacing w:after="0" w:line="13" w:lineRule="exact"/>
        <w:rPr>
          <w:rFonts w:ascii="Arial" w:cs="Arial" w:eastAsia="Arial" w:hAnsi="Arial"/>
          <w:sz w:val="19"/>
          <w:szCs w:val="19"/>
          <w:color w:val="auto"/>
        </w:rPr>
      </w:pPr>
    </w:p>
    <w:p>
      <w:pPr>
        <w:ind w:left="880" w:hanging="340"/>
        <w:spacing w:after="0"/>
        <w:tabs>
          <w:tab w:leader="none" w:pos="8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documents to be presented by such beneficiary in case of any drawing thereunder,</w:t>
      </w:r>
    </w:p>
    <w:p>
      <w:pPr>
        <w:spacing w:after="0" w:line="38" w:lineRule="exact"/>
        <w:rPr>
          <w:rFonts w:ascii="Arial" w:cs="Arial" w:eastAsia="Arial" w:hAnsi="Arial"/>
          <w:sz w:val="19"/>
          <w:szCs w:val="19"/>
          <w:color w:val="auto"/>
        </w:rPr>
      </w:pPr>
    </w:p>
    <w:p>
      <w:pPr>
        <w:jc w:val="both"/>
        <w:ind w:left="540" w:right="539"/>
        <w:spacing w:after="0" w:line="256" w:lineRule="auto"/>
        <w:tabs>
          <w:tab w:leader="none" w:pos="904"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the applicable L/C Issuer may require. Additionally, the Borrower will furnish to the applicable L/C Issuer and the Administrative Agent such other documents and information pertaining to such requested Letter of Credit issuance or amendment, including any Issuer Documents, as the applicable L/C Issuer or the Administrative Agent may reasonably require.</w:t>
      </w:r>
    </w:p>
    <w:p>
      <w:pPr>
        <w:spacing w:after="0" w:line="185" w:lineRule="exact"/>
        <w:rPr>
          <w:rFonts w:ascii="Arial" w:cs="Arial" w:eastAsia="Arial" w:hAnsi="Arial"/>
          <w:sz w:val="21"/>
          <w:szCs w:val="21"/>
          <w:color w:val="auto"/>
        </w:rPr>
      </w:pPr>
    </w:p>
    <w:p>
      <w:pPr>
        <w:jc w:val="both"/>
        <w:ind w:left="1180" w:right="539" w:firstLine="656"/>
        <w:spacing w:after="0" w:line="271" w:lineRule="auto"/>
        <w:tabs>
          <w:tab w:leader="none" w:pos="2476" w:val="left"/>
        </w:tabs>
        <w:numPr>
          <w:ilvl w:val="2"/>
          <w:numId w:val="91"/>
        </w:numPr>
        <w:rPr>
          <w:rFonts w:ascii="Arial" w:cs="Arial" w:eastAsia="Arial" w:hAnsi="Arial"/>
          <w:sz w:val="21"/>
          <w:szCs w:val="21"/>
          <w:color w:val="auto"/>
        </w:rPr>
      </w:pPr>
      <w:r>
        <w:rPr>
          <w:rFonts w:ascii="Arial" w:cs="Arial" w:eastAsia="Arial" w:hAnsi="Arial"/>
          <w:sz w:val="21"/>
          <w:szCs w:val="21"/>
          <w:color w:val="auto"/>
        </w:rPr>
        <w:t>Promptly after receipt of any Letter of Credit Application, the applicable L/C Issuer will confirm with the Administrative Agent (by telephone or in writing by hand delivery, fax or e-mail) that the Administrative Agent has</w:t>
      </w:r>
    </w:p>
    <w:p>
      <w:pPr>
        <w:sectPr>
          <w:pgSz w:w="11900" w:h="16838" w:orient="portrait"/>
          <w:cols w:equalWidth="0" w:num="1">
            <w:col w:w="9019"/>
          </w:cols>
          <w:pgMar w:left="1440" w:top="928"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4" w:name="page155"/>
    <w:bookmarkEnd w:id="154"/>
    <w:p>
      <w:pPr>
        <w:jc w:val="both"/>
        <w:ind w:left="1180" w:right="539"/>
        <w:spacing w:after="0" w:line="285" w:lineRule="auto"/>
        <w:rPr>
          <w:sz w:val="20"/>
          <w:szCs w:val="20"/>
          <w:color w:val="auto"/>
        </w:rPr>
      </w:pPr>
      <w:r>
        <w:rPr>
          <w:rFonts w:ascii="Arial" w:cs="Arial" w:eastAsia="Arial" w:hAnsi="Arial"/>
          <w:sz w:val="19"/>
          <w:szCs w:val="19"/>
          <w:color w:val="auto"/>
        </w:rPr>
        <w:t xml:space="preserve">received a copy of such Letter of Credit Application from the Borrower and, if not, the applicable L/C Issuer will provide the Administrative Agent with a copy thereof. Unless the applicable L/C Issuer has received written notice from the Required Lenders, the Administrative Agent or the Borrower, at least one (1)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will not then be satisfied (or waived), then, subject to the terms and conditions hereof, the applicable L/C Issuer will, on the requested date, issue a Letter of Credit for the account of the Borrower and, if applicable, any Subsidiary of the Borrower that is a co-applicant with respect thereto, or enter into the applicable amendment, as the case may be, in each case in accordance with the applicable L/C Issuer’s usual and customary business practices. Immediately upon the issuance of each Letter of Credit (or an amendment to a Letter of Credit increasing the amount thereof) and without further action on the part of the applicable L/C Issuer or the Lenders, the applicable L/C Issuer hereby grants to each Lender, and each Lender hereby irrevocably and unconditionally acquires from the applicable L/C Issuer, a risk participation in such Letter of Credit in an amount equal to such Lender’s Applicable Percentage of the amount available to be drawn under such Letter of Credit.</w:t>
      </w:r>
    </w:p>
    <w:p>
      <w:pPr>
        <w:spacing w:after="0" w:line="200" w:lineRule="exact"/>
        <w:rPr>
          <w:sz w:val="20"/>
          <w:szCs w:val="20"/>
          <w:color w:val="auto"/>
        </w:rPr>
      </w:pPr>
    </w:p>
    <w:p>
      <w:pPr>
        <w:spacing w:after="0" w:line="219" w:lineRule="exact"/>
        <w:rPr>
          <w:sz w:val="20"/>
          <w:szCs w:val="20"/>
          <w:color w:val="auto"/>
        </w:rPr>
      </w:pPr>
    </w:p>
    <w:p>
      <w:pPr>
        <w:jc w:val="both"/>
        <w:ind w:left="1180" w:right="539" w:firstLine="656"/>
        <w:spacing w:after="0" w:line="284" w:lineRule="auto"/>
        <w:tabs>
          <w:tab w:leader="none" w:pos="24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applicable L/C Issuer shall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in each such twelve-month period to be agreed upon at the time such Letter of Credit is issued. Unless otherwise directed by the applicable L/C Issuer, the Borrower will not be required to make a specific request to the applicable L/C Issuer for any such extension. Once an Auto-Extension Letter of Credit has been issued, the Lenders will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applicable L/C Issuer will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otherwise), or (B) it has received written notice (by hand delivery, fax or e-mail) on or before the day that is seven (7) Business Days before the Non-Extension Notice Date (1) from the Administrative Agent that the Lenders have elected not to permit such extension or (2) from the Administrative Agent, the Required Lenders or the Borrower that one or more of the applicable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(or waived), and in each such case directing the applicable L/C Issuer not to permit such extension.</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1180" w:right="539" w:firstLine="656"/>
        <w:spacing w:after="0" w:line="343" w:lineRule="auto"/>
        <w:tabs>
          <w:tab w:leader="none" w:pos="24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5" w:name="page156"/>
    <w:bookmarkEnd w:id="155"/>
    <w:p>
      <w:pPr>
        <w:jc w:val="both"/>
        <w:ind w:left="1180" w:right="539"/>
        <w:spacing w:after="0" w:line="290" w:lineRule="auto"/>
        <w:rPr>
          <w:sz w:val="20"/>
          <w:szCs w:val="20"/>
          <w:color w:val="auto"/>
        </w:rPr>
      </w:pPr>
      <w:r>
        <w:rPr>
          <w:rFonts w:ascii="Arial" w:cs="Arial" w:eastAsia="Arial" w:hAnsi="Arial"/>
          <w:sz w:val="19"/>
          <w:szCs w:val="19"/>
          <w:color w:val="auto"/>
        </w:rPr>
        <w:t>thereof, the applicable L/C Issuer will also deliver to the Borrower and the Administrative Agent a true and complete copy of such Letter of Credit or amendment. The Borrower will promptly examine a copy of each Letter of Credit and each amendment thereto that is delivered to it and, in the event of any claim of noncompliance with the Borrower’s instructions or other irregularity, the Borrower will immediately notify the applicable L/C Issuer. The Borrower will be conclusively deemed to have waived any such claim against the applicable L/C Issuer and its correspondents unless such notice is given as aforesaid.</w:t>
      </w:r>
    </w:p>
    <w:p>
      <w:pPr>
        <w:spacing w:after="0" w:line="156" w:lineRule="exact"/>
        <w:rPr>
          <w:sz w:val="20"/>
          <w:szCs w:val="20"/>
          <w:color w:val="auto"/>
        </w:rPr>
      </w:pPr>
    </w:p>
    <w:p>
      <w:pPr>
        <w:jc w:val="both"/>
        <w:ind w:left="540" w:right="539" w:firstLine="725"/>
        <w:spacing w:after="0" w:line="290" w:lineRule="auto"/>
        <w:tabs>
          <w:tab w:leader="none" w:pos="183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 xml:space="preserve">. (i) On the Effective Date and without further action by any party hereto, each L/C Issuer shall be deemed to have granted to each Lender, and each Lender shall be deemed to have acquired from each L/C Issuer, a participation in each Existing Letter of Credit equal to such Lender’s Applicable Percentage of (A) the aggregate amount available to be drawn thereunder and (B) the aggregate unpaid amount of any outstanding reimbursement obligations in respect thereof. Such participations shall be on all the same terms and conditions as participations otherwise granted under this </w:t>
      </w:r>
      <w:r>
        <w:rPr>
          <w:rFonts w:ascii="Arial" w:cs="Arial" w:eastAsia="Arial" w:hAnsi="Arial"/>
          <w:sz w:val="19"/>
          <w:szCs w:val="19"/>
          <w:u w:val="single" w:color="auto"/>
          <w:color w:val="auto"/>
        </w:rPr>
        <w:t>Section 2.04(c)</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1180" w:right="539" w:firstLine="656"/>
        <w:spacing w:after="0" w:line="283" w:lineRule="auto"/>
        <w:tabs>
          <w:tab w:leader="none" w:pos="2476" w:val="left"/>
        </w:tabs>
        <w:numPr>
          <w:ilvl w:val="1"/>
          <w:numId w:val="93"/>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of any notice of a drawing under such Letter of Credit, the applicable L/C Issuer will notify the Borrower and the Administrative Agent promptly thereof. In the case of a Letter of Credit denominated in an Alternative Currency, the Borrower will reimburse the applicable L/C Issuer in such Alternative Currency, unless (A) such L/C Issuer (at its option) shall have specified in such notice that it will require reimbursement in US Dollars, or (B) in the absence of any such requirement for reimbursement in US Dollars, the Borrower shall have notified such L/C Issuer promptly following receipt of the notice of drawing that the Borrower will reimburse such L/C Issuer in US Dollars. In the case of any such reimbursement in US Dollars of a drawing under a Letter of Credit denominated in an Alternative Currency, the applicable L/C Issuer will notify the Borrower of the US Dollar Equivalent (which, solely for such purpose, shall be determined by the applicable L/C Issuer on the basis of the Exchange Rate determined by it as of the date of the applicable drawing) of the amount of the drawing promptly following the determination thereof. Not later than 1:00 p.m., Local Time, on the date of any payment by the applicable L/C Issuer under a Letter of Credit to be reimbursed in US Dollars, or not later than the Applicable Time on the date of any payment by the applicable L/C Issuer under a Letter of Credit to be reimbursed in an Alternative Currency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the Borrower will reimburse the applicable L/C Issuer through the Administrative Agent in an amount equal to the amount of such drawing and in the applicable currency (or, if notice of payment is delivered to the Borrower after 11:00 a.m., Local Time, on the Honor Date, the next Business Day). If the Borrower fails so to reimburse the applicable L/C Issuer by such time, the applicable L/C Issuer will promptly notify the Administrative Agent thereof, whereupon the Administrative Agent will promptly notify each Lender of the Honor Date, the amount of the unreimbursed drawing (expressed in US Dollars in the amount of the US Dollar Equivalent thereof in the case of a Letter of Credit denominated in an Alternative Currency)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and the amount of such Lender’s Applicable Percentage thereof. In such event, (x) in the</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6" w:name="page157"/>
    <w:bookmarkEnd w:id="156"/>
    <w:p>
      <w:pPr>
        <w:jc w:val="both"/>
        <w:ind w:left="1180" w:right="539"/>
        <w:spacing w:after="0" w:line="285" w:lineRule="auto"/>
        <w:rPr>
          <w:sz w:val="20"/>
          <w:szCs w:val="20"/>
          <w:color w:val="auto"/>
        </w:rPr>
      </w:pPr>
      <w:r>
        <w:rPr>
          <w:rFonts w:ascii="Arial" w:cs="Arial" w:eastAsia="Arial" w:hAnsi="Arial"/>
          <w:sz w:val="19"/>
          <w:szCs w:val="19"/>
          <w:color w:val="auto"/>
        </w:rPr>
        <w:t xml:space="preserve">case of a drawing under a Letter of Credit denominated in an Alternative Currency, automatically and with no further action, the obligation of the Borrower to reimburse such drawing shall be permanently converted into an obligation to reimburse the Unreimbursed Amount and (y) the Borrower will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limitations set forth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the proceeds of which will be used to satisfy the Borrower’s reimbursement obligations. Any notice given by the applicable L/C Issuer or the Administrative Agent pursuant to this </w:t>
      </w:r>
      <w:r>
        <w:rPr>
          <w:rFonts w:ascii="Arial" w:cs="Arial" w:eastAsia="Arial" w:hAnsi="Arial"/>
          <w:sz w:val="19"/>
          <w:szCs w:val="19"/>
          <w:u w:val="single" w:color="auto"/>
          <w:color w:val="auto"/>
        </w:rPr>
        <w:t>Section 2.04(c)(ii)</w:t>
      </w:r>
      <w:r>
        <w:rPr>
          <w:rFonts w:ascii="Arial" w:cs="Arial" w:eastAsia="Arial" w:hAnsi="Arial"/>
          <w:sz w:val="19"/>
          <w:szCs w:val="19"/>
          <w:color w:val="auto"/>
        </w:rPr>
        <w:t xml:space="preserve"> may be given by telephone if immediately confirmed in writing by hand delivery, fax or e-mail;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will not affect the conclusiveness or binding effect of such notice. If the Borrower’s reimbursement of, or obligation to reimburse, any amounts in any Alternative Currency would subject the Administrative Agent, the applicable L/C Issuer or any Lender to any stamp duty, ad valorem charge or similar Tax that would not be payable if such reimbursement were made or required to be made in US Dollars, the Borrower shall pay the amount of any such Tax requested by the Administrative Agent, such L/C Issuer or such Lender.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180" w:right="539" w:firstLine="656"/>
        <w:spacing w:after="0" w:line="287" w:lineRule="auto"/>
        <w:tabs>
          <w:tab w:leader="none" w:pos="247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Each Lender will upon any notice from the Administrative Agent pursuant to </w:t>
      </w:r>
      <w:r>
        <w:rPr>
          <w:rFonts w:ascii="Arial" w:cs="Arial" w:eastAsia="Arial" w:hAnsi="Arial"/>
          <w:sz w:val="19"/>
          <w:szCs w:val="19"/>
          <w:u w:val="single" w:color="auto"/>
          <w:color w:val="auto"/>
        </w:rPr>
        <w:t>Section 2.04(c)(ii)</w:t>
      </w:r>
      <w:r>
        <w:rPr>
          <w:rFonts w:ascii="Arial" w:cs="Arial" w:eastAsia="Arial" w:hAnsi="Arial"/>
          <w:sz w:val="19"/>
          <w:szCs w:val="19"/>
          <w:color w:val="auto"/>
        </w:rPr>
        <w:t xml:space="preserve"> make funds available (and the Administrative Agent may apply Cash Collateral provided for this purpose) to the Administrative Agent, for the account of the applicable L/C Issuer, in US Dollars in Same Day Funds by wire transfer to the account of the Administrative Agent most recently designated for such purpose by notice to the Lenders, in an amount equal to its Applicable Percentage of the Unreimbursed Amount not later than 2:00 p.m., Local Time, on the Business Day specified in such notice by the Administrative Agent, whereupon, subject to </w:t>
      </w:r>
      <w:r>
        <w:rPr>
          <w:rFonts w:ascii="Arial" w:cs="Arial" w:eastAsia="Arial" w:hAnsi="Arial"/>
          <w:sz w:val="19"/>
          <w:szCs w:val="19"/>
          <w:u w:val="single" w:color="auto"/>
          <w:color w:val="auto"/>
        </w:rPr>
        <w:t>Section 2.04(c)(iv)</w:t>
      </w:r>
      <w:r>
        <w:rPr>
          <w:rFonts w:ascii="Arial" w:cs="Arial" w:eastAsia="Arial" w:hAnsi="Arial"/>
          <w:sz w:val="19"/>
          <w:szCs w:val="19"/>
          <w:color w:val="auto"/>
        </w:rPr>
        <w:t>, each Lender that so makes funds available will be deemed to have made a Base Rate Committed Loan to the Borrower in such amount. The Administrative Agent will remit the funds so received to the applicable L/C Issuer in US Dollars in Same Day Funds.</w:t>
      </w:r>
    </w:p>
    <w:p>
      <w:pPr>
        <w:spacing w:after="0" w:line="158" w:lineRule="exact"/>
        <w:rPr>
          <w:rFonts w:ascii="Arial" w:cs="Arial" w:eastAsia="Arial" w:hAnsi="Arial"/>
          <w:sz w:val="19"/>
          <w:szCs w:val="19"/>
          <w:color w:val="auto"/>
        </w:rPr>
      </w:pPr>
    </w:p>
    <w:p>
      <w:pPr>
        <w:jc w:val="both"/>
        <w:ind w:left="1180" w:right="539" w:firstLine="656"/>
        <w:spacing w:after="0" w:line="258" w:lineRule="auto"/>
        <w:tabs>
          <w:tab w:leader="none" w:pos="2476"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With respect to any Unreimbursed Amount that is not fully refinanced by a Committed Borrowing of Base Rate Loans because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cannot be satisfied or for any other reason, the Borrower will be deemed to have incurred from the applicable L/C Issuer an L/C Borrowing in the amount of the Unreimbursed Amount that is not so refinanced, which L/C Borrowing will be due and payable on demand (together with interest). In such event, each Lender’s payment to the Administrative Agent for the account of the applicable L/C Issuer pursuant to </w:t>
      </w:r>
      <w:r>
        <w:rPr>
          <w:rFonts w:ascii="Arial" w:cs="Arial" w:eastAsia="Arial" w:hAnsi="Arial"/>
          <w:sz w:val="21"/>
          <w:szCs w:val="21"/>
          <w:u w:val="single" w:color="auto"/>
          <w:color w:val="auto"/>
        </w:rPr>
        <w:t>Section 2.04(c)(iii)</w:t>
      </w:r>
      <w:r>
        <w:rPr>
          <w:rFonts w:ascii="Arial" w:cs="Arial" w:eastAsia="Arial" w:hAnsi="Arial"/>
          <w:sz w:val="21"/>
          <w:szCs w:val="21"/>
          <w:color w:val="auto"/>
        </w:rPr>
        <w:t xml:space="preserve"> will be deemed payment in respect of its participation in such L/C Borrowing and will constitute an L/C Advance from such Lender in satisfaction of its participation obligation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ind w:left="1180" w:right="559" w:firstLine="656"/>
        <w:spacing w:after="0" w:line="343" w:lineRule="auto"/>
        <w:tabs>
          <w:tab w:leader="none" w:pos="2476"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any L/C Issuer shall make any disbursement under any Letter of Credit, then, unless the Borrower shall reimburse such disbursement in accordance</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7" w:name="page158"/>
    <w:bookmarkEnd w:id="157"/>
    <w:p>
      <w:pPr>
        <w:jc w:val="both"/>
        <w:ind w:left="1180" w:right="539"/>
        <w:spacing w:after="0" w:line="286" w:lineRule="auto"/>
        <w:rPr>
          <w:sz w:val="20"/>
          <w:szCs w:val="20"/>
          <w:color w:val="auto"/>
        </w:rPr>
      </w:pPr>
      <w:r>
        <w:rPr>
          <w:rFonts w:ascii="Arial" w:cs="Arial" w:eastAsia="Arial" w:hAnsi="Arial"/>
          <w:sz w:val="19"/>
          <w:szCs w:val="19"/>
          <w:color w:val="auto"/>
        </w:rPr>
        <w:t xml:space="preserve">with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in full on the Honor Date thereof, each resulting L/C Borrowing shall bear interest, for each day from and including the Honor Date to the date of reimbursement thereof in full, at (A) in the case of any Letter of Credit denominated in US Dollars, the rate per annum then applicable to Base Rate Committed Loans and (B) in the case of any Letter of Credit denominated in any Alternative Currency, a rate perannum equal to the applicable Overnight Rate from time to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used to determine interest applicable to Eurocurrency Rate Committed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disbursement when due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from and including the date of such failure such L/C Borrowing shall, on the US Dollar Equivalent thereof, bear interest at the default rate specified in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Interest accrued pursuant to this </w:t>
      </w:r>
      <w:r>
        <w:rPr>
          <w:rFonts w:ascii="Arial" w:cs="Arial" w:eastAsia="Arial" w:hAnsi="Arial"/>
          <w:sz w:val="19"/>
          <w:szCs w:val="19"/>
          <w:u w:val="single" w:color="auto"/>
          <w:color w:val="auto"/>
        </w:rPr>
        <w:t>Section 2.04(c)(v)</w:t>
      </w:r>
      <w:r>
        <w:rPr>
          <w:rFonts w:ascii="Arial" w:cs="Arial" w:eastAsia="Arial" w:hAnsi="Arial"/>
          <w:sz w:val="19"/>
          <w:szCs w:val="19"/>
          <w:color w:val="auto"/>
        </w:rPr>
        <w:t xml:space="preserve"> shall be for the account of the applicable L/C Issuer, except that interest accrued on and after the date of payment by any Lender of its applicable L/C Advance shall be for the account of such Lender to the extent of such L/C Advance, and shall be payable on demand.</w:t>
      </w:r>
    </w:p>
    <w:p>
      <w:pPr>
        <w:spacing w:after="0" w:line="158" w:lineRule="exact"/>
        <w:rPr>
          <w:sz w:val="20"/>
          <w:szCs w:val="20"/>
          <w:color w:val="auto"/>
        </w:rPr>
      </w:pPr>
    </w:p>
    <w:p>
      <w:pPr>
        <w:jc w:val="both"/>
        <w:ind w:left="1180" w:right="539" w:firstLine="656"/>
        <w:spacing w:after="0" w:line="257" w:lineRule="auto"/>
        <w:tabs>
          <w:tab w:leader="none" w:pos="2476"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Each Lender’s obligation to make Committed Loans or L/C Advances to reimburse the L/C Issuers for amounts drawn under Letters of Credit, as contemplated by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shall be absolute and unconditional and will not be affected by any circumstance, including (A) any setoff, counterclaim, recoupment, defense or other right which such Lender may have against any L/C Issuer, any Loan Party, any Subsidiary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Lender’s obligation to make Committed Loans pursuant to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is subject to the satisfaction of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(other than delivery by the Borrower of a Committed Loan Notice). No L/C Advance will relieve or otherwise impair the obligation of the Borrower to reimburse the applicable L/C Issuer for the amount of any payment made by the applicable L/C Issuer under any Letter of Credit, together with interest as provided herein.</w:t>
      </w:r>
    </w:p>
    <w:p>
      <w:pPr>
        <w:spacing w:after="0" w:line="184" w:lineRule="exact"/>
        <w:rPr>
          <w:rFonts w:ascii="Arial" w:cs="Arial" w:eastAsia="Arial" w:hAnsi="Arial"/>
          <w:sz w:val="21"/>
          <w:szCs w:val="21"/>
          <w:color w:val="auto"/>
        </w:rPr>
      </w:pPr>
    </w:p>
    <w:p>
      <w:pPr>
        <w:jc w:val="both"/>
        <w:ind w:left="1180" w:right="539" w:firstLine="656"/>
        <w:spacing w:after="0" w:line="285" w:lineRule="auto"/>
        <w:tabs>
          <w:tab w:leader="none" w:pos="247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2.04(c)(iii)</w:t>
      </w:r>
      <w:r>
        <w:rPr>
          <w:rFonts w:ascii="Arial" w:cs="Arial" w:eastAsia="Arial" w:hAnsi="Arial"/>
          <w:sz w:val="19"/>
          <w:szCs w:val="19"/>
          <w:color w:val="auto"/>
        </w:rPr>
        <w:t xml:space="preserve">, then, without limiting the other provisions of this Agreement, the applicable L/C Issuer will be entitled to recover from such Lender, on demand, such amount with interest thereon for the period from the date such payment is required to the date on which such payment is immediately available to the applicable L/C Issuer at a rate per annum equal to the applicable Overnight Rate from time to time in effect, plus any administrative, processing or similar fees customarily charged by the applicable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Arial" w:cs="Arial" w:eastAsia="Arial" w:hAnsi="Arial"/>
          <w:sz w:val="19"/>
          <w:szCs w:val="19"/>
          <w:u w:val="single" w:color="auto"/>
          <w:color w:val="auto"/>
        </w:rPr>
        <w:t>clause (vii)</w:t>
      </w:r>
      <w:r>
        <w:rPr>
          <w:rFonts w:ascii="Arial" w:cs="Arial" w:eastAsia="Arial" w:hAnsi="Arial"/>
          <w:sz w:val="19"/>
          <w:szCs w:val="19"/>
          <w:color w:val="auto"/>
        </w:rPr>
        <w:t xml:space="preserve"> will be conclusive absent manifest error.</w:t>
      </w:r>
    </w:p>
    <w:p>
      <w:pPr>
        <w:sectPr>
          <w:pgSz w:w="11900" w:h="16838" w:orient="portrait"/>
          <w:cols w:equalWidth="0" w:num="1">
            <w:col w:w="9019"/>
          </w:cols>
          <w:pgMar w:left="1440" w:top="928" w:right="1440" w:bottom="1440" w:gutter="0" w:footer="0" w:header="0"/>
        </w:sect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8" w:name="page159"/>
    <w:bookmarkEnd w:id="158"/>
    <w:p>
      <w:pPr>
        <w:jc w:val="both"/>
        <w:ind w:left="540" w:right="539" w:firstLine="725"/>
        <w:spacing w:after="0" w:line="287" w:lineRule="auto"/>
        <w:tabs>
          <w:tab w:leader="none" w:pos="183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 xml:space="preserve">. (i) At any time after an L/C Issuer has made a payment under any Letter of Credit and has received from any Lender such Lender’s L/C Advance in respect of such payment in accordance with </w:t>
      </w:r>
      <w:r>
        <w:rPr>
          <w:rFonts w:ascii="Arial" w:cs="Arial" w:eastAsia="Arial" w:hAnsi="Arial"/>
          <w:sz w:val="19"/>
          <w:szCs w:val="19"/>
          <w:u w:val="single" w:color="auto"/>
          <w:color w:val="auto"/>
        </w:rPr>
        <w:t>Section 2.04(c)</w:t>
      </w:r>
      <w:r>
        <w:rPr>
          <w:rFonts w:ascii="Arial" w:cs="Arial" w:eastAsia="Arial" w:hAnsi="Arial"/>
          <w:sz w:val="19"/>
          <w:szCs w:val="19"/>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such payment to such L/C Issuer and to such Lender ratably on the basis of the portion of such Unreimbursed Amount represented by such Lender’s L/C Advance (taking into account, in the case of interest payments, the period of time during which such Lender’s L/C Advance was outstanding) in the same currency, and in the same funds, as those received by the Administrative Agent.</w:t>
      </w:r>
    </w:p>
    <w:p>
      <w:pPr>
        <w:spacing w:after="0" w:line="163" w:lineRule="exact"/>
        <w:rPr>
          <w:rFonts w:ascii="Arial" w:cs="Arial" w:eastAsia="Arial" w:hAnsi="Arial"/>
          <w:sz w:val="19"/>
          <w:szCs w:val="19"/>
          <w:color w:val="auto"/>
        </w:rPr>
      </w:pPr>
    </w:p>
    <w:p>
      <w:pPr>
        <w:jc w:val="both"/>
        <w:ind w:left="1180" w:right="539" w:firstLine="656"/>
        <w:spacing w:after="0" w:line="288" w:lineRule="auto"/>
        <w:tabs>
          <w:tab w:leader="none" w:pos="2476"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an L/C Issuer pursuant to </w:t>
      </w:r>
      <w:r>
        <w:rPr>
          <w:rFonts w:ascii="Arial" w:cs="Arial" w:eastAsia="Arial" w:hAnsi="Arial"/>
          <w:sz w:val="19"/>
          <w:szCs w:val="19"/>
          <w:u w:val="single" w:color="auto"/>
          <w:color w:val="auto"/>
        </w:rPr>
        <w:t>Section 2.04(c)(ii)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pursuant to any settlement entered into by such L/C Issuer in its discretion), each Lender will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will survive the payment in full of the Obligations and the termination of this Agreement.</w:t>
      </w:r>
    </w:p>
    <w:p>
      <w:pPr>
        <w:spacing w:after="0" w:line="159" w:lineRule="exact"/>
        <w:rPr>
          <w:rFonts w:ascii="Arial" w:cs="Arial" w:eastAsia="Arial" w:hAnsi="Arial"/>
          <w:sz w:val="19"/>
          <w:szCs w:val="19"/>
          <w:color w:val="auto"/>
        </w:rPr>
      </w:pPr>
    </w:p>
    <w:p>
      <w:pPr>
        <w:jc w:val="both"/>
        <w:ind w:left="540" w:right="539" w:firstLine="725"/>
        <w:spacing w:after="0" w:line="302" w:lineRule="auto"/>
        <w:tabs>
          <w:tab w:leader="none" w:pos="183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 to reimburse each L/C Issuer for each drawing under each Letter of Credit and to repay each L/C Borrowing will be absolute, unconditional and irrevocable, and will be paid strictly in accordance with the terms of this Agreement under all circumstances whatsoever and irrespective of:</w:t>
      </w:r>
    </w:p>
    <w:p>
      <w:pPr>
        <w:spacing w:after="0" w:line="142" w:lineRule="exact"/>
        <w:rPr>
          <w:rFonts w:ascii="Arial" w:cs="Arial" w:eastAsia="Arial" w:hAnsi="Arial"/>
          <w:sz w:val="19"/>
          <w:szCs w:val="19"/>
          <w:color w:val="auto"/>
        </w:rPr>
      </w:pPr>
    </w:p>
    <w:p>
      <w:pPr>
        <w:jc w:val="both"/>
        <w:ind w:left="1180" w:right="539" w:firstLine="656"/>
        <w:spacing w:after="0" w:line="253" w:lineRule="auto"/>
        <w:tabs>
          <w:tab w:leader="none" w:pos="2476"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lack of validity or enforceability of such Letter of Credit, this Agreement, any Letter of Credit Application or any other Loan Document, or any term or provision herein or therein;</w:t>
      </w:r>
    </w:p>
    <w:p>
      <w:pPr>
        <w:spacing w:after="0" w:line="185" w:lineRule="exact"/>
        <w:rPr>
          <w:rFonts w:ascii="Arial" w:cs="Arial" w:eastAsia="Arial" w:hAnsi="Arial"/>
          <w:sz w:val="22"/>
          <w:szCs w:val="22"/>
          <w:color w:val="auto"/>
        </w:rPr>
      </w:pPr>
    </w:p>
    <w:p>
      <w:pPr>
        <w:jc w:val="both"/>
        <w:ind w:left="1180" w:right="539" w:firstLine="656"/>
        <w:spacing w:after="0" w:line="260" w:lineRule="auto"/>
        <w:tabs>
          <w:tab w:leader="none" w:pos="2476"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80" w:lineRule="exact"/>
        <w:rPr>
          <w:rFonts w:ascii="Arial" w:cs="Arial" w:eastAsia="Arial" w:hAnsi="Arial"/>
          <w:sz w:val="21"/>
          <w:szCs w:val="21"/>
          <w:color w:val="auto"/>
        </w:rPr>
      </w:pPr>
    </w:p>
    <w:p>
      <w:pPr>
        <w:jc w:val="both"/>
        <w:ind w:left="1180" w:right="539" w:firstLine="656"/>
        <w:spacing w:after="0" w:line="263" w:lineRule="auto"/>
        <w:tabs>
          <w:tab w:leader="none" w:pos="2476" w:val="left"/>
        </w:tabs>
        <w:numPr>
          <w:ilvl w:val="1"/>
          <w:numId w:val="97"/>
        </w:numPr>
        <w:rPr>
          <w:rFonts w:ascii="Arial" w:cs="Arial" w:eastAsia="Arial" w:hAnsi="Arial"/>
          <w:sz w:val="21"/>
          <w:szCs w:val="21"/>
          <w:color w:val="auto"/>
        </w:rPr>
      </w:pPr>
      <w:r>
        <w:rPr>
          <w:rFonts w:ascii="Arial" w:cs="Arial" w:eastAsia="Arial" w:hAnsi="Arial"/>
          <w:sz w:val="21"/>
          <w:szCs w:val="2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Arial" w:cs="Arial" w:eastAsia="Arial" w:hAnsi="Arial"/>
          <w:sz w:val="21"/>
          <w:szCs w:val="21"/>
          <w:color w:val="auto"/>
        </w:rPr>
      </w:pPr>
    </w:p>
    <w:p>
      <w:pPr>
        <w:jc w:val="both"/>
        <w:ind w:left="1180" w:right="539" w:firstLine="656"/>
        <w:spacing w:after="0" w:line="312" w:lineRule="auto"/>
        <w:tabs>
          <w:tab w:leader="none" w:pos="2476" w:val="left"/>
        </w:tabs>
        <w:numPr>
          <w:ilvl w:val="1"/>
          <w:numId w:val="97"/>
        </w:numPr>
        <w:rPr>
          <w:rFonts w:ascii="Arial" w:cs="Arial" w:eastAsia="Arial" w:hAnsi="Arial"/>
          <w:sz w:val="19"/>
          <w:szCs w:val="19"/>
          <w:color w:val="auto"/>
        </w:rPr>
      </w:pPr>
      <w:r>
        <w:rPr>
          <w:rFonts w:ascii="Arial" w:cs="Arial" w:eastAsia="Arial" w:hAnsi="Arial"/>
          <w:sz w:val="19"/>
          <w:szCs w:val="19"/>
          <w:color w:val="auto"/>
        </w:rPr>
        <w:t>any payment by the applicable L/C Issuer under such Letter of Credit against presentation of a draft or certificate that does not comply with the terms of such Letter of Credit; or any payment made by the applicable L/C Issuer</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59" w:name="page160"/>
    <w:bookmarkEnd w:id="159"/>
    <w:p>
      <w:pPr>
        <w:jc w:val="both"/>
        <w:ind w:left="1180" w:right="539"/>
        <w:spacing w:after="0" w:line="248" w:lineRule="auto"/>
        <w:rPr>
          <w:sz w:val="20"/>
          <w:szCs w:val="20"/>
          <w:color w:val="auto"/>
        </w:rPr>
      </w:pPr>
      <w:r>
        <w:rPr>
          <w:rFonts w:ascii="Arial" w:cs="Arial" w:eastAsia="Arial" w:hAnsi="Arial"/>
          <w:sz w:val="22"/>
          <w:szCs w:val="22"/>
          <w:color w:val="auto"/>
        </w:rPr>
        <w:t>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2" w:lineRule="exact"/>
        <w:rPr>
          <w:sz w:val="20"/>
          <w:szCs w:val="20"/>
          <w:color w:val="auto"/>
        </w:rPr>
      </w:pPr>
    </w:p>
    <w:p>
      <w:pPr>
        <w:jc w:val="both"/>
        <w:ind w:left="1180" w:right="539" w:firstLine="656"/>
        <w:spacing w:after="0" w:line="253" w:lineRule="auto"/>
        <w:tabs>
          <w:tab w:leader="none" w:pos="2476"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adverse change in the relevant exchange rates or in the availability of the relevant Alternative Currency to the Borrower or any other Subsidiary or in the relevant currency markets generally; or</w:t>
      </w:r>
    </w:p>
    <w:p>
      <w:pPr>
        <w:spacing w:after="0" w:line="185" w:lineRule="exact"/>
        <w:rPr>
          <w:rFonts w:ascii="Arial" w:cs="Arial" w:eastAsia="Arial" w:hAnsi="Arial"/>
          <w:sz w:val="22"/>
          <w:szCs w:val="22"/>
          <w:color w:val="auto"/>
        </w:rPr>
      </w:pPr>
    </w:p>
    <w:p>
      <w:pPr>
        <w:jc w:val="both"/>
        <w:ind w:left="1180" w:right="539" w:firstLine="656"/>
        <w:spacing w:after="0" w:line="250" w:lineRule="auto"/>
        <w:tabs>
          <w:tab w:leader="none" w:pos="2476"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a discharge of, or provide a right of setoff against, the Borrower or any other Subsidiary.</w:t>
      </w:r>
    </w:p>
    <w:p>
      <w:pPr>
        <w:spacing w:after="0" w:line="187" w:lineRule="exact"/>
        <w:rPr>
          <w:rFonts w:ascii="Arial" w:cs="Arial" w:eastAsia="Arial" w:hAnsi="Arial"/>
          <w:sz w:val="22"/>
          <w:szCs w:val="22"/>
          <w:color w:val="auto"/>
        </w:rPr>
      </w:pPr>
    </w:p>
    <w:p>
      <w:pPr>
        <w:jc w:val="both"/>
        <w:ind w:left="540" w:right="539" w:firstLine="725"/>
        <w:spacing w:after="0" w:line="283" w:lineRule="auto"/>
        <w:tabs>
          <w:tab w:leader="none" w:pos="183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xml:space="preserve">. Each Lender and the Borrower agree that, in paying any drawing under a Letter of Credit, the applicable L/C Issuer will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or any correspondent, participant or assignee of the applicable L/C Issuer will be liable to any Lender for (i) any action taken or omitted in connection herewith at the request or with the approval of the Lenders or the Required Lenders, as applicable, (ii) any action taken or omitted in the absence of its gross negligence, willful misconduct or bad faith, with such absence to be presumed unless otherwise determined by a court of competent jurisdiction in a final and nonappealable judgment,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will not, preclude the Borrower and/or another Subsidiary of the Borrower, as applicable, from pursuing such rights and remedies as it may have against the beneficiary or transferee at law or under any other agreement. None of the L/C Issuers, the Administrative Agent, any of their respective Related Parties or any correspondent, participant or assignee of the applicable L/C Issuer will be liable or responsible by reason of or in connection with the issuance or transfer of any Letter of Credit or any payment or failure to make any payment thereunder (irrespective of any of the matters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2.04(e)</w:t>
      </w:r>
      <w:r>
        <w:rPr>
          <w:rFonts w:ascii="Arial" w:cs="Arial" w:eastAsia="Arial" w:hAnsi="Arial"/>
          <w:sz w:val="19"/>
          <w:szCs w:val="19"/>
          <w:color w:val="auto"/>
        </w:rPr>
        <w:t xml:space="preser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the foregoing to the contrary notwithstanding, the Borrower and/or another Subsidiary of the Borrower, as applicable, may have a claim against the applicable L/C Issuer, and the applicable L/C Issuer may be liable to the Borrower or such other Subsidiary of the Borrower, to the extent, but only to the extent, of any direct (as opposed to special, punitive, consequential or exemplary) damages suffered by it and that it proves were caused by (x) such L/C Issuer’s failure to exercise care when</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0" w:name="page161"/>
    <w:bookmarkEnd w:id="160"/>
    <w:p>
      <w:pPr>
        <w:jc w:val="both"/>
        <w:ind w:left="540" w:right="539"/>
        <w:spacing w:after="0" w:line="285" w:lineRule="auto"/>
        <w:rPr>
          <w:sz w:val="20"/>
          <w:szCs w:val="20"/>
          <w:color w:val="auto"/>
        </w:rPr>
      </w:pPr>
      <w:r>
        <w:rPr>
          <w:rFonts w:ascii="Arial" w:cs="Arial" w:eastAsia="Arial" w:hAnsi="Arial"/>
          <w:sz w:val="19"/>
          <w:szCs w:val="19"/>
          <w:color w:val="auto"/>
        </w:rPr>
        <w:t>determining whether drafts and other documents presented under a Letter of Credit comply with the terms thereof or (y) such L/C Issuer’s willful failure to pay or material breach in bad faith under any Letter of Credit after the presentation to it by the beneficiary of a sight draft and certificate(s) strictly complying with the terms and conditions of a Letter of Credit, in each case as determined by a court of competent jurisdiction in a final and nonappealable judgment. The parties hereto expressly agree that, in the absence of willful misconduct, gross negligence or bad faith on the part of an L/C Issuer (with such absence to be presumed unless otherwise determined by a court of competent jurisdiction in a final and nonappealable judgment), such L/C Issuer shall be deemed to have exercised care in each such determination. In furtherance and not in limitation of the foregoing, the applicable L/C Issuer may, in its sole discretion, either accept documents that appear on their face to be in order, without responsibility for further investigation, regardless of any notice or information to the contrary, or refuse to accept and make payment upon such documents if such documents are not in strict compliance with the terms of such Letter of Credit. The applicable L/C Issuer will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3" w:lineRule="exact"/>
        <w:rPr>
          <w:sz w:val="20"/>
          <w:szCs w:val="20"/>
          <w:color w:val="auto"/>
        </w:rPr>
      </w:pPr>
    </w:p>
    <w:p>
      <w:pPr>
        <w:jc w:val="both"/>
        <w:ind w:left="540" w:right="539" w:firstLine="725"/>
        <w:spacing w:after="0" w:line="286" w:lineRule="auto"/>
        <w:tabs>
          <w:tab w:leader="none" w:pos="1836"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applicable L/C Issuer and the Borrower when a Letter of Credit is issued (including any such agreement applicable to an Existing Letter of Credit and those relating to payment of fees of correspondent banks in the case of Letters of Credit denominated in Alternative Currencies), (i) the rules of the ISP will apply to each standby Letter of Credit and (ii) the rules of the UCP will apply to each commercial Letter of Credit. Notwithstanding the foregoing, no L/C Issuer shall be responsible to the Borrower for, and each L/C Issuer’s rights and remedies against the Borrower shall not be impaired by, any action or inaction of such L/C Issuer required under, or expressly authorized under the circumstances by, any applicable law, order, or practice that is required to be applied to any Letter of Credit or this Agreement, including the law or any order of a jurisdiction where such L/C Issuer or the beneficiary of any Letter of Credit is located, the practice stated in the ISP or the UCP,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540" w:right="539" w:firstLine="725"/>
        <w:spacing w:after="0" w:line="257" w:lineRule="auto"/>
        <w:tabs>
          <w:tab w:leader="none" w:pos="1836"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Letter of Credit Fees</w:t>
      </w:r>
      <w:r>
        <w:rPr>
          <w:rFonts w:ascii="Arial" w:cs="Arial" w:eastAsia="Arial" w:hAnsi="Arial"/>
          <w:sz w:val="21"/>
          <w:szCs w:val="21"/>
          <w:color w:val="auto"/>
        </w:rPr>
        <w:t>. The Borrower shall pay to the Administrative Agent, for the account of the Lenders, in accordance with their Applicable Percentages, in US Dollars, a letter of credit fee (the “</w:t>
      </w:r>
      <w:r>
        <w:rPr>
          <w:rFonts w:ascii="Arial" w:cs="Arial" w:eastAsia="Arial" w:hAnsi="Arial"/>
          <w:sz w:val="21"/>
          <w:szCs w:val="21"/>
          <w:u w:val="single" w:color="auto"/>
          <w:color w:val="auto"/>
        </w:rPr>
        <w:t>Letter of Credit Fee</w:t>
      </w:r>
      <w:r>
        <w:rPr>
          <w:rFonts w:ascii="Arial" w:cs="Arial" w:eastAsia="Arial" w:hAnsi="Arial"/>
          <w:sz w:val="21"/>
          <w:szCs w:val="21"/>
          <w:color w:val="auto"/>
        </w:rPr>
        <w:t xml:space="preserve">”) for each Letter of Credit equal to the Applicable Rate times the US Dollar Equivalent of the daily maximum amount then available to be drawn under such Letter of Credit. Each Defaulting Lender shall be entitled to receive Letter of Credit Fees pursuant to this </w:t>
      </w:r>
      <w:r>
        <w:rPr>
          <w:rFonts w:ascii="Arial" w:cs="Arial" w:eastAsia="Arial" w:hAnsi="Arial"/>
          <w:sz w:val="21"/>
          <w:szCs w:val="21"/>
          <w:u w:val="single" w:color="auto"/>
          <w:color w:val="auto"/>
        </w:rPr>
        <w:t>Section 2.04(h)</w:t>
      </w:r>
      <w:r>
        <w:rPr>
          <w:rFonts w:ascii="Arial" w:cs="Arial" w:eastAsia="Arial" w:hAnsi="Arial"/>
          <w:sz w:val="21"/>
          <w:szCs w:val="21"/>
          <w:color w:val="auto"/>
        </w:rPr>
        <w:t xml:space="preserve"> for any period during which such Lender is a Defaulting Lender only to the extent allocable to its Applicable Percentage of the stated amount of Letters of Credit for which it has provided Cash Collateral satisfactory to the applicable L/C Issuer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any Letter of Credit Fees not payable for the account of a Defaulting Lender pursuant to this sentence shall be payable, to the maximum extent permitted by applicable Law, to the other Lenders in accordance with the upward adjustments in their respective Applicable</w:t>
      </w:r>
    </w:p>
    <w:p>
      <w:pPr>
        <w:sectPr>
          <w:pgSz w:w="11900" w:h="16838" w:orient="portrait"/>
          <w:cols w:equalWidth="0" w:num="1">
            <w:col w:w="9019"/>
          </w:cols>
          <w:pgMar w:left="1440" w:top="928"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1" w:name="page162"/>
    <w:bookmarkEnd w:id="161"/>
    <w:p>
      <w:pPr>
        <w:jc w:val="both"/>
        <w:ind w:left="540" w:right="539"/>
        <w:spacing w:after="0" w:line="287" w:lineRule="auto"/>
        <w:rPr>
          <w:sz w:val="20"/>
          <w:szCs w:val="20"/>
          <w:color w:val="auto"/>
        </w:rPr>
      </w:pPr>
      <w:r>
        <w:rPr>
          <w:rFonts w:ascii="Arial" w:cs="Arial" w:eastAsia="Arial" w:hAnsi="Arial"/>
          <w:sz w:val="19"/>
          <w:szCs w:val="19"/>
          <w:color w:val="auto"/>
        </w:rPr>
        <w:t xml:space="preserve">Percentages allocable to such Letter of Credit pursuant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with the balance of such Letter of Credit Fees, if any, payable to the applicable L/C Issuer for its own account.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Letter of Credit Fees shall be (i) due and payable on the fifteenth day following the last Business Day of each March, June, September and December in respect of the most recently-ended quarterly period (or the applicable portion thereof),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200" w:lineRule="exact"/>
        <w:rPr>
          <w:sz w:val="20"/>
          <w:szCs w:val="20"/>
          <w:color w:val="auto"/>
        </w:rPr>
      </w:pPr>
    </w:p>
    <w:p>
      <w:pPr>
        <w:spacing w:after="0" w:line="215" w:lineRule="exact"/>
        <w:rPr>
          <w:sz w:val="20"/>
          <w:szCs w:val="20"/>
          <w:color w:val="auto"/>
        </w:rPr>
      </w:pPr>
    </w:p>
    <w:p>
      <w:pPr>
        <w:jc w:val="both"/>
        <w:ind w:left="540" w:right="539" w:firstLine="725"/>
        <w:spacing w:after="0" w:line="285" w:lineRule="auto"/>
        <w:tabs>
          <w:tab w:leader="none" w:pos="1836"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Fronting Fees and Documentary and Processing Charges Payable to L/C Issuers</w:t>
      </w:r>
      <w:r>
        <w:rPr>
          <w:rFonts w:ascii="Arial" w:cs="Arial" w:eastAsia="Arial" w:hAnsi="Arial"/>
          <w:sz w:val="19"/>
          <w:szCs w:val="19"/>
          <w:color w:val="auto"/>
        </w:rPr>
        <w:t xml:space="preserve">. The Borrower will pay directly to each L/C Issuer for its own account, in US Dollars, a fronting fee with respect to each Letter of Credit issued by it, at the rate per annum separately agreed in writing by the Borrower and such L/C Issuer, computed on the US Dollar Equivalent of the daily maximum amount then available to be drawn under such Letter of Credit. Such fronting fee shall be (i) due and payable on the fifteenth day after the end of each March, June, September and December in respect of the most recently-ended quarterly period (or the applicable portion thereof), commencing with the first such date to occur after the issuance of such Letter of Credit, on the Letter of Credit Expiration Date and thereafter on demand and (ii) computed on a quarterly basis in arrears. For purposes of computing the daily amount available to be drawn under any Letter of Credit, the amount of such Letter of Credit will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In addition, the Borrower will pay directly to each L/C Issuer for its own account, in US Dollars, the customary issuance, presentation, amendment, extension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540" w:right="539" w:firstLine="725"/>
        <w:spacing w:after="0" w:line="287" w:lineRule="auto"/>
        <w:tabs>
          <w:tab w:leader="none" w:pos="1836"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Conflict with Issuer Documents</w:t>
      </w:r>
      <w:r>
        <w:rPr>
          <w:rFonts w:ascii="Arial" w:cs="Arial" w:eastAsia="Arial" w:hAnsi="Arial"/>
          <w:sz w:val="21"/>
          <w:szCs w:val="21"/>
          <w:color w:val="auto"/>
        </w:rPr>
        <w:t>. In the event of any conflict between the terms hereof and the terms of any Issuer Document, the terms hereof will control.</w:t>
      </w:r>
    </w:p>
    <w:p>
      <w:pPr>
        <w:spacing w:after="0" w:line="151" w:lineRule="exact"/>
        <w:rPr>
          <w:rFonts w:ascii="Arial" w:cs="Arial" w:eastAsia="Arial" w:hAnsi="Arial"/>
          <w:sz w:val="21"/>
          <w:szCs w:val="21"/>
          <w:color w:val="auto"/>
        </w:rPr>
      </w:pPr>
    </w:p>
    <w:p>
      <w:pPr>
        <w:jc w:val="both"/>
        <w:ind w:left="540" w:right="539" w:firstLine="725"/>
        <w:spacing w:after="0" w:line="283" w:lineRule="auto"/>
        <w:tabs>
          <w:tab w:leader="none" w:pos="1836"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Reporting</w:t>
      </w:r>
      <w:r>
        <w:rPr>
          <w:rFonts w:ascii="Arial" w:cs="Arial" w:eastAsia="Arial" w:hAnsi="Arial"/>
          <w:sz w:val="19"/>
          <w:szCs w:val="19"/>
          <w:color w:val="auto"/>
        </w:rPr>
        <w:t xml:space="preserve">. Unless otherwise agreed by the Administrative Agent, each L/C Issuer shall report in writing to the Administrative Agent (i) on or prior to each Business Day on which such L/C Issuer issues, amends or extends any Letter of Credit, the date of such issuance, amendment or extension, and the currencies and amounts of the Letters of Credit issued, amended or extended by it and outstanding after giving effect to such issuance, amendment or extension (and whether the amounts thereof shall have changed), it being agreed that such L/C Issuer shall not effect any issuance, extension or amendment resulting in an increase in the amount of any Letter of Credit without first obtaining written confirmation from the Administrative Agent that such issuance, extension or increase would not result in any limit referred to in </w:t>
      </w:r>
      <w:r>
        <w:rPr>
          <w:rFonts w:ascii="Arial" w:cs="Arial" w:eastAsia="Arial" w:hAnsi="Arial"/>
          <w:sz w:val="19"/>
          <w:szCs w:val="19"/>
          <w:u w:val="single" w:color="auto"/>
          <w:color w:val="auto"/>
        </w:rPr>
        <w:t>Section 2</w:t>
      </w:r>
      <w:r>
        <w:rPr>
          <w:rFonts w:ascii="Arial" w:cs="Arial" w:eastAsia="Arial" w:hAnsi="Arial"/>
          <w:sz w:val="19"/>
          <w:szCs w:val="19"/>
          <w:color w:val="auto"/>
        </w:rPr>
        <w:t>.</w:t>
      </w:r>
      <w:r>
        <w:rPr>
          <w:rFonts w:ascii="Arial" w:cs="Arial" w:eastAsia="Arial" w:hAnsi="Arial"/>
          <w:sz w:val="19"/>
          <w:szCs w:val="19"/>
          <w:u w:val="single" w:color="auto"/>
          <w:color w:val="auto"/>
        </w:rPr>
        <w:t>04(a)(i)(A)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being exceeded,</w:t>
      </w:r>
    </w:p>
    <w:p>
      <w:pPr>
        <w:spacing w:after="0" w:line="6" w:lineRule="exact"/>
        <w:rPr>
          <w:rFonts w:ascii="Arial" w:cs="Arial" w:eastAsia="Arial" w:hAnsi="Arial"/>
          <w:sz w:val="19"/>
          <w:szCs w:val="19"/>
          <w:color w:val="auto"/>
        </w:rPr>
      </w:pPr>
    </w:p>
    <w:p>
      <w:pPr>
        <w:jc w:val="both"/>
        <w:ind w:left="540" w:right="539"/>
        <w:spacing w:after="0" w:line="302" w:lineRule="auto"/>
        <w:tabs>
          <w:tab w:leader="none" w:pos="85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on each Business Day on which such L/C Issuer makes any disbursement in respect of a Letter of Credit drawing, the date, currency and amount of such disbursement, (iii) on any Business Day on which a Borrower fails to reimburse a Letter of Credit drawing</w:t>
      </w:r>
    </w:p>
    <w:p>
      <w:pPr>
        <w:sectPr>
          <w:pgSz w:w="11900" w:h="16838" w:orient="portrait"/>
          <w:cols w:equalWidth="0" w:num="1">
            <w:col w:w="9019"/>
          </w:cols>
          <w:pgMar w:left="1440" w:top="928" w:right="1440" w:bottom="1440" w:gutter="0" w:footer="0" w:header="0"/>
        </w:sect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2" w:name="page163"/>
    <w:bookmarkEnd w:id="162"/>
    <w:p>
      <w:pPr>
        <w:jc w:val="both"/>
        <w:ind w:left="540" w:right="539"/>
        <w:spacing w:after="0" w:line="250" w:lineRule="auto"/>
        <w:rPr>
          <w:sz w:val="20"/>
          <w:szCs w:val="20"/>
          <w:color w:val="auto"/>
        </w:rPr>
      </w:pPr>
      <w:r>
        <w:rPr>
          <w:rFonts w:ascii="Arial" w:cs="Arial" w:eastAsia="Arial" w:hAnsi="Arial"/>
          <w:sz w:val="22"/>
          <w:szCs w:val="22"/>
          <w:color w:val="auto"/>
        </w:rPr>
        <w:t>required to be reimbursed to such L/C Issuer on such day, the date of such failure and the currency and amount of such Letter of Credit drawing and (iv) on any other Business Day, such other information as the Administrative Agent shall reasonably request as to the Letters of Credit issued by such L/C Issuer.</w:t>
      </w:r>
    </w:p>
    <w:p>
      <w:pPr>
        <w:spacing w:after="0" w:line="188" w:lineRule="exact"/>
        <w:rPr>
          <w:sz w:val="20"/>
          <w:szCs w:val="20"/>
          <w:color w:val="auto"/>
        </w:rPr>
      </w:pPr>
    </w:p>
    <w:p>
      <w:pPr>
        <w:jc w:val="both"/>
        <w:ind w:left="540" w:right="539" w:firstLine="725"/>
        <w:spacing w:after="0" w:line="286" w:lineRule="auto"/>
        <w:tabs>
          <w:tab w:leader="none" w:pos="183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is in support of any obligations of, or is for the account of, any other Subsidiary of the Borrower, or states that a Subsidiary is the “account party”, “applicant,” “customer,” “instructing party,” or the like of or for such Letter of Credit, and without derogating from any rights of the applicable L/C Issuer (whether arising by contract, at law, in equity or otherwise) against such Subsidiary in respect of such Letter of Credit, the Borrower shall be obligated to reimburse, indemnify and compensate the applicable L/C Issuer hereunder for any and all drawings under such Letter of Credit (and the Borrower hereby irrevocably waives any defenses that might otherwise be available to it as a guarantor or surety of the obligations of any such Subsidiary in respect of any such Letter of Credit). The Borrower hereby acknowledges that the issuance of Letters of Credit for the account of any other Subsidiary of the Borrower inures to the benefit of the Borrower, and that the Borrower’s business derives substantial benefits from the businesses of such Subsidiaries.</w:t>
      </w:r>
    </w:p>
    <w:p>
      <w:pPr>
        <w:spacing w:after="0" w:line="200" w:lineRule="exact"/>
        <w:rPr>
          <w:sz w:val="20"/>
          <w:szCs w:val="20"/>
          <w:color w:val="auto"/>
        </w:rPr>
      </w:pPr>
    </w:p>
    <w:p>
      <w:pPr>
        <w:spacing w:after="0" w:line="222" w:lineRule="exact"/>
        <w:rPr>
          <w:sz w:val="20"/>
          <w:szCs w:val="20"/>
          <w:color w:val="auto"/>
        </w:rPr>
      </w:pPr>
    </w:p>
    <w:p>
      <w:pPr>
        <w:jc w:val="both"/>
        <w:ind w:left="540" w:right="559" w:firstLine="648"/>
        <w:spacing w:after="0" w:line="284"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Prepayments</w:t>
      </w:r>
      <w:r>
        <w:rPr>
          <w:rFonts w:ascii="Arial" w:cs="Arial" w:eastAsia="Arial" w:hAnsi="Arial"/>
          <w:sz w:val="19"/>
          <w:szCs w:val="19"/>
          <w:color w:val="auto"/>
        </w:rPr>
        <w:t xml:space="preserve">. (a) The Borrower may, by hand delivery, fax or e-mail of a Prepayment Notice, appropriately completed and signed by a Responsible Officer of the Borrower, to the Administrative Agent, at any time or from time to time voluntarily prepay any Committed Borrowing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Prepayment Notice must be received by the Administrative Agent not later than 11:00 a.m., Local Time, (A) three (3) Business Days prior to any date of prepayment of any Eurocurrency Rate Committed Borrowing denominated in US Dollars (or such shorter period of time as may be agreed to by the Administrative Agent),</w:t>
      </w:r>
    </w:p>
    <w:p>
      <w:pPr>
        <w:spacing w:after="0" w:line="2" w:lineRule="exact"/>
        <w:rPr>
          <w:sz w:val="20"/>
          <w:szCs w:val="20"/>
          <w:color w:val="auto"/>
        </w:rPr>
      </w:pPr>
    </w:p>
    <w:p>
      <w:pPr>
        <w:jc w:val="both"/>
        <w:ind w:left="540" w:right="559"/>
        <w:spacing w:after="0" w:line="287" w:lineRule="auto"/>
        <w:tabs>
          <w:tab w:leader="none" w:pos="90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four (4) Business Days (or five (5) Business Days, in the case of prepayment of any Eurocurrency Rate Committed Borrowing denominated in Special Notice Currencies) (or such shorter period of time as may be agreed to by the Administrative Agent) prior to the date of prepayment of any Eurocurrency Rate Committed Borrowing denominated in Alternative Currencies, and (C) on the date of prepayment of any Base Rate Committed Borrowing and (ii) any prepayment of Committed Loans must be in an aggregate amount that is an integral multiple of the Borrowing Multiple and not less than the Borrowing Minimum for the applicable currency or, in each case, if less, the entire principal amount thereof then outstanding.</w:t>
      </w:r>
    </w:p>
    <w:p>
      <w:pPr>
        <w:spacing w:after="0" w:line="200" w:lineRule="exact"/>
        <w:rPr>
          <w:sz w:val="20"/>
          <w:szCs w:val="20"/>
          <w:color w:val="auto"/>
        </w:rPr>
      </w:pPr>
    </w:p>
    <w:p>
      <w:pPr>
        <w:spacing w:after="0" w:line="216" w:lineRule="exact"/>
        <w:rPr>
          <w:sz w:val="20"/>
          <w:szCs w:val="20"/>
          <w:color w:val="auto"/>
        </w:rPr>
      </w:pPr>
    </w:p>
    <w:p>
      <w:pPr>
        <w:jc w:val="both"/>
        <w:ind w:left="540" w:right="479" w:firstLine="635"/>
        <w:spacing w:after="0" w:line="288" w:lineRule="auto"/>
        <w:rPr>
          <w:sz w:val="20"/>
          <w:szCs w:val="20"/>
          <w:color w:val="auto"/>
        </w:rPr>
      </w:pPr>
      <w:r>
        <w:rPr>
          <w:rFonts w:ascii="Arial" w:cs="Arial" w:eastAsia="Arial" w:hAnsi="Arial"/>
          <w:sz w:val="19"/>
          <w:szCs w:val="19"/>
          <w:color w:val="auto"/>
        </w:rPr>
        <w:t xml:space="preserve">Each Prepayment Notice shall specify the prepayment date, the Committed Borrowing or Committed Borrowings to be prepaid and the principal amount of each Committed Borrowing or portion thereof to be prepaid. The Administrative Agent will promptly notify each Lender of its receipt of each Prepayment Notice, and of the amount of such Lender’s Applicable Percentage of such prepayment of any Committed Borrowing. If a Prepayment Notice is given by the Borrower, it will make such prepayment and the payment amount specified in such notice will be due and payable on the date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such Prepayment Notice may state that it is conditioned upon the occurrence of one or more events specified therein, in which case such Prepayment Notice may be revoked by the Borrower (by notice to the Administrative Agent</w:t>
      </w:r>
    </w:p>
    <w:p>
      <w:pPr>
        <w:sectPr>
          <w:pgSz w:w="11900" w:h="16838" w:orient="portrait"/>
          <w:cols w:equalWidth="0" w:num="1">
            <w:col w:w="9019"/>
          </w:cols>
          <w:pgMar w:left="1440" w:top="928" w:right="1440" w:bottom="1440" w:gutter="0" w:footer="0" w:header="0"/>
        </w:sectPr>
      </w:pP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3" w:name="page164"/>
    <w:bookmarkEnd w:id="163"/>
    <w:p>
      <w:pPr>
        <w:jc w:val="both"/>
        <w:ind w:left="540" w:right="459"/>
        <w:spacing w:after="0" w:line="259" w:lineRule="auto"/>
        <w:rPr>
          <w:sz w:val="20"/>
          <w:szCs w:val="20"/>
          <w:color w:val="auto"/>
        </w:rPr>
      </w:pPr>
      <w:r>
        <w:rPr>
          <w:rFonts w:ascii="Arial" w:cs="Arial" w:eastAsia="Arial" w:hAnsi="Arial"/>
          <w:sz w:val="21"/>
          <w:szCs w:val="21"/>
          <w:color w:val="auto"/>
        </w:rPr>
        <w:t xml:space="preserve">on or prior to the specified date of prepayment) if such condition is not satisfied and, in the case of such revocation, the Borrower shall not be required to make such prepayment and such prepayment amount shall cease to be due and payable. Any prepayment of a Committed Loan shall, to the extent required by </w:t>
      </w:r>
      <w:r>
        <w:rPr>
          <w:rFonts w:ascii="Arial" w:cs="Arial" w:eastAsia="Arial" w:hAnsi="Arial"/>
          <w:sz w:val="21"/>
          <w:szCs w:val="21"/>
          <w:u w:val="single" w:color="auto"/>
          <w:color w:val="auto"/>
        </w:rPr>
        <w:t>Section 2.08(d)</w:t>
      </w:r>
      <w:r>
        <w:rPr>
          <w:rFonts w:ascii="Arial" w:cs="Arial" w:eastAsia="Arial" w:hAnsi="Arial"/>
          <w:sz w:val="21"/>
          <w:szCs w:val="21"/>
          <w:color w:val="auto"/>
        </w:rPr>
        <w:t xml:space="preserve">, be accompanied by all accrued interest on the amount prepaid and, in the case of any prepayment of Eurocurrency Rate Committed Loans on any day other than on the last day of the Interest Period applicable thereto, shall be subject to </w:t>
      </w:r>
      <w:r>
        <w:rPr>
          <w:rFonts w:ascii="Arial" w:cs="Arial" w:eastAsia="Arial" w:hAnsi="Arial"/>
          <w:sz w:val="21"/>
          <w:szCs w:val="21"/>
          <w:u w:val="single" w:color="auto"/>
          <w:color w:val="auto"/>
        </w:rPr>
        <w:t>Section 3.05</w:t>
      </w:r>
      <w:r>
        <w:rPr>
          <w:rFonts w:ascii="Arial" w:cs="Arial" w:eastAsia="Arial" w:hAnsi="Arial"/>
          <w:sz w:val="21"/>
          <w:szCs w:val="21"/>
          <w:color w:val="auto"/>
        </w:rPr>
        <w:t>. Each prepayment of a Committed Borrowing shall be applied ratably to the Committed Loans comprising the prepaid Committed Borrowing.</w:t>
      </w:r>
    </w:p>
    <w:p>
      <w:pPr>
        <w:spacing w:after="0" w:line="179" w:lineRule="exact"/>
        <w:rPr>
          <w:sz w:val="20"/>
          <w:szCs w:val="20"/>
          <w:color w:val="auto"/>
        </w:rPr>
      </w:pPr>
    </w:p>
    <w:p>
      <w:pPr>
        <w:ind w:left="1840" w:hanging="575"/>
        <w:spacing w:after="0"/>
        <w:tabs>
          <w:tab w:leader="none" w:pos="184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No Bid Loan may be prepaid without the prior consent of the applicable Bid</w:t>
      </w:r>
    </w:p>
    <w:p>
      <w:pPr>
        <w:spacing w:after="0" w:line="55"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Loan Lender.</w:t>
      </w:r>
    </w:p>
    <w:p>
      <w:pPr>
        <w:spacing w:after="0" w:line="201" w:lineRule="exact"/>
        <w:rPr>
          <w:rFonts w:ascii="Arial" w:cs="Arial" w:eastAsia="Arial" w:hAnsi="Arial"/>
          <w:sz w:val="19"/>
          <w:szCs w:val="19"/>
          <w:color w:val="auto"/>
        </w:rPr>
      </w:pPr>
    </w:p>
    <w:p>
      <w:pPr>
        <w:jc w:val="both"/>
        <w:ind w:left="540" w:right="539" w:firstLine="725"/>
        <w:spacing w:after="0" w:line="285" w:lineRule="auto"/>
        <w:tabs>
          <w:tab w:leader="none" w:pos="18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If the Administrative Agent notifies the Borrower at any time that the Total Outstandings at such time exceed the Aggregate Commitments then in effect, then, no later than the next Business Day after receipt of such notice, the Borrower shall prepay Committed Borrowings (and, if no Committed Borrowings are outstanding, shall deposit Cash Collateral in respect of L/C Obligations) in an aggregate amount equal to the lesser of</w:t>
      </w:r>
    </w:p>
    <w:p>
      <w:pPr>
        <w:spacing w:after="0" w:line="3" w:lineRule="exact"/>
        <w:rPr>
          <w:rFonts w:ascii="Arial" w:cs="Arial" w:eastAsia="Arial" w:hAnsi="Arial"/>
          <w:sz w:val="19"/>
          <w:szCs w:val="19"/>
          <w:color w:val="auto"/>
        </w:rPr>
      </w:pPr>
    </w:p>
    <w:p>
      <w:pPr>
        <w:ind w:left="540" w:right="539"/>
        <w:spacing w:after="0" w:line="246" w:lineRule="auto"/>
        <w:tabs>
          <w:tab w:leader="none" w:pos="81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amount necessary to eliminate such excess and (ii) the Total Outstandings (less the US Dollar Equivalent of Bid Loans then outstanding).</w:t>
      </w:r>
    </w:p>
    <w:p>
      <w:pPr>
        <w:spacing w:after="0" w:line="192" w:lineRule="exact"/>
        <w:rPr>
          <w:rFonts w:ascii="Arial" w:cs="Arial" w:eastAsia="Arial" w:hAnsi="Arial"/>
          <w:sz w:val="22"/>
          <w:szCs w:val="22"/>
          <w:color w:val="auto"/>
        </w:rPr>
      </w:pPr>
    </w:p>
    <w:p>
      <w:pPr>
        <w:jc w:val="both"/>
        <w:ind w:left="540" w:right="539" w:firstLine="725"/>
        <w:spacing w:after="0" w:line="287" w:lineRule="auto"/>
        <w:tabs>
          <w:tab w:leader="none" w:pos="183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the Administrative Agent notifies the Borrower at any time that the Outstanding Amount of all Loans and all Letters of Credit denominated in an Alternative Currency or a Discretionary Alternative Currency at such time exceeds an amount equal to 105% of the Alternative Currency Sublimit then in effect, then, within two (2) Business Days after receipt of such notice, the Borrower shall prepay Committed Borrowings denominated in an Alternative Currency (and, if no Committed Borrowings denominated in an Alternative Currency are outstanding, shall deposit Cash Collateral in respect of Letters of Credit denominated in an Alternative Currency) in an aggregate amount equal to the lesser of (i) the amount necessary to eliminate such excess and (ii) the sum of the Outstanding Amount of such Committed Borrowings and the Outstanding Amount of the L/C Obligations in respect of such Letters of Credit.</w:t>
      </w:r>
    </w:p>
    <w:p>
      <w:pPr>
        <w:spacing w:after="0" w:line="163" w:lineRule="exact"/>
        <w:rPr>
          <w:sz w:val="20"/>
          <w:szCs w:val="20"/>
          <w:color w:val="auto"/>
        </w:rPr>
      </w:pPr>
    </w:p>
    <w:p>
      <w:pPr>
        <w:jc w:val="both"/>
        <w:ind w:left="540" w:right="559" w:firstLine="648"/>
        <w:spacing w:after="0" w:line="285"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Termination or Reduction of Commitments</w:t>
      </w:r>
      <w:r>
        <w:rPr>
          <w:rFonts w:ascii="Arial" w:cs="Arial" w:eastAsia="Arial" w:hAnsi="Arial"/>
          <w:sz w:val="19"/>
          <w:szCs w:val="19"/>
          <w:color w:val="auto"/>
        </w:rPr>
        <w:t xml:space="preserve">. Unless previously terminated, the Commitments shall terminate on the Maturity Date. The Borrower may, upon written notice to the Administrative Agent, terminate the Aggregate Commitments, or from time to time permanently reduce the Aggregate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such notice must be received by the Administrative Agent not later than 11:00 a.m., New York City time, three (3) Business Days prior to the date of termination or reduction (or such shorter period of time as may be agreed to by the Administrative Agent), (b) any such partial reduction will be in an aggregate amount of $5,000,000 or any whole multiple of $1,000,000 in excess thereof, (c) the Borrower will not terminate or reduce the Aggregate Commitments if, after giving effect thereto and to any concurrent prepayments hereunder, (A) the Outstanding Amount of the Committed Loans of any Lender, plus the Outstanding Amount of such Lender’s Bid Loans plus such Lender’s Applicable Percentage of the Outstanding Amount of all L/C Obligations would exceed its Commitment or (B) the Total Outstandings would exceed the Aggregate Commitments, unless, in each of cases (A) and (B), the Total Outstandings consist solely of the Outstanding Amount of L/C Obligations and the Borrower has concurrently Cash</w:t>
      </w:r>
    </w:p>
    <w:p>
      <w:pPr>
        <w:sectPr>
          <w:pgSz w:w="11900" w:h="16838" w:orient="portrait"/>
          <w:cols w:equalWidth="0" w:num="1">
            <w:col w:w="9019"/>
          </w:cols>
          <w:pgMar w:left="1440" w:top="928" w:right="1440" w:bottom="1440" w:gutter="0" w:footer="0" w:header="0"/>
        </w:sect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4" w:name="page165"/>
    <w:bookmarkEnd w:id="164"/>
    <w:p>
      <w:pPr>
        <w:jc w:val="both"/>
        <w:ind w:left="540" w:right="459"/>
        <w:spacing w:after="0" w:line="285" w:lineRule="auto"/>
        <w:rPr>
          <w:sz w:val="20"/>
          <w:szCs w:val="20"/>
          <w:color w:val="auto"/>
        </w:rPr>
      </w:pPr>
      <w:r>
        <w:rPr>
          <w:rFonts w:ascii="Arial" w:cs="Arial" w:eastAsia="Arial" w:hAnsi="Arial"/>
          <w:sz w:val="19"/>
          <w:szCs w:val="19"/>
          <w:color w:val="auto"/>
        </w:rPr>
        <w:t xml:space="preserve">Collateralized the Outstanding Amount of L/C Obligations and (d) if, after giving effect to any reduction of the Aggregate Commitments, the Alternative Currency Sublimit or the Letter of Credit Sublimit exceeds the amount of the Aggregate Commitments, such sublimit shall automatically be reduced by the amount of such excess. Each notice delivered by the Borrower pursuant to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Aggregate Commitments delivered by the Borrower may state that such notice is conditioned upon the occurrence of one or more events specified therein, in which case such notice may be revoked by the Borrower (by notice to the Administrative Agent prior to the specified date of termination) if such condition is not satisfied and, in the case of such revocation, such termination will not be effective. Promptly following receipt of any notice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the Administrative Agent will notify the Lenders of the details thereof. Any partial reduction of the Aggregate Commitments will be applied to the Commitment of each Lender according to its Applicable Percentage. Any termination or reduction of the Commitments shall be permanent. All Unused Commitment Fees accrued through the date of any termination or reduction of the Commitments (in the case of any reduction, in respect of the aggregate amount of the Commitments subject to such reduction) shall be payable on the date of such termination or reduction. Except as otherwise set forth above, the amount of any such Aggregate Commitment reduction will not be applied to the Alternative Currency Sublimit or the Letter of Credit Sublimit unless otherwise specified by the Borrower.</w:t>
      </w:r>
    </w:p>
    <w:p>
      <w:pPr>
        <w:spacing w:after="0" w:line="200" w:lineRule="exact"/>
        <w:rPr>
          <w:sz w:val="20"/>
          <w:szCs w:val="20"/>
          <w:color w:val="auto"/>
        </w:rPr>
      </w:pPr>
    </w:p>
    <w:p>
      <w:pPr>
        <w:spacing w:after="0" w:line="216"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Repayment of Loans</w:t>
      </w:r>
      <w:r>
        <w:rPr>
          <w:rFonts w:ascii="Arial" w:cs="Arial" w:eastAsia="Arial" w:hAnsi="Arial"/>
          <w:sz w:val="22"/>
          <w:szCs w:val="22"/>
          <w:color w:val="auto"/>
        </w:rPr>
        <w:t>. (a) The Borrower will repay to the Administrative Agent, for the account of the Lenders, on the Maturity Date the aggregate principal amount of Committed Loans outstanding on such date.</w:t>
      </w:r>
    </w:p>
    <w:p>
      <w:pPr>
        <w:spacing w:after="0" w:line="185" w:lineRule="exact"/>
        <w:rPr>
          <w:sz w:val="20"/>
          <w:szCs w:val="20"/>
          <w:color w:val="auto"/>
        </w:rPr>
      </w:pPr>
    </w:p>
    <w:p>
      <w:pPr>
        <w:jc w:val="both"/>
        <w:ind w:left="540" w:right="539" w:firstLine="725"/>
        <w:spacing w:after="0" w:line="253" w:lineRule="auto"/>
        <w:tabs>
          <w:tab w:leader="none" w:pos="183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Borrower shall repay to the Administrative Agent, for the account of the applicable Bid Loan Lender, each Bid Loan on the last day of the Interest Period in respect thereof.</w:t>
      </w:r>
    </w:p>
    <w:p>
      <w:pPr>
        <w:spacing w:after="0" w:line="185"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(a) Subject to the provisions of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 each Eurocurrency Rate Committed Loan denominated in US Dollars will bear interest on the outstanding principal amount thereof for each Interest Period at a rate per annum equal to the Adjusted Eurocurrency Rate for such Interest Period plus the Applicable Rate, (ii) each Eurocurrency Rate Committed Loan denominated in an Alternative Currency will bear interest on the outstanding principal amount thereof for each Interest Period at a rate per annum equal to the Eurocurrency Rate for such Interest Period plus the Applicable Rate, (iii) each Base Rate Committed Loan will bear interest on the outstanding principal amount thereof at a rate per annum equal to the Base Rate plus the Applicable Rate and (iv) each Bid Loan shall bear interest on the outstanding principal amount thereof for the Interest Period therefor at a rate per annum determined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63" w:lineRule="exact"/>
        <w:rPr>
          <w:sz w:val="20"/>
          <w:szCs w:val="20"/>
          <w:color w:val="auto"/>
        </w:rPr>
      </w:pPr>
    </w:p>
    <w:p>
      <w:pPr>
        <w:jc w:val="both"/>
        <w:ind w:left="540" w:right="539" w:firstLine="725"/>
        <w:spacing w:after="0" w:line="292" w:lineRule="auto"/>
        <w:tabs>
          <w:tab w:leader="none" w:pos="183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(including any Unreimbursed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w:t>
      </w:r>
      <w:r>
        <w:rPr>
          <w:rFonts w:ascii="Arial" w:cs="Arial" w:eastAsia="Arial" w:hAnsi="Arial"/>
          <w:sz w:val="19"/>
          <w:szCs w:val="19"/>
          <w:u w:val="single" w:color="auto"/>
          <w:color w:val="auto"/>
        </w:rPr>
        <w:t>Section 2.08(a)</w:t>
      </w:r>
      <w:r>
        <w:rPr>
          <w:rFonts w:ascii="Arial" w:cs="Arial" w:eastAsia="Arial" w:hAnsi="Arial"/>
          <w:sz w:val="19"/>
          <w:szCs w:val="19"/>
          <w:color w:val="auto"/>
        </w:rPr>
        <w:t xml:space="preserve"> or (ii) in the case of any other amount, (A) in the case of any such amount denominated in US Dollars, 2.00%</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5" w:name="page166"/>
    <w:bookmarkEnd w:id="165"/>
    <w:p>
      <w:pPr>
        <w:jc w:val="both"/>
        <w:ind w:left="540" w:right="539"/>
        <w:spacing w:after="0" w:line="250" w:lineRule="auto"/>
        <w:rPr>
          <w:sz w:val="20"/>
          <w:szCs w:val="20"/>
          <w:color w:val="auto"/>
        </w:rPr>
      </w:pPr>
      <w:r>
        <w:rPr>
          <w:rFonts w:ascii="Arial" w:cs="Arial" w:eastAsia="Arial" w:hAnsi="Arial"/>
          <w:sz w:val="22"/>
          <w:szCs w:val="22"/>
          <w:color w:val="auto"/>
        </w:rPr>
        <w:t xml:space="preserve">per annum plus the rate applicable to Base Rate Committed Loans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2.08(a)</w:t>
      </w:r>
      <w:r>
        <w:rPr>
          <w:rFonts w:ascii="Arial" w:cs="Arial" w:eastAsia="Arial" w:hAnsi="Arial"/>
          <w:sz w:val="22"/>
          <w:szCs w:val="22"/>
          <w:color w:val="auto"/>
        </w:rPr>
        <w:t xml:space="preserve"> and (B) in the case of any such amount denominated in any other currency, 2.00% per annum plus the Overnight Rate for such currency plus the Applicable Rate for Eurocurrency Rate Committed Loans.</w:t>
      </w:r>
    </w:p>
    <w:p>
      <w:pPr>
        <w:spacing w:after="0" w:line="188" w:lineRule="exact"/>
        <w:rPr>
          <w:sz w:val="20"/>
          <w:szCs w:val="20"/>
          <w:color w:val="auto"/>
        </w:rPr>
      </w:pPr>
    </w:p>
    <w:p>
      <w:pPr>
        <w:ind w:left="540" w:right="539" w:firstLine="725"/>
        <w:spacing w:after="0" w:line="263" w:lineRule="auto"/>
        <w:tabs>
          <w:tab w:leader="none" w:pos="183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74" w:lineRule="exact"/>
        <w:rPr>
          <w:rFonts w:ascii="Arial" w:cs="Arial" w:eastAsia="Arial" w:hAnsi="Arial"/>
          <w:sz w:val="22"/>
          <w:szCs w:val="22"/>
          <w:color w:val="auto"/>
        </w:rPr>
      </w:pPr>
    </w:p>
    <w:p>
      <w:pPr>
        <w:jc w:val="both"/>
        <w:ind w:left="540" w:right="539" w:firstLine="725"/>
        <w:spacing w:after="0" w:line="287" w:lineRule="auto"/>
        <w:tabs>
          <w:tab w:leader="none" w:pos="183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Interest on each Loan will be due and payable in arrears on each Interest Payment Date applicable thereto, at such other times as may be specified herein and upon termination of the Aggregate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event of any repayment or prepayment of any Loan (other than a prepayment of a Base Rate Committed Loan prior to the end of the Availability Period), accrued interest on the principal amount repaid or prepaid shall be payable on the date of such repayment or prepayment and (ii) in the event of any conversion of any Eurocurrency Rate Loan prior to the end of the current Interest Period therefor, accrued interest on such Loan shall be payable on the effective date of such conversion. All interest shall be payable in the currency in which the applicable Loan is denominated. Interest hereunder will be due and payable in accordance with the terms hereof before and after judgment, and before and after the commencement of any proceeding under any Debtor Relief Law.</w:t>
      </w:r>
    </w:p>
    <w:p>
      <w:pPr>
        <w:spacing w:after="0" w:line="159" w:lineRule="exact"/>
        <w:rPr>
          <w:sz w:val="20"/>
          <w:szCs w:val="20"/>
          <w:color w:val="auto"/>
        </w:rPr>
      </w:pPr>
    </w:p>
    <w:p>
      <w:pPr>
        <w:ind w:left="1180"/>
        <w:spacing w:after="0"/>
        <w:tabs>
          <w:tab w:leader="none" w:pos="3120" w:val="left"/>
          <w:tab w:leader="none" w:pos="382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22"/>
          <w:szCs w:val="22"/>
          <w:u w:val="single" w:color="auto"/>
          <w:color w:val="auto"/>
        </w:rPr>
        <w:t>Fees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xml:space="preserve">In addition to certain fees described in </w:t>
      </w:r>
      <w:r>
        <w:rPr>
          <w:rFonts w:ascii="Arial" w:cs="Arial" w:eastAsia="Arial" w:hAnsi="Arial"/>
          <w:sz w:val="22"/>
          <w:szCs w:val="22"/>
          <w:u w:val="single" w:color="auto"/>
          <w:color w:val="auto"/>
        </w:rPr>
        <w:t>Sections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2.04(h)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2.04(i)</w:t>
      </w:r>
      <w:r>
        <w:rPr>
          <w:rFonts w:ascii="Arial" w:cs="Arial" w:eastAsia="Arial" w:hAnsi="Arial"/>
          <w:sz w:val="22"/>
          <w:szCs w:val="22"/>
          <w:color w:val="auto"/>
        </w:rPr>
        <w:t>:</w:t>
      </w:r>
    </w:p>
    <w:p>
      <w:pPr>
        <w:spacing w:after="0" w:line="202" w:lineRule="exact"/>
        <w:rPr>
          <w:sz w:val="20"/>
          <w:szCs w:val="20"/>
          <w:color w:val="auto"/>
        </w:rPr>
      </w:pPr>
    </w:p>
    <w:p>
      <w:pPr>
        <w:jc w:val="both"/>
        <w:ind w:left="540" w:right="539" w:firstLine="725"/>
        <w:spacing w:after="0" w:line="286" w:lineRule="auto"/>
        <w:tabs>
          <w:tab w:leader="none" w:pos="183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Unused Commitment Fee</w:t>
      </w:r>
      <w:r>
        <w:rPr>
          <w:rFonts w:ascii="Arial" w:cs="Arial" w:eastAsia="Arial" w:hAnsi="Arial"/>
          <w:sz w:val="19"/>
          <w:szCs w:val="19"/>
          <w:color w:val="auto"/>
        </w:rPr>
        <w:t xml:space="preserve">. The Borrower shall pay to the Administrative Agent, for the account of each Lender (subject to </w:t>
      </w:r>
      <w:r>
        <w:rPr>
          <w:rFonts w:ascii="Arial" w:cs="Arial" w:eastAsia="Arial" w:hAnsi="Arial"/>
          <w:sz w:val="19"/>
          <w:szCs w:val="19"/>
          <w:u w:val="single" w:color="auto"/>
          <w:color w:val="auto"/>
        </w:rPr>
        <w:t>Section 2.16</w:t>
      </w:r>
      <w:r>
        <w:rPr>
          <w:rFonts w:ascii="Arial" w:cs="Arial" w:eastAsia="Arial" w:hAnsi="Arial"/>
          <w:sz w:val="19"/>
          <w:szCs w:val="19"/>
          <w:color w:val="auto"/>
        </w:rPr>
        <w:t>, in the case of any Defaulting Lender), an unused commitment fee (collectively, the “</w:t>
      </w:r>
      <w:r>
        <w:rPr>
          <w:rFonts w:ascii="Arial" w:cs="Arial" w:eastAsia="Arial" w:hAnsi="Arial"/>
          <w:sz w:val="19"/>
          <w:szCs w:val="19"/>
          <w:u w:val="single" w:color="auto"/>
          <w:color w:val="auto"/>
        </w:rPr>
        <w:t>Unused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in US Dollars equal to the Applicable Rate times the actual daily amount by which the Commitment of such Lender exceeds the sum of the Outstanding Amount of all the Committed Loans of such Lender and its Applicable Percentage of the Outstanding Amount of all the L/C Obligations. The Unused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met, and shall be due and payable quarterly in arrears on the fifteenth day following the last day of each March, June, September and December, commencing with the first such date to occur after the Effective Date, and on the last day of the Availability Period. The Unused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540" w:right="539" w:firstLine="725"/>
        <w:spacing w:after="0" w:line="250" w:lineRule="auto"/>
        <w:tabs>
          <w:tab w:leader="none" w:pos="183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The Borrower will pay to the Arrangers and the Administrative Agent, for their own respective accounts, in US Dollars, fees in the amounts and at the times separately agreed in writing by the Borrower and the Arrangers or the Administrative Agent, as the case may be.</w:t>
      </w:r>
    </w:p>
    <w:p>
      <w:pPr>
        <w:spacing w:after="0" w:line="187" w:lineRule="exact"/>
        <w:rPr>
          <w:rFonts w:ascii="Arial" w:cs="Arial" w:eastAsia="Arial" w:hAnsi="Arial"/>
          <w:sz w:val="22"/>
          <w:szCs w:val="22"/>
          <w:color w:val="auto"/>
        </w:rPr>
      </w:pPr>
    </w:p>
    <w:p>
      <w:pPr>
        <w:jc w:val="both"/>
        <w:ind w:left="540" w:right="539" w:firstLine="725"/>
        <w:spacing w:after="0" w:line="312" w:lineRule="auto"/>
        <w:tabs>
          <w:tab w:leader="none" w:pos="183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fees payable hereunder shall be paid on the dates due, in US Dollars in immediately available funds, to the Administrative Agent (or to the Arrangers or the applicable L/C Issuer, in the case of fees payable to it) for distribution, in the case of</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6" w:name="page167"/>
    <w:bookmarkEnd w:id="166"/>
    <w:p>
      <w:pPr>
        <w:jc w:val="both"/>
        <w:ind w:left="540" w:right="539"/>
        <w:spacing w:after="0" w:line="343" w:lineRule="auto"/>
        <w:rPr>
          <w:sz w:val="20"/>
          <w:szCs w:val="20"/>
          <w:color w:val="auto"/>
        </w:rPr>
      </w:pPr>
      <w:r>
        <w:rPr>
          <w:rFonts w:ascii="Arial" w:cs="Arial" w:eastAsia="Arial" w:hAnsi="Arial"/>
          <w:sz w:val="19"/>
          <w:szCs w:val="19"/>
          <w:color w:val="auto"/>
        </w:rPr>
        <w:t>Unused Commitment Fees and Letter of Credit Fees, to the Lenders entitled thereto. All fees will be fully earned when paid and will not be refundable for any reason whatsoever.</w:t>
      </w:r>
    </w:p>
    <w:p>
      <w:pPr>
        <w:spacing w:after="0" w:line="104" w:lineRule="exact"/>
        <w:rPr>
          <w:sz w:val="20"/>
          <w:szCs w:val="20"/>
          <w:color w:val="auto"/>
        </w:rPr>
      </w:pPr>
    </w:p>
    <w:p>
      <w:pPr>
        <w:jc w:val="both"/>
        <w:ind w:left="540" w:right="559" w:firstLine="648"/>
        <w:spacing w:after="0" w:line="285"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 xml:space="preserve">. All computations of interest for Base Rate Loans when the Base Rate is determined by reference to the Prime Rate and any Alternative Currency Loan (or any other currency with respect to which it is customary to compute interest on the basis of a year of 365 or 366 days, as the case may be) will be made on the basis of a year of 365 or, solely in the case of such Base Rate Loans (or any such other currency), 366 days, as the case may be, and actual days elapsed. All other computations of fees and interest will be made on the basis of a 360-day year and actual days elapsed (which results in more fees or interest, as applicable, being paid than if computed on the basis of a 365-day year), or, in the case of interest in respect of Loans denominated in Alternative Currencies and Discretionary Alternative Currencies as to which market practice differs from the foregoing, in accordance with such market practice, as expressly agreed by the Borrower and the Administrative Agent. Interest will accrue on each Loan for the day on which the Loan is made, and will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will, subject to </w:t>
      </w:r>
      <w:r>
        <w:rPr>
          <w:rFonts w:ascii="Arial" w:cs="Arial" w:eastAsia="Arial" w:hAnsi="Arial"/>
          <w:sz w:val="19"/>
          <w:szCs w:val="19"/>
          <w:u w:val="single" w:color="auto"/>
          <w:color w:val="auto"/>
        </w:rPr>
        <w:t>Section 2.12(a)</w:t>
      </w:r>
      <w:r>
        <w:rPr>
          <w:rFonts w:ascii="Arial" w:cs="Arial" w:eastAsia="Arial" w:hAnsi="Arial"/>
          <w:sz w:val="19"/>
          <w:szCs w:val="19"/>
          <w:color w:val="auto"/>
        </w:rPr>
        <w:t>, bear interest for one day. Each determination by the Administrative Agent of an interest rate or fee hereunder will be conclusive and binding for all purposes, absent manifest error.</w:t>
      </w:r>
    </w:p>
    <w:p>
      <w:pPr>
        <w:spacing w:after="0" w:line="166" w:lineRule="exact"/>
        <w:rPr>
          <w:sz w:val="20"/>
          <w:szCs w:val="20"/>
          <w:color w:val="auto"/>
        </w:rPr>
      </w:pPr>
    </w:p>
    <w:p>
      <w:pPr>
        <w:jc w:val="both"/>
        <w:ind w:left="540" w:right="539" w:firstLine="648"/>
        <w:spacing w:after="0" w:line="284"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Evidence of Debt</w:t>
      </w:r>
      <w:r>
        <w:rPr>
          <w:rFonts w:ascii="Arial" w:cs="Arial" w:eastAsia="Arial" w:hAnsi="Arial"/>
          <w:sz w:val="19"/>
          <w:szCs w:val="19"/>
          <w:color w:val="auto"/>
        </w:rPr>
        <w:t>. (a) The Credit Extensions made by each Lender will be evidenced by one or more accounts or records maintained by such Lender and by the Administrative Agent in the ordinary course of business. The accounts or records maintained by the Administrative Agent and each Lender will be conclusive absent manifest error of the amount of the Credit Extensions made by the Lenders to the Borrower and the interest and payments thereon. Any failure to so record or any error in doing so will not, however, limit or otherwise affect the obligation of the Borrower hereunder to pay any amount owing with respect to the Obligations. The Administrative Agent will provide to the Borrower, upon their request, a statement of Loans, payments and other transactions pursuant to this Agreement. Such statement will be deemed correct, accurate, and binding on the Borrower (except for corrections and errors discovered by the Administrative Agent), unless the Borrower notifies the Administrative Agent in writing to the contrary within thirty (30) days after such statement is rendered. In the event a timely written notice of objections is given by the Borrower, only the items to which exception is expressly made will be considered to be disputed by the Borrower. In the event of any conflict between the accounts and records maintained by any Lender and the accounts and records of the Administrative Agent in respect of such matters, the accounts and records of the Administrative Agent will control in the absence of manifest error. Upon the request of any Lender to the Borrower made through the Administrative Agent, the Borrower will execute and deliver to such Lender (through the Administrative Agent) a Note, which will evidence such Lender’s Loans to the Borrower in addition to such accounts or records. Each Lender may attach schedules to a Note and endorse thereon the date, Type (if applicable), amount, currency and maturity of its Loans and payments with respect thereto.</w:t>
      </w:r>
    </w:p>
    <w:p>
      <w:pPr>
        <w:spacing w:after="0" w:line="200" w:lineRule="exact"/>
        <w:rPr>
          <w:sz w:val="20"/>
          <w:szCs w:val="20"/>
          <w:color w:val="auto"/>
        </w:rPr>
      </w:pPr>
    </w:p>
    <w:p>
      <w:pPr>
        <w:spacing w:after="0" w:line="228" w:lineRule="exact"/>
        <w:rPr>
          <w:sz w:val="20"/>
          <w:szCs w:val="20"/>
          <w:color w:val="auto"/>
        </w:rPr>
      </w:pPr>
    </w:p>
    <w:p>
      <w:pPr>
        <w:jc w:val="both"/>
        <w:ind w:left="540" w:right="539" w:firstLine="725"/>
        <w:spacing w:after="0" w:line="312" w:lineRule="auto"/>
        <w:tabs>
          <w:tab w:leader="none" w:pos="183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In addition to the accounts and records referred to in </w:t>
      </w:r>
      <w:r>
        <w:rPr>
          <w:rFonts w:ascii="Arial" w:cs="Arial" w:eastAsia="Arial" w:hAnsi="Arial"/>
          <w:sz w:val="19"/>
          <w:szCs w:val="19"/>
          <w:u w:val="single" w:color="auto"/>
          <w:color w:val="auto"/>
        </w:rPr>
        <w:t>Section 2.11(a)</w:t>
      </w:r>
      <w:r>
        <w:rPr>
          <w:rFonts w:ascii="Arial" w:cs="Arial" w:eastAsia="Arial" w:hAnsi="Arial"/>
          <w:sz w:val="19"/>
          <w:szCs w:val="19"/>
          <w:color w:val="auto"/>
        </w:rPr>
        <w:t>, each Lender and the Administrative Agent will maintain in accordance with its usual practice accounts or records evidencing the purchases and sales by such Lender of participations in</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7" w:name="page168"/>
    <w:bookmarkEnd w:id="167"/>
    <w:p>
      <w:pPr>
        <w:jc w:val="both"/>
        <w:ind w:left="540" w:right="539"/>
        <w:spacing w:after="0" w:line="250" w:lineRule="auto"/>
        <w:rPr>
          <w:sz w:val="20"/>
          <w:szCs w:val="20"/>
          <w:color w:val="auto"/>
        </w:rPr>
      </w:pPr>
      <w:r>
        <w:rPr>
          <w:rFonts w:ascii="Arial" w:cs="Arial" w:eastAsia="Arial" w:hAnsi="Arial"/>
          <w:sz w:val="22"/>
          <w:szCs w:val="22"/>
          <w:color w:val="auto"/>
        </w:rPr>
        <w:t>Letters of Credit. In the event of any conflict between the accounts and records maintained by the Administrative Agent and the accounts and records of any Lender in respect of such matters, the accounts and records of the Administrative Agent will control in the absence of manifest error.</w:t>
      </w:r>
    </w:p>
    <w:p>
      <w:pPr>
        <w:spacing w:after="0" w:line="188" w:lineRule="exact"/>
        <w:rPr>
          <w:sz w:val="20"/>
          <w:szCs w:val="20"/>
          <w:color w:val="auto"/>
        </w:rPr>
      </w:pPr>
    </w:p>
    <w:p>
      <w:pPr>
        <w:ind w:left="1180"/>
        <w:spacing w:after="0"/>
        <w:tabs>
          <w:tab w:leader="none" w:pos="3120" w:val="left"/>
          <w:tab w:leader="none" w:pos="6840" w:val="left"/>
          <w:tab w:leader="none" w:pos="7260" w:val="left"/>
          <w:tab w:leader="none" w:pos="81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22"/>
          <w:szCs w:val="22"/>
          <w:u w:val="single" w:color="auto"/>
          <w:color w:val="auto"/>
        </w:rPr>
        <w:t>Payments Generally; Agent’ Clawback</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General</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All</w:t>
      </w:r>
    </w:p>
    <w:p>
      <w:pPr>
        <w:spacing w:after="0" w:line="21" w:lineRule="exact"/>
        <w:rPr>
          <w:sz w:val="20"/>
          <w:szCs w:val="20"/>
          <w:color w:val="auto"/>
        </w:rPr>
      </w:pPr>
    </w:p>
    <w:p>
      <w:pPr>
        <w:jc w:val="both"/>
        <w:ind w:left="540" w:right="559"/>
        <w:spacing w:after="0" w:line="283" w:lineRule="auto"/>
        <w:rPr>
          <w:sz w:val="20"/>
          <w:szCs w:val="20"/>
          <w:color w:val="auto"/>
        </w:rPr>
      </w:pPr>
      <w:r>
        <w:rPr>
          <w:rFonts w:ascii="Arial" w:cs="Arial" w:eastAsia="Arial" w:hAnsi="Arial"/>
          <w:sz w:val="19"/>
          <w:szCs w:val="19"/>
          <w:color w:val="auto"/>
        </w:rPr>
        <w:t xml:space="preserve">payments to be made by the Borrower will be made without condition or deduction for any counterclaim, defense, recoupment or setoff. Except as otherwise expressly provided herein (including the next succeeding sentence), all payments by the Borrower hereunder will be made to the Administrative Agent, for the account of the Lenders to which such payments are due, except that (i) payments pursuant to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w:t>
      </w:r>
      <w:r>
        <w:rPr>
          <w:rFonts w:ascii="Arial" w:cs="Arial" w:eastAsia="Arial" w:hAnsi="Arial"/>
          <w:sz w:val="19"/>
          <w:szCs w:val="19"/>
          <w:u w:val="single" w:color="auto"/>
          <w:color w:val="auto"/>
        </w:rPr>
        <w:t>04</w:t>
      </w:r>
      <w:r>
        <w:rPr>
          <w:rFonts w:ascii="Arial" w:cs="Arial" w:eastAsia="Arial" w:hAnsi="Arial"/>
          <w:sz w:val="19"/>
          <w:szCs w:val="19"/>
          <w:color w:val="auto"/>
        </w:rPr>
        <w:t xml:space="preserve"> shall be made directly to the Persons entitled thereto, and payments to be made directly to an L/C Issuer as expressly provided herein shall be so made, in each case in US Dollars and in Same Day Funds not later than 1:00 p.m., Local Time, on the date specified herein and (ii) all other payments under each Loan Document (including all fees) shall be made in US Dollars. Except as otherwise expressly provided herein, all payments by the Borrower hereunder with respect to principal and interest on Loans denominated in an Alternative Currency or a Discretionary Alternative Currency or on Loans denominated in US Dollars that are Eurocurrency Rate Loans will be made to the Administrative Agent, for the account of the Lenders to which such payments are due, in the currency of the applicable Loan in Same Day Funds, not later than 1:00 p.m., Local Time (or, in the case of Loans denominated in any Discretionary Alternative Currency, not later than the Applicable Time) on the dates specified herein. All such payments to the Administrative Agent shall be made to such account as may be specified by the Administrative Agent.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or a Discretionary Alternative Currency, it will make such payment in US Dollars in the US Dollar Equivalent of the Alternative Currency or the Discretionary Alternative Currency payment amount. The Administrative Agent shall distribute any such payment received by it for the account of any other Person to the appropriate recipient promptly following receipt thereof. All payments received by the Administrative Agent</w:t>
      </w:r>
    </w:p>
    <w:p>
      <w:pPr>
        <w:spacing w:after="0" w:line="228" w:lineRule="exact"/>
        <w:rPr>
          <w:sz w:val="20"/>
          <w:szCs w:val="20"/>
          <w:color w:val="auto"/>
        </w:rPr>
      </w:pPr>
    </w:p>
    <w:p>
      <w:pPr>
        <w:jc w:val="both"/>
        <w:ind w:left="540" w:right="559"/>
        <w:spacing w:after="0" w:line="286" w:lineRule="auto"/>
        <w:tabs>
          <w:tab w:leader="none" w:pos="91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after 1:00 p.m., Local Time, in the case of payments in US Dollars or an Alternative Currency, or (B) after the Applicable Time in the case of payments in a Discretionary Alternative Currency will, in each case, be deemed received on the next succeeding Business Day and any applicable interest or fee will continue to accrue. If any payment to be made by the Borrower will come due on a day that is not a Business Day, payment will be made on the next following Business Day, except (x) as otherwise set forth in the definition of “Interest Period” or “Maturity Date”, (y) that no payment will extend past the end of the Availability Period or (z) as otherwise agreed between the Borrower and Bid Loan Lender with respect to a Bid Loan, and such extension of time will be reflected in computing interest or fees, as the case may be.</w:t>
      </w:r>
    </w:p>
    <w:p>
      <w:pPr>
        <w:spacing w:after="0" w:line="159" w:lineRule="exact"/>
        <w:rPr>
          <w:rFonts w:ascii="Arial" w:cs="Arial" w:eastAsia="Arial" w:hAnsi="Arial"/>
          <w:sz w:val="19"/>
          <w:szCs w:val="19"/>
          <w:color w:val="auto"/>
        </w:rPr>
      </w:pPr>
    </w:p>
    <w:p>
      <w:pPr>
        <w:jc w:val="both"/>
        <w:ind w:left="540" w:right="539" w:firstLine="725"/>
        <w:spacing w:after="0" w:line="297" w:lineRule="auto"/>
        <w:tabs>
          <w:tab w:leader="none" w:pos="1836"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Funding by Lenders; Presumption by the Administrative Agent</w:t>
      </w:r>
      <w:r>
        <w:rPr>
          <w:rFonts w:ascii="Arial" w:cs="Arial" w:eastAsia="Arial" w:hAnsi="Arial"/>
          <w:sz w:val="19"/>
          <w:szCs w:val="19"/>
          <w:color w:val="auto"/>
        </w:rPr>
        <w:t>. (i) Unless the Administrative Agent will have received notice from a Lender prior to the proposed date of any Committed Borrowing that such Lender will not make available to the Administrative Agent such Lender’s share of such Committed Borrowing, the Administrative Agent may assume that such Lender has made such share available on such</w:t>
      </w:r>
    </w:p>
    <w:p>
      <w:pPr>
        <w:sectPr>
          <w:pgSz w:w="11900" w:h="16838" w:orient="portrait"/>
          <w:cols w:equalWidth="0" w:num="1">
            <w:col w:w="9019"/>
          </w:cols>
          <w:pgMar w:left="1440" w:top="928" w:right="1440" w:bottom="144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8" w:name="page169"/>
    <w:bookmarkEnd w:id="168"/>
    <w:p>
      <w:pPr>
        <w:jc w:val="both"/>
        <w:ind w:left="540" w:right="539"/>
        <w:spacing w:after="0" w:line="285" w:lineRule="auto"/>
        <w:rPr>
          <w:sz w:val="20"/>
          <w:szCs w:val="20"/>
          <w:color w:val="auto"/>
        </w:rPr>
      </w:pPr>
      <w:r>
        <w:rPr>
          <w:rFonts w:ascii="Arial" w:cs="Arial" w:eastAsia="Arial" w:hAnsi="Arial"/>
          <w:sz w:val="19"/>
          <w:szCs w:val="19"/>
          <w:color w:val="auto"/>
        </w:rPr>
        <w:t xml:space="preserve">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and may, in reliance upon such assumption, make available to the Borrower a corresponding amount. In such event, if a Lender has not in fact made its share of the applicable Committed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(x) if denominated in US Dollars, the interest rate applicable to Base Rate Committed Loans and (y) if denominated in an Alternative Currency, the interest rate applicable to the subject Loan. If the Borrower and such Lender shall pay such interest to the Administrative Agent for the same or an overlapping period, the Administrative Agent will promptly remit to the Borrower the amount of such interest paid by the Borrower for such period. If such Lender pays its share of the applicable Committed Borrowing to the Administrative Agent, then the amount so paid will constitute such Lender’s Committed Loan included in such Committed Borrowing. Any payment by the Borrower will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16" w:lineRule="exact"/>
        <w:rPr>
          <w:sz w:val="20"/>
          <w:szCs w:val="20"/>
          <w:color w:val="auto"/>
        </w:rPr>
      </w:pPr>
    </w:p>
    <w:p>
      <w:pPr>
        <w:jc w:val="both"/>
        <w:ind w:left="1180" w:right="539" w:firstLine="656"/>
        <w:spacing w:after="0" w:line="286" w:lineRule="auto"/>
        <w:tabs>
          <w:tab w:leader="none" w:pos="2476"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Payments by the Borrower; Presumptions by the Administrative Agent</w:t>
      </w:r>
      <w:r>
        <w:rPr>
          <w:rFonts w:ascii="Arial" w:cs="Arial" w:eastAsia="Arial" w:hAnsi="Arial"/>
          <w:sz w:val="19"/>
          <w:szCs w:val="19"/>
          <w:color w:val="auto"/>
        </w:rPr>
        <w:t>. Unless the Administrative Agent will have received notice from the Borrower prior to the date on which any payment is due to the Administrative Agent for the account of the Lenders or an L/C Issuer hereunder that the Borrower will not make such payment, the Administrative Agent may assume that the Borrower has made such payment on such date in accordance herewith and may, in reliance upon such assumption, distribute to the Lenders or such L/C Issuer, as the case may be, the amount due. In such event, if the Borrower has not in fact made such payment, then each of the Lenders or such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 plus any administrative, processing or similar fees customarily charged by the Administrative Agent in connection with the foregoing.</w:t>
      </w:r>
    </w:p>
    <w:p>
      <w:pPr>
        <w:spacing w:after="0" w:line="158" w:lineRule="exact"/>
        <w:rPr>
          <w:rFonts w:ascii="Arial" w:cs="Arial" w:eastAsia="Arial" w:hAnsi="Arial"/>
          <w:sz w:val="19"/>
          <w:szCs w:val="19"/>
          <w:color w:val="auto"/>
        </w:rPr>
      </w:pPr>
    </w:p>
    <w:p>
      <w:pPr>
        <w:jc w:val="both"/>
        <w:ind w:left="1180" w:right="539" w:firstLine="656"/>
        <w:spacing w:after="0" w:line="253" w:lineRule="auto"/>
        <w:tabs>
          <w:tab w:leader="none" w:pos="247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A notice of the Administrative Agent to any Lender or the Borrower with respect to any amount owing under this </w:t>
      </w:r>
      <w:r>
        <w:rPr>
          <w:rFonts w:ascii="Arial" w:cs="Arial" w:eastAsia="Arial" w:hAnsi="Arial"/>
          <w:sz w:val="22"/>
          <w:szCs w:val="22"/>
          <w:u w:val="single" w:color="auto"/>
          <w:color w:val="auto"/>
        </w:rPr>
        <w:t>Section 2.12(b)</w:t>
      </w:r>
      <w:r>
        <w:rPr>
          <w:rFonts w:ascii="Arial" w:cs="Arial" w:eastAsia="Arial" w:hAnsi="Arial"/>
          <w:sz w:val="22"/>
          <w:szCs w:val="22"/>
          <w:color w:val="auto"/>
        </w:rPr>
        <w:t xml:space="preserve"> will be conclusive, absent manifest error.</w:t>
      </w:r>
    </w:p>
    <w:p>
      <w:pPr>
        <w:spacing w:after="0" w:line="185" w:lineRule="exact"/>
        <w:rPr>
          <w:rFonts w:ascii="Arial" w:cs="Arial" w:eastAsia="Arial" w:hAnsi="Arial"/>
          <w:sz w:val="22"/>
          <w:szCs w:val="22"/>
          <w:color w:val="auto"/>
        </w:rPr>
      </w:pPr>
    </w:p>
    <w:p>
      <w:pPr>
        <w:jc w:val="both"/>
        <w:ind w:left="540" w:right="539" w:firstLine="725"/>
        <w:spacing w:after="0" w:line="292" w:lineRule="auto"/>
        <w:tabs>
          <w:tab w:leader="none" w:pos="183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Failure to Satisfy Conditions Precedent</w:t>
      </w:r>
      <w:r>
        <w:rPr>
          <w:rFonts w:ascii="Arial" w:cs="Arial" w:eastAsia="Arial" w:hAnsi="Arial"/>
          <w:sz w:val="19"/>
          <w:szCs w:val="19"/>
          <w:color w:val="auto"/>
        </w:rPr>
        <w:t xml:space="preserve">. In the event that any Lender made available to the Administrative Agent funds for any Loan to be made by such Lender to the Borrower as provided in the foregoing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such funds are not made available to the Borrower by the Administrative Agent because the conditions to the applicable Credit Extension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not satisfied (or waived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the Administrative Agent shall return such funds (in like funds as received from such Lender) to such Lender, without interest.</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69" w:name="page170"/>
    <w:bookmarkEnd w:id="169"/>
    <w:p>
      <w:pPr>
        <w:jc w:val="both"/>
        <w:ind w:left="540" w:right="539" w:firstLine="725"/>
        <w:spacing w:after="0" w:line="292" w:lineRule="auto"/>
        <w:tabs>
          <w:tab w:leader="none" w:pos="1836"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on any date required hereunder will not relieve any other Lender of its corresponding obligation to do so on such date, and no Lender will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left="540" w:right="539" w:firstLine="725"/>
        <w:spacing w:after="0" w:line="260" w:lineRule="auto"/>
        <w:tabs>
          <w:tab w:leader="none" w:pos="1836"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Funding Source</w:t>
      </w:r>
      <w:r>
        <w:rPr>
          <w:rFonts w:ascii="Arial" w:cs="Arial" w:eastAsia="Arial" w:hAnsi="Arial"/>
          <w:sz w:val="21"/>
          <w:szCs w:val="21"/>
          <w:color w:val="auto"/>
        </w:rPr>
        <w:t xml:space="preserve">. Nothing herein will be deemed to obligate any Lender to obtain the funds for any Loan in any particular place or manner or to constitute a representation by any Lender that it has obtained or will obtain the funds for any Loan in any particular place or manner. Each Lender at its option may make any Loan by causing any domestic or foreign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Borrower to repay such Loan in accordance with the terms of this Agreement.</w:t>
      </w:r>
    </w:p>
    <w:p>
      <w:pPr>
        <w:spacing w:after="0" w:line="180" w:lineRule="exact"/>
        <w:rPr>
          <w:sz w:val="20"/>
          <w:szCs w:val="20"/>
          <w:color w:val="auto"/>
        </w:rPr>
      </w:pPr>
    </w:p>
    <w:p>
      <w:pPr>
        <w:jc w:val="both"/>
        <w:ind w:left="540" w:right="539" w:firstLine="648"/>
        <w:spacing w:after="0" w:line="28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shall, by exercising any right of setoff or counterclaim or otherwise, obtain payment in respect of any principal of or interest on any of the Committed Loans made by it, or the participations in L/C Obligations held by it, resulting in such Lender’s receiving payment of a proportion of the aggregate amount of such Committed Loans or such participations and accrued interest thereon greater than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as provided herein, then the Lender receiving such greater proportion will (a) notify the Administrative Agent of such fact and</w:t>
      </w:r>
    </w:p>
    <w:p>
      <w:pPr>
        <w:spacing w:after="0" w:line="4" w:lineRule="exact"/>
        <w:rPr>
          <w:sz w:val="20"/>
          <w:szCs w:val="20"/>
          <w:color w:val="auto"/>
        </w:rPr>
      </w:pPr>
    </w:p>
    <w:p>
      <w:pPr>
        <w:jc w:val="both"/>
        <w:ind w:left="540" w:right="539"/>
        <w:spacing w:after="0" w:line="292" w:lineRule="auto"/>
        <w:tabs>
          <w:tab w:leader="none" w:pos="93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purchase (for cash at face value) participations in the Committed Loans and subparticipations in L/C Obligations of the other Lenders, or make such other adjustments as will be equitable, so that the benefit of all such payments will be shared by the Lenders ratably in accordance with the aggregate amounts of principal of and accrued interest on their respective Committed Loans and such participations held by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1" w:lineRule="exact"/>
        <w:rPr>
          <w:rFonts w:ascii="Arial" w:cs="Arial" w:eastAsia="Arial" w:hAnsi="Arial"/>
          <w:sz w:val="19"/>
          <w:szCs w:val="19"/>
          <w:color w:val="auto"/>
        </w:rPr>
      </w:pPr>
    </w:p>
    <w:p>
      <w:pPr>
        <w:jc w:val="both"/>
        <w:ind w:left="1180" w:right="539" w:firstLine="656"/>
        <w:spacing w:after="0" w:line="250" w:lineRule="auto"/>
        <w:tabs>
          <w:tab w:leader="none" w:pos="2476" w:val="left"/>
        </w:tabs>
        <w:numPr>
          <w:ilvl w:val="2"/>
          <w:numId w:val="116"/>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will be rescinded and the purchase price restored to the extent of such recovery, without interest; and</w:t>
      </w:r>
    </w:p>
    <w:p>
      <w:pPr>
        <w:spacing w:after="0" w:line="187" w:lineRule="exact"/>
        <w:rPr>
          <w:rFonts w:ascii="Arial" w:cs="Arial" w:eastAsia="Arial" w:hAnsi="Arial"/>
          <w:sz w:val="22"/>
          <w:szCs w:val="22"/>
          <w:color w:val="auto"/>
        </w:rPr>
      </w:pPr>
    </w:p>
    <w:p>
      <w:pPr>
        <w:ind w:left="2480" w:hanging="644"/>
        <w:spacing w:after="0"/>
        <w:tabs>
          <w:tab w:leader="none" w:pos="2480" w:val="left"/>
        </w:tabs>
        <w:numPr>
          <w:ilvl w:val="2"/>
          <w:numId w:val="116"/>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will not be construed to apply to</w:t>
      </w:r>
    </w:p>
    <w:p>
      <w:pPr>
        <w:spacing w:after="0" w:line="55" w:lineRule="exact"/>
        <w:rPr>
          <w:rFonts w:ascii="Arial" w:cs="Arial" w:eastAsia="Arial" w:hAnsi="Arial"/>
          <w:sz w:val="19"/>
          <w:szCs w:val="19"/>
          <w:color w:val="auto"/>
        </w:rPr>
      </w:pPr>
    </w:p>
    <w:p>
      <w:pPr>
        <w:jc w:val="both"/>
        <w:ind w:left="1180" w:right="539" w:firstLine="8"/>
        <w:spacing w:after="0" w:line="257" w:lineRule="auto"/>
        <w:tabs>
          <w:tab w:leader="none" w:pos="1568" w:val="left"/>
        </w:tabs>
        <w:numPr>
          <w:ilvl w:val="1"/>
          <w:numId w:val="116"/>
        </w:numPr>
        <w:rPr>
          <w:rFonts w:ascii="Arial" w:cs="Arial" w:eastAsia="Arial" w:hAnsi="Arial"/>
          <w:sz w:val="21"/>
          <w:szCs w:val="21"/>
          <w:color w:val="auto"/>
        </w:rPr>
      </w:pPr>
      <w:r>
        <w:rPr>
          <w:rFonts w:ascii="Arial" w:cs="Arial" w:eastAsia="Arial" w:hAnsi="Arial"/>
          <w:sz w:val="21"/>
          <w:szCs w:val="21"/>
          <w:color w:val="auto"/>
        </w:rPr>
        <w:t xml:space="preserve">any payment made by the Borrower pursuant to and in accordance with the express terms of this Agreement (for the avoidance of doubt, as in effect from time to time), including the application of funds arising from the existence of a Defaulting Lender, (B) the application of Cash Collateral provided for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or (C) any payment obtained by a Lender as consideration for the assignment of or sale of a participation in any of its Committed Loans or subparticipations in L/C Obligations to any Eligible Assignee or Participant.</w:t>
      </w:r>
    </w:p>
    <w:p>
      <w:pPr>
        <w:spacing w:after="0" w:line="183" w:lineRule="exact"/>
        <w:rPr>
          <w:sz w:val="20"/>
          <w:szCs w:val="20"/>
          <w:color w:val="auto"/>
        </w:rPr>
      </w:pPr>
    </w:p>
    <w:p>
      <w:pPr>
        <w:jc w:val="both"/>
        <w:ind w:left="540" w:right="479" w:firstLine="635"/>
        <w:spacing w:after="0" w:line="248"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Laws, that any Lender acquiring a participation or subparticipation pursuant to the foregoing arrangements may exercise against such Loan Party rights of setoff and counterclaim with respect to such participation or subparticipation as fully as if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70" w:name="page171"/>
    <w:bookmarkEnd w:id="170"/>
    <w:p>
      <w:pPr>
        <w:ind w:left="540" w:right="479"/>
        <w:spacing w:after="0" w:line="263" w:lineRule="auto"/>
        <w:rPr>
          <w:sz w:val="20"/>
          <w:szCs w:val="20"/>
          <w:color w:val="auto"/>
        </w:rPr>
      </w:pPr>
      <w:r>
        <w:rPr>
          <w:rFonts w:ascii="Arial" w:cs="Arial" w:eastAsia="Arial" w:hAnsi="Arial"/>
          <w:sz w:val="22"/>
          <w:szCs w:val="22"/>
          <w:color w:val="auto"/>
        </w:rPr>
        <w:t>Lender were a direct creditor of such Loan Party in the amount of such participation or subparticipation.</w:t>
      </w:r>
    </w:p>
    <w:p>
      <w:pPr>
        <w:spacing w:after="0" w:line="175" w:lineRule="exact"/>
        <w:rPr>
          <w:sz w:val="20"/>
          <w:szCs w:val="20"/>
          <w:color w:val="auto"/>
        </w:rPr>
      </w:pPr>
    </w:p>
    <w:p>
      <w:pPr>
        <w:jc w:val="both"/>
        <w:ind w:left="540" w:right="559" w:firstLine="648"/>
        <w:spacing w:after="0" w:line="300"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Expansion Option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Request for Increase</w:t>
      </w:r>
      <w:r>
        <w:rPr>
          <w:rFonts w:ascii="Arial" w:cs="Arial" w:eastAsia="Arial" w:hAnsi="Arial"/>
          <w:sz w:val="19"/>
          <w:szCs w:val="19"/>
          <w:color w:val="auto"/>
        </w:rPr>
        <w:t>. Upon written notice to the Administrative Agent (which will promptly notify the Lenders), the Borrower may from time to time request an increase in the Aggregate Commitments or enter into one or more tranches of term loans (each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in each case by an amount (in the aggregate for all such requests) not exceeding the sum of (i) $250,000,000, plus (ii) an unlimited amount so long as the Consolidated Leverage Ratio (calculated on a pro forma basis and assuming any such increased commitment is fully drawn and excluding the cash proceeds of any borrowing under any such increase not applied promptly for the specified transaction in connection with such incurrence upon receipt thereof) is not greater than 0.25:1.00 above the Consolidated Leverage Ratio in effect immediately prior to giving effect to such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request for an increase or Incremental Term Loan will be in a minimum amount of $25,000,000. At the time of sending such notice, the Borrower (in consultation with the Administrative Agent) will specify the time period within which each Lender is requested to respond (which will in no event be less than ten (10) Business Days from the date of delivery of such notice to the Lenders). Nothing contained in this Section 2.14 shall constitute, or otherwise be deemed to be, a commitment on the part of any Lender to increase its Commitment hereunder, or provide Incremental Term Loans, at any time.</w:t>
      </w:r>
    </w:p>
    <w:p>
      <w:pPr>
        <w:spacing w:after="0" w:line="366" w:lineRule="exact"/>
        <w:rPr>
          <w:sz w:val="20"/>
          <w:szCs w:val="20"/>
          <w:color w:val="auto"/>
        </w:rPr>
      </w:pPr>
    </w:p>
    <w:p>
      <w:pPr>
        <w:jc w:val="both"/>
        <w:ind w:left="540" w:right="539" w:firstLine="725"/>
        <w:spacing w:after="0" w:line="246" w:lineRule="auto"/>
        <w:tabs>
          <w:tab w:leader="none" w:pos="183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Lender Elections</w:t>
      </w:r>
      <w:r>
        <w:rPr>
          <w:rFonts w:ascii="Arial" w:cs="Arial" w:eastAsia="Arial" w:hAnsi="Arial"/>
          <w:sz w:val="22"/>
          <w:szCs w:val="22"/>
          <w:color w:val="auto"/>
        </w:rPr>
        <w:t>. Each Lender will notify the Administrative Agent within such time period whether or not it agrees to increase its Commitment or participate in such Incremental Term Loans, which decision shall be in such Lender’s sole discretion, and, if so, whether by an amount equal to, greater than, or less than its Applicable Percentage of such requested increase or tranche. Any Lender not responding within such time period will be deemed to have declined to increase its Commitment or participate in the Incremental Term Loans.</w:t>
      </w:r>
    </w:p>
    <w:p>
      <w:pPr>
        <w:spacing w:after="0" w:line="196" w:lineRule="exact"/>
        <w:rPr>
          <w:rFonts w:ascii="Arial" w:cs="Arial" w:eastAsia="Arial" w:hAnsi="Arial"/>
          <w:sz w:val="22"/>
          <w:szCs w:val="22"/>
          <w:color w:val="auto"/>
        </w:rPr>
      </w:pPr>
    </w:p>
    <w:p>
      <w:pPr>
        <w:jc w:val="both"/>
        <w:ind w:left="540" w:right="539" w:firstLine="725"/>
        <w:spacing w:after="0" w:line="248" w:lineRule="auto"/>
        <w:tabs>
          <w:tab w:leader="none" w:pos="183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Notification by Administrative Agent; Additional Lenders</w:t>
      </w:r>
      <w:r>
        <w:rPr>
          <w:rFonts w:ascii="Arial" w:cs="Arial" w:eastAsia="Arial" w:hAnsi="Arial"/>
          <w:sz w:val="22"/>
          <w:szCs w:val="22"/>
          <w:color w:val="auto"/>
        </w:rPr>
        <w:t>. The Administrative Agent will notify the Borrower and each Lender of the Lenders’ responses to each request made hereunder. To achieve the full amount of a requested increase or tranche, the Borrower may also invite additional Eligible Assignees to become Lenders pursuant to an Incremental Joinder Agreement.</w:t>
      </w:r>
    </w:p>
    <w:p>
      <w:pPr>
        <w:spacing w:after="0" w:line="191" w:lineRule="exact"/>
        <w:rPr>
          <w:rFonts w:ascii="Arial" w:cs="Arial" w:eastAsia="Arial" w:hAnsi="Arial"/>
          <w:sz w:val="22"/>
          <w:szCs w:val="22"/>
          <w:color w:val="auto"/>
        </w:rPr>
      </w:pPr>
    </w:p>
    <w:p>
      <w:pPr>
        <w:jc w:val="both"/>
        <w:ind w:left="540" w:right="539" w:firstLine="725"/>
        <w:spacing w:after="0" w:line="294" w:lineRule="auto"/>
        <w:tabs>
          <w:tab w:leader="none" w:pos="183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Effective Date and Allocations</w:t>
      </w:r>
      <w:r>
        <w:rPr>
          <w:rFonts w:ascii="Arial" w:cs="Arial" w:eastAsia="Arial" w:hAnsi="Arial"/>
          <w:sz w:val="19"/>
          <w:szCs w:val="19"/>
          <w:color w:val="auto"/>
        </w:rPr>
        <w:t xml:space="preserve">. If the Aggregate Commitments are increased or a tranche of Incremental Term Loans are established in accordance with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Administrative Agent and the Borrower will determine the effective date (the “</w:t>
      </w:r>
      <w:r>
        <w:rPr>
          <w:rFonts w:ascii="Arial" w:cs="Arial" w:eastAsia="Arial" w:hAnsi="Arial"/>
          <w:sz w:val="19"/>
          <w:szCs w:val="19"/>
          <w:u w:val="single" w:color="auto"/>
          <w:color w:val="auto"/>
        </w:rPr>
        <w:t>Incremental Effective Date</w:t>
      </w:r>
      <w:r>
        <w:rPr>
          <w:rFonts w:ascii="Arial" w:cs="Arial" w:eastAsia="Arial" w:hAnsi="Arial"/>
          <w:sz w:val="19"/>
          <w:szCs w:val="19"/>
          <w:color w:val="auto"/>
        </w:rPr>
        <w:t>”) and the final allocation of such increase or tranche. The Administrative Agent will promptly notify the Borrower and the Lenders of the final allocation of such increase or tranche and the Incremental Effective Date.</w:t>
      </w:r>
    </w:p>
    <w:p>
      <w:pPr>
        <w:spacing w:after="0" w:line="149" w:lineRule="exact"/>
        <w:rPr>
          <w:rFonts w:ascii="Arial" w:cs="Arial" w:eastAsia="Arial" w:hAnsi="Arial"/>
          <w:sz w:val="19"/>
          <w:szCs w:val="19"/>
          <w:color w:val="auto"/>
        </w:rPr>
      </w:pPr>
    </w:p>
    <w:p>
      <w:pPr>
        <w:jc w:val="both"/>
        <w:ind w:left="540" w:right="539" w:firstLine="725"/>
        <w:spacing w:after="0" w:line="302" w:lineRule="auto"/>
        <w:tabs>
          <w:tab w:leader="none" w:pos="183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w:t>
      </w:r>
      <w:r>
        <w:rPr>
          <w:rFonts w:ascii="Arial" w:cs="Arial" w:eastAsia="Arial" w:hAnsi="Arial"/>
          <w:sz w:val="19"/>
          <w:szCs w:val="19"/>
          <w:color w:val="auto"/>
        </w:rPr>
        <w:t>. As a condition precedent to such increase or tranche, the Borrower will deliver to the Administrative Agent (i) a certificate dated as of the Incremental Effective Date signed by a Responsible Officer of the Borrower certifying that, before and after giving effect to such increase or tranche, (A) the representations and</w:t>
      </w:r>
    </w:p>
    <w:p>
      <w:pPr>
        <w:sectPr>
          <w:pgSz w:w="11900" w:h="16838" w:orient="portrait"/>
          <w:cols w:equalWidth="0" w:num="1">
            <w:col w:w="9019"/>
          </w:cols>
          <w:pgMar w:left="1440" w:top="928" w:right="1440"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603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1" w:name="page172"/>
    <w:bookmarkEnd w:id="171"/>
    <w:p>
      <w:pPr>
        <w:jc w:val="both"/>
        <w:ind w:left="540" w:right="539"/>
        <w:spacing w:after="0" w:line="283" w:lineRule="auto"/>
        <w:rPr>
          <w:sz w:val="20"/>
          <w:szCs w:val="20"/>
          <w:color w:val="auto"/>
        </w:rPr>
      </w:pPr>
      <w:r>
        <w:rPr>
          <w:rFonts w:ascii="Arial" w:cs="Arial" w:eastAsia="Arial" w:hAnsi="Arial"/>
          <w:sz w:val="19"/>
          <w:szCs w:val="19"/>
          <w:color w:val="auto"/>
        </w:rPr>
        <w:t xml:space="preserve">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in all material respects on and as of the Incremental Effective Date, except to the extent that such representations and warranties are already qualified by materiality, in which case such representations and warranties shall be true and correct in all respects, and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representations and warranties contained in clause (a)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will be deemed to refer to the most recent statements furnished pursuant to clauses (a) and (b)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no Default exists and (ii) to the extent reasonably requested by the Administrative Agent, the documents and opinions of the types referred to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4.01(b)(iii)</w:t>
      </w:r>
      <w:r>
        <w:rPr>
          <w:rFonts w:ascii="Arial" w:cs="Arial" w:eastAsia="Arial" w:hAnsi="Arial"/>
          <w:sz w:val="19"/>
          <w:szCs w:val="19"/>
          <w:color w:val="auto"/>
        </w:rPr>
        <w:t xml:space="preserve"> and customary reaffirmations by the Guarantors;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Incremental Term Loans incurred for the purpose of financing an acquisition or investment for which the Borrower has determined, in good faith, that limited conditionality is reasonably necessary (any such acquisition, a “</w:t>
      </w:r>
      <w:r>
        <w:rPr>
          <w:rFonts w:ascii="Arial" w:cs="Arial" w:eastAsia="Arial" w:hAnsi="Arial"/>
          <w:sz w:val="19"/>
          <w:szCs w:val="19"/>
          <w:u w:val="single" w:color="auto"/>
          <w:color w:val="auto"/>
        </w:rPr>
        <w:t>Limited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Conditionality Acquisition</w:t>
      </w:r>
      <w:r>
        <w:rPr>
          <w:rFonts w:ascii="Arial" w:cs="Arial" w:eastAsia="Arial" w:hAnsi="Arial"/>
          <w:sz w:val="19"/>
          <w:szCs w:val="19"/>
          <w:color w:val="auto"/>
        </w:rPr>
        <w:t>” and such Incremental Term Loans, “</w:t>
      </w:r>
      <w:r>
        <w:rPr>
          <w:rFonts w:ascii="Arial" w:cs="Arial" w:eastAsia="Arial" w:hAnsi="Arial"/>
          <w:sz w:val="19"/>
          <w:szCs w:val="19"/>
          <w:u w:val="single" w:color="auto"/>
          <w:color w:val="auto"/>
        </w:rPr>
        <w:t>Acquisition-Related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Incremental Term Loans</w:t>
      </w:r>
      <w:r>
        <w:rPr>
          <w:rFonts w:ascii="Arial" w:cs="Arial" w:eastAsia="Arial" w:hAnsi="Arial"/>
          <w:sz w:val="19"/>
          <w:szCs w:val="19"/>
          <w:color w:val="auto"/>
        </w:rPr>
        <w:t>”), clause (i) of this sentence shall be deemed to have been satisfied so long as (1) as of the date of execution of the definitive acquisition or investment documentation in respect of a Limited Conditionality Acquisition (a “</w:t>
      </w:r>
      <w:r>
        <w:rPr>
          <w:rFonts w:ascii="Arial" w:cs="Arial" w:eastAsia="Arial" w:hAnsi="Arial"/>
          <w:sz w:val="19"/>
          <w:szCs w:val="19"/>
          <w:u w:val="single" w:color="auto"/>
          <w:color w:val="auto"/>
        </w:rPr>
        <w:t>Limited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Conditionality Acquisition Agreement</w:t>
      </w:r>
      <w:r>
        <w:rPr>
          <w:rFonts w:ascii="Arial" w:cs="Arial" w:eastAsia="Arial" w:hAnsi="Arial"/>
          <w:sz w:val="19"/>
          <w:szCs w:val="19"/>
          <w:color w:val="auto"/>
        </w:rPr>
        <w:t xml:space="preserve">”) by the parties thereto, no Default or Event of Default shall have occurred and be continuing or would result from entry into such documentation, (2) as of the date of the borrowing of such Acquisition-Related Incremental Term Loans, no Event of Default under Sections 8.01(a), (f) or (g) is in existence immediately before or immediately after giving effect (including on a pro forma basis) to such borrowing and to any concurrent transactions and any substantially concurrent use of proceeds thereof, (3) the representations and warranties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true and correct in all material respects (except that any representation and warranty that is qualified by materiality or Material Adverse Effect shall be true and correct in all respects) as of the date of execution of the applicable Limited Conditionality Acquisition Agreement by the parties thereto,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and (4) as of the date of the borrowing of such Acquisition-Related Incremental Term Loans, customary “Sungard” representations and warranties (with such representations and warranties to be reasonably determined by the Lenders providing such Acquisition-Related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Acquisition-Related Incremental Term Loans,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With respect to any increase in the Aggregate Commitments, the Borrower will prepay any Committed Loans outstanding on the Incremental Effective Date (and pay any additional amounts required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extent necessary to keep the outstanding Committed Loans ratable with any revised Applicable Percentages arising from any nonratable increase in the Aggregate Commitments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2" w:name="page173"/>
    <w:bookmarkEnd w:id="172"/>
    <w:p>
      <w:pPr>
        <w:jc w:val="both"/>
        <w:ind w:left="540" w:right="539" w:firstLine="725"/>
        <w:spacing w:after="0" w:line="286" w:lineRule="auto"/>
        <w:tabs>
          <w:tab w:leader="none" w:pos="1836"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Incremental Term Loans</w:t>
      </w:r>
      <w:r>
        <w:rPr>
          <w:rFonts w:ascii="Arial" w:cs="Arial" w:eastAsia="Arial" w:hAnsi="Arial"/>
          <w:sz w:val="19"/>
          <w:szCs w:val="19"/>
          <w:color w:val="auto"/>
        </w:rPr>
        <w:t xml:space="preserve">. The Incremental Term Loans (a) shall rank pari passu in right of payment with the Loans, (b) shall not mature earlier than the Maturity Date (but may have amortization prior to such date) and (c) shall be treated no more favorably than the Loans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terms and conditions applicable to any tranche of Incremental Term Loans maturing after the Maturity Date may provide for financial or other covenants or prepayment requirements that are more favorable than the Loans to the extent applicable only during periods after the Maturity Date and (ii) the Incremental Term Loans may be priced differently than the Loans. Incremental Term Loans may be made hereunder pursuant to an amendment or restatement (an “</w:t>
      </w:r>
      <w:r>
        <w:rPr>
          <w:rFonts w:ascii="Arial" w:cs="Arial" w:eastAsia="Arial" w:hAnsi="Arial"/>
          <w:sz w:val="19"/>
          <w:szCs w:val="19"/>
          <w:u w:val="single" w:color="auto"/>
          <w:color w:val="auto"/>
        </w:rPr>
        <w:t>Incremental Term Loan Amendment</w:t>
      </w:r>
      <w:r>
        <w:rPr>
          <w:rFonts w:ascii="Arial" w:cs="Arial" w:eastAsia="Arial" w:hAnsi="Arial"/>
          <w:sz w:val="19"/>
          <w:szCs w:val="19"/>
          <w:color w:val="auto"/>
        </w:rPr>
        <w:t>”) of this Agreement and, as appropriate, the other Loan Documents, executed by the Borrower, each lender participating in such tranche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2.14.</w:t>
      </w:r>
    </w:p>
    <w:p>
      <w:pPr>
        <w:spacing w:after="0" w:line="158" w:lineRule="exact"/>
        <w:rPr>
          <w:rFonts w:ascii="Arial" w:cs="Arial" w:eastAsia="Arial" w:hAnsi="Arial"/>
          <w:sz w:val="19"/>
          <w:szCs w:val="19"/>
          <w:color w:val="auto"/>
        </w:rPr>
      </w:pPr>
    </w:p>
    <w:p>
      <w:pPr>
        <w:ind w:left="540" w:right="539" w:firstLine="725"/>
        <w:spacing w:after="0" w:line="263" w:lineRule="auto"/>
        <w:tabs>
          <w:tab w:leader="none" w:pos="183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Conflicting Provisions</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will supersede any provisions in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11.01</w:t>
      </w:r>
      <w:r>
        <w:rPr>
          <w:rFonts w:ascii="Arial" w:cs="Arial" w:eastAsia="Arial" w:hAnsi="Arial"/>
          <w:sz w:val="22"/>
          <w:szCs w:val="22"/>
          <w:color w:val="auto"/>
        </w:rPr>
        <w:t xml:space="preserve"> to the contrary.</w:t>
      </w:r>
    </w:p>
    <w:p>
      <w:pPr>
        <w:spacing w:after="0" w:line="174" w:lineRule="exact"/>
        <w:rPr>
          <w:rFonts w:ascii="Arial" w:cs="Arial" w:eastAsia="Arial" w:hAnsi="Arial"/>
          <w:sz w:val="22"/>
          <w:szCs w:val="22"/>
          <w:color w:val="auto"/>
        </w:rPr>
      </w:pPr>
    </w:p>
    <w:p>
      <w:pPr>
        <w:jc w:val="both"/>
        <w:ind w:left="540" w:right="539" w:firstLine="725"/>
        <w:spacing w:after="0" w:line="289" w:lineRule="auto"/>
        <w:tabs>
          <w:tab w:leader="none" w:pos="183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For purposes of calculating the aggregate principal amount of all increased Commitments or Incremental Term Loans established pursuant to Section 2.14(a) above, the Borrower may elect to use sub-clauses (i) or (ii) of Section 2.14(a) above in any order or concurrently. If both sub-clause (i) and (ii) of Section 2.14(a) are available and the Borrower does not make an election, the Borrower will be deemed to have elected sub-clause (ii) of Section 2.14(a). If the Borrower incurs any amounts under such sub-clause (i) above concurrently with sub-clause (ii) above, any amounts incurred under sub-clause (i) above at such time will not count as Indebtedness for purposes of calculating the Consolidated Leverage Ratio at such time.</w:t>
      </w:r>
    </w:p>
    <w:p>
      <w:pPr>
        <w:spacing w:after="0" w:line="156" w:lineRule="exact"/>
        <w:rPr>
          <w:rFonts w:ascii="Arial" w:cs="Arial" w:eastAsia="Arial" w:hAnsi="Arial"/>
          <w:sz w:val="19"/>
          <w:szCs w:val="19"/>
          <w:color w:val="auto"/>
        </w:rPr>
      </w:pPr>
    </w:p>
    <w:p>
      <w:pPr>
        <w:jc w:val="both"/>
        <w:ind w:left="540" w:right="539" w:firstLine="725"/>
        <w:spacing w:after="0" w:line="259" w:lineRule="auto"/>
        <w:tabs>
          <w:tab w:leader="none" w:pos="183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Borrower may, in its sole discretion, classify and reclassify or later divide, classify or reclassify such increased Commitments or Incremental Term Loans established pursuant to Section 2.14(a) (or any portion thereof). In the event that a portion of Indebtedness incurred pursuant to Section 2.14(a)(i) could later be classified under sub-clause (ii) of Section 2.14(a) (giving pro forma effect to the incurrence of such portion of such Indebtedness or other obligations), such portion of Indebtedness (and any obligations in respect thereof) shall be deemed be automatically re-classified under sub-clause (ii) even if not elected by the Borrower (unless the Borrower otherwise notifies the Administrative Agent).</w:t>
      </w:r>
    </w:p>
    <w:p>
      <w:pPr>
        <w:spacing w:after="0" w:line="179" w:lineRule="exact"/>
        <w:rPr>
          <w:sz w:val="20"/>
          <w:szCs w:val="20"/>
          <w:color w:val="auto"/>
        </w:rPr>
      </w:pPr>
    </w:p>
    <w:p>
      <w:pPr>
        <w:ind w:left="1180"/>
        <w:spacing w:after="0"/>
        <w:tabs>
          <w:tab w:leader="none" w:pos="3120" w:val="left"/>
          <w:tab w:leader="none" w:pos="4760" w:val="left"/>
          <w:tab w:leader="none" w:pos="5200" w:val="left"/>
          <w:tab w:leader="none" w:pos="82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22"/>
          <w:szCs w:val="22"/>
          <w:u w:val="single" w:color="auto"/>
          <w:color w:val="auto"/>
        </w:rPr>
        <w:t>Cash Collateral</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Certain Credit Support Events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w:t>
      </w:r>
    </w:p>
    <w:p>
      <w:pPr>
        <w:spacing w:after="0" w:line="21" w:lineRule="exact"/>
        <w:rPr>
          <w:sz w:val="20"/>
          <w:szCs w:val="20"/>
          <w:color w:val="auto"/>
        </w:rPr>
      </w:pPr>
    </w:p>
    <w:p>
      <w:pPr>
        <w:jc w:val="both"/>
        <w:ind w:left="540" w:right="559" w:firstLine="57"/>
        <w:spacing w:after="0" w:line="288" w:lineRule="auto"/>
        <w:rPr>
          <w:sz w:val="20"/>
          <w:szCs w:val="20"/>
          <w:color w:val="auto"/>
        </w:rPr>
      </w:pPr>
      <w:r>
        <w:rPr>
          <w:rFonts w:ascii="Arial" w:cs="Arial" w:eastAsia="Arial" w:hAnsi="Arial"/>
          <w:sz w:val="19"/>
          <w:szCs w:val="19"/>
          <w:color w:val="auto"/>
        </w:rPr>
        <w:t>Upon the request of the Administrative Agent or any L/C Issuer (A) if such L/C Issuer has honored any full or partial drawing request under any Letter of Credit and such drawing has resulted in an L/C Borrowing or (B) if, as of the Letter of Credit Expiration Date, any L/C Obligation for any reason remains outstanding, the Borrower shall, in each case, promptly, but in any event, if such request is made by 1:00 p.m., Local Time, on the same Business Day and, if such request is made after 1:00 p.m., Local Time, on the next Business Day, Cash Collateralize the then Outstanding Amount of all L/C Obligations.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73" w:name="page174"/>
    <w:bookmarkEnd w:id="173"/>
    <w:p>
      <w:pPr>
        <w:jc w:val="both"/>
        <w:ind w:left="1180" w:right="539" w:firstLine="656"/>
        <w:spacing w:after="0" w:line="259" w:lineRule="auto"/>
        <w:tabs>
          <w:tab w:leader="none" w:pos="2476" w:val="left"/>
        </w:tabs>
        <w:numPr>
          <w:ilvl w:val="1"/>
          <w:numId w:val="119"/>
        </w:numPr>
        <w:rPr>
          <w:rFonts w:ascii="Arial" w:cs="Arial" w:eastAsia="Arial" w:hAnsi="Arial"/>
          <w:sz w:val="21"/>
          <w:szCs w:val="21"/>
          <w:color w:val="auto"/>
        </w:rPr>
      </w:pPr>
      <w:r>
        <w:rPr>
          <w:rFonts w:ascii="Arial" w:cs="Arial" w:eastAsia="Arial" w:hAnsi="Arial"/>
          <w:sz w:val="21"/>
          <w:szCs w:val="21"/>
          <w:color w:val="auto"/>
        </w:rPr>
        <w:t xml:space="preserve">At any time that there shall exist a Defaulting Lender, upon the request of the Administrative Agent or any L/C Issuer, the Borrower shall promptly, but in any event, if such request is made by 1:00 p.m., Local Time, on the same Business Day and, if such request is made after 1:00 p.m., Local Time, on the next Business Day, deliver to the Administrative Agent Cash Collateral in an amount sufficient to cover all Fronting Exposure relating to such Defaulting Lender (after giving effect to </w:t>
      </w:r>
      <w:r>
        <w:rPr>
          <w:rFonts w:ascii="Arial" w:cs="Arial" w:eastAsia="Arial" w:hAnsi="Arial"/>
          <w:sz w:val="21"/>
          <w:szCs w:val="21"/>
          <w:u w:val="single" w:color="auto"/>
          <w:color w:val="auto"/>
        </w:rPr>
        <w:t>Section 2.16(a)(iv)</w:t>
      </w:r>
      <w:r>
        <w:rPr>
          <w:rFonts w:ascii="Arial" w:cs="Arial" w:eastAsia="Arial" w:hAnsi="Arial"/>
          <w:sz w:val="21"/>
          <w:szCs w:val="21"/>
          <w:color w:val="auto"/>
        </w:rPr>
        <w:t xml:space="preserve"> and any Cash Collateral provided by the Defaulting Lender).</w:t>
      </w:r>
    </w:p>
    <w:p>
      <w:pPr>
        <w:spacing w:after="0" w:line="183" w:lineRule="exact"/>
        <w:rPr>
          <w:rFonts w:ascii="Arial" w:cs="Arial" w:eastAsia="Arial" w:hAnsi="Arial"/>
          <w:sz w:val="21"/>
          <w:szCs w:val="21"/>
          <w:color w:val="auto"/>
        </w:rPr>
      </w:pPr>
    </w:p>
    <w:p>
      <w:pPr>
        <w:jc w:val="both"/>
        <w:ind w:left="1180" w:right="539" w:firstLine="656"/>
        <w:spacing w:after="0" w:line="294" w:lineRule="auto"/>
        <w:tabs>
          <w:tab w:leader="none" w:pos="247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In addition, if the Administrative Agent notifies the Borrower at any time that the Outstanding Amount of all L/C Obligations at such time exceeds 105% of the Letter of Credit Sublimit then in effect, then, within two (2) Business Days after receipt of such notice, the Borrower shall Cash Collateralize the L/C Obligations in an amount equal to the amount by which the Outstanding Amount of all L/C Obligations exceeds the Letter of Credit Sublimit.</w:t>
      </w:r>
    </w:p>
    <w:p>
      <w:pPr>
        <w:spacing w:after="0" w:line="149" w:lineRule="exact"/>
        <w:rPr>
          <w:rFonts w:ascii="Arial" w:cs="Arial" w:eastAsia="Arial" w:hAnsi="Arial"/>
          <w:sz w:val="19"/>
          <w:szCs w:val="19"/>
          <w:color w:val="auto"/>
        </w:rPr>
      </w:pPr>
    </w:p>
    <w:p>
      <w:pPr>
        <w:jc w:val="both"/>
        <w:ind w:left="540" w:right="539" w:firstLine="725"/>
        <w:spacing w:after="0" w:line="284" w:lineRule="auto"/>
        <w:tabs>
          <w:tab w:leader="none" w:pos="183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All Cash Collateral (other than credit support not constituting funds subject to deposit) will be maintained in blocked, segregated interest-bearing (such interest to be for the account of the Borrower if such Cash Collateral was provided by the Borrower) deposit accounts (“</w:t>
      </w:r>
      <w:r>
        <w:rPr>
          <w:rFonts w:ascii="Arial" w:cs="Arial" w:eastAsia="Arial" w:hAnsi="Arial"/>
          <w:sz w:val="19"/>
          <w:szCs w:val="19"/>
          <w:u w:val="single" w:color="auto"/>
          <w:color w:val="auto"/>
        </w:rPr>
        <w:t>Cash Collateral Accounts</w:t>
      </w:r>
      <w:r>
        <w:rPr>
          <w:rFonts w:ascii="Arial" w:cs="Arial" w:eastAsia="Arial" w:hAnsi="Arial"/>
          <w:sz w:val="19"/>
          <w:szCs w:val="19"/>
          <w:color w:val="auto"/>
        </w:rPr>
        <w:t xml:space="preserve">”) at the Administrative Agent or, if consented to by the Administrative Agent (such consent not to be unreasonably withheld, conditioned or delayed), another depositary institution that is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cause any depositary institution other than the Administrative Agent to take any actions necessary to enable the Administrative Agent to obtain Control (within the meaning of Section 9-104 of the Uniform Commercial Code as from time to time in effect in the State of New York) of such Cash Collateral Accounts, including executing and delivering and causing the relevant depositary bank to execute and deliver an agreement in form and substance reasonably satisfactory to the Administrative Agent. The Borrower, and to the extent provided by any Lender, such Lender, hereby grants to (and subjects to the control of) the Administrative Agent, for the benefit of the Administrative Agent, each L/C Issuer and the Lenders, and agrees to maintain, a first priority security interest in all such Cash Collateral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If at any time the Administrative Agent reasonably determines that Cash Collateral is subject to any right or claim of any Person other than the Administrative Agent as herein provided, or that the total amount of such Cash Collateral is less than the applicable Fronting Exposure and other obligations secured thereby (including by reason of exchange rate fluctuations), the Borrower or the relevant Defaulting Lender will, promptly upon demand by the Administrative Agent, pay or provide to the Administrative Agent additional Cash Collateral in an amount sufficient to eliminate such deficiency.</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540" w:right="539" w:firstLine="725"/>
        <w:spacing w:after="0" w:line="297" w:lineRule="auto"/>
        <w:tabs>
          <w:tab w:leader="none" w:pos="183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w:t>
      </w:r>
    </w:p>
    <w:p>
      <w:pPr>
        <w:sectPr>
          <w:pgSz w:w="11900" w:h="16838" w:orient="portrait"/>
          <w:cols w:equalWidth="0" w:num="1">
            <w:col w:w="9019"/>
          </w:cols>
          <w:pgMar w:left="1440" w:top="928" w:right="1440" w:bottom="144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4" w:name="page175"/>
    <w:bookmarkEnd w:id="174"/>
    <w:p>
      <w:pPr>
        <w:ind w:left="540" w:right="539"/>
        <w:spacing w:after="0" w:line="263" w:lineRule="auto"/>
        <w:rPr>
          <w:sz w:val="20"/>
          <w:szCs w:val="20"/>
          <w:color w:val="auto"/>
        </w:rPr>
      </w:pPr>
      <w:r>
        <w:rPr>
          <w:rFonts w:ascii="Arial" w:cs="Arial" w:eastAsia="Arial" w:hAnsi="Arial"/>
          <w:sz w:val="22"/>
          <w:szCs w:val="22"/>
          <w:color w:val="auto"/>
        </w:rPr>
        <w:t>obligations for which such Cash Collateral was so provided, prior to any other application of such property as may be provided for herein.</w:t>
      </w:r>
    </w:p>
    <w:p>
      <w:pPr>
        <w:spacing w:after="0" w:line="175" w:lineRule="exact"/>
        <w:rPr>
          <w:sz w:val="20"/>
          <w:szCs w:val="20"/>
          <w:color w:val="auto"/>
        </w:rPr>
      </w:pPr>
    </w:p>
    <w:p>
      <w:pPr>
        <w:jc w:val="both"/>
        <w:ind w:left="540" w:right="539" w:firstLine="725"/>
        <w:spacing w:after="0" w:line="258" w:lineRule="auto"/>
        <w:tabs>
          <w:tab w:leader="none" w:pos="1836"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1"/>
          <w:szCs w:val="21"/>
          <w:u w:val="single" w:color="auto"/>
          <w:color w:val="auto"/>
        </w:rPr>
        <w:t>Section 10</w:t>
      </w:r>
      <w:r>
        <w:rPr>
          <w:rFonts w:ascii="Arial" w:cs="Arial" w:eastAsia="Arial" w:hAnsi="Arial"/>
          <w:sz w:val="21"/>
          <w:szCs w:val="21"/>
          <w:color w:val="auto"/>
        </w:rPr>
        <w:t>.</w:t>
      </w:r>
      <w:r>
        <w:rPr>
          <w:rFonts w:ascii="Arial" w:cs="Arial" w:eastAsia="Arial" w:hAnsi="Arial"/>
          <w:sz w:val="21"/>
          <w:szCs w:val="21"/>
          <w:u w:val="single" w:color="auto"/>
          <w:color w:val="auto"/>
        </w:rPr>
        <w:t>06(c)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upon the Borrower’s request if there exists Cash Collateral in excess of the requirements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Cash Collateral furnished by or on behalf of the Borrower shall not be released during the continuance of a Default or Event of Default (and following application as provided in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may be otherwise applied in accordance with </w:t>
      </w:r>
      <w:r>
        <w:rPr>
          <w:rFonts w:ascii="Arial" w:cs="Arial" w:eastAsia="Arial" w:hAnsi="Arial"/>
          <w:sz w:val="21"/>
          <w:szCs w:val="21"/>
          <w:u w:val="single" w:color="auto"/>
          <w:color w:val="auto"/>
        </w:rPr>
        <w:t>Section 8.03</w:t>
      </w:r>
      <w:r>
        <w:rPr>
          <w:rFonts w:ascii="Arial" w:cs="Arial" w:eastAsia="Arial" w:hAnsi="Arial"/>
          <w:sz w:val="21"/>
          <w:szCs w:val="21"/>
          <w:color w:val="auto"/>
        </w:rPr>
        <w:t>).</w:t>
      </w:r>
    </w:p>
    <w:p>
      <w:pPr>
        <w:spacing w:after="0" w:line="185" w:lineRule="exact"/>
        <w:rPr>
          <w:sz w:val="20"/>
          <w:szCs w:val="20"/>
          <w:color w:val="auto"/>
        </w:rPr>
      </w:pPr>
    </w:p>
    <w:p>
      <w:pPr>
        <w:jc w:val="both"/>
        <w:ind w:left="540" w:right="559" w:firstLine="648"/>
        <w:spacing w:after="0" w:line="250"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Defaulting Lenders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the following provisions shall apply until such time as such Lender is no longer a Defaulting Lender:</w:t>
      </w:r>
    </w:p>
    <w:p>
      <w:pPr>
        <w:spacing w:after="0" w:line="188" w:lineRule="exact"/>
        <w:rPr>
          <w:sz w:val="20"/>
          <w:szCs w:val="20"/>
          <w:color w:val="auto"/>
        </w:rPr>
      </w:pPr>
    </w:p>
    <w:p>
      <w:pPr>
        <w:jc w:val="both"/>
        <w:ind w:left="1180" w:right="539" w:firstLine="656"/>
        <w:spacing w:after="0" w:line="250" w:lineRule="auto"/>
        <w:tabs>
          <w:tab w:leader="none" w:pos="247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Such Defaulting Lender’s right to approve or disapprove any amendment, waiver or consent with respect to this Agreement or any other Loan Document shall be restricted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11.01</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right"/>
        <w:ind w:left="1180" w:right="539" w:firstLine="656"/>
        <w:spacing w:after="0" w:line="284" w:lineRule="auto"/>
        <w:tabs>
          <w:tab w:leader="none" w:pos="247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otherwise, and including any amounts made available to the Administrative Agent by such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to the payment of any amounts owing by such Defaulting Lender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any L/C Issuer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or requested by any L/C Issuer, to be held as Cash Collateral for future funding obligations of such Defaulting Lender in respect of any participation in any Letter of Credit;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Borrower, to be held in a non-interest bearing deposit account and released in order to satisfy obligations of such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any L/C Issuer as a result of any judgment of a court of competent jurisdiction obtained by any Lender or any L/C Issuer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so long as no Default or Event of Default exists, to the payment of any amounts owing to the Borrower as a result of any judgment of a court of competent jurisdiction obtained by the Borrower against</w:t>
      </w:r>
    </w:p>
    <w:p>
      <w:pPr>
        <w:sectPr>
          <w:pgSz w:w="11900" w:h="16838" w:orient="portrait"/>
          <w:cols w:equalWidth="0" w:num="1">
            <w:col w:w="9019"/>
          </w:cols>
          <w:pgMar w:left="1440" w:top="928"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5" w:name="page176"/>
    <w:bookmarkEnd w:id="175"/>
    <w:p>
      <w:pPr>
        <w:jc w:val="both"/>
        <w:ind w:left="1180" w:right="539"/>
        <w:spacing w:after="0" w:line="286" w:lineRule="auto"/>
        <w:rPr>
          <w:sz w:val="20"/>
          <w:szCs w:val="20"/>
          <w:color w:val="auto"/>
        </w:rPr>
      </w:pPr>
      <w:r>
        <w:rPr>
          <w:rFonts w:ascii="Arial" w:cs="Arial" w:eastAsia="Arial" w:hAnsi="Arial"/>
          <w:sz w:val="19"/>
          <w:szCs w:val="19"/>
          <w:color w:val="auto"/>
        </w:rPr>
        <w:t xml:space="preserve">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Advances owed to, all non-Defaulting Lenders on a pro rata basis prior to being applied to the payment of any Loans of, or L/C Advances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2.16(a)(ii)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22" w:lineRule="exact"/>
        <w:rPr>
          <w:sz w:val="20"/>
          <w:szCs w:val="20"/>
          <w:color w:val="auto"/>
        </w:rPr>
      </w:pPr>
    </w:p>
    <w:p>
      <w:pPr>
        <w:jc w:val="both"/>
        <w:ind w:left="1180" w:right="539" w:firstLine="656"/>
        <w:spacing w:after="0" w:line="294" w:lineRule="auto"/>
        <w:tabs>
          <w:tab w:leader="none" w:pos="2476" w:val="left"/>
        </w:tabs>
        <w:numPr>
          <w:ilvl w:val="2"/>
          <w:numId w:val="123"/>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Such Defaulting Lender (x) shall not be entitled to receive any Unused Commitment Fee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(and the Borrower shall not be required to pay any Unused Commitment Fee that otherwise would have been required to be paid to such Defaulting Lender) for any period during which such Lender is a Defaulting Lender and (y) shall be limited in its right to receive Letter of Credit Fees as provided in </w:t>
      </w:r>
      <w:r>
        <w:rPr>
          <w:rFonts w:ascii="Arial" w:cs="Arial" w:eastAsia="Arial" w:hAnsi="Arial"/>
          <w:sz w:val="19"/>
          <w:szCs w:val="19"/>
          <w:u w:val="single" w:color="auto"/>
          <w:color w:val="auto"/>
        </w:rPr>
        <w:t>Section 2.04(h)</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left="1180" w:right="539" w:firstLine="656"/>
        <w:spacing w:after="0" w:line="283" w:lineRule="auto"/>
        <w:tabs>
          <w:tab w:leader="none" w:pos="2476" w:val="left"/>
        </w:tabs>
        <w:numPr>
          <w:ilvl w:val="2"/>
          <w:numId w:val="123"/>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the “Applicable Percentage” of each non-Defaulting Lender shall be computed without giving effect to the Commitment of such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reallocation shall be given effect only to the extent that, after giving effect thereto, the aggregate obligation of each non-Defaulting Lender to acquire or fund participations in Letters of Credit shall not exceed the positive difference, if any, of</w:t>
      </w:r>
    </w:p>
    <w:p>
      <w:pPr>
        <w:spacing w:after="0" w:line="7" w:lineRule="exact"/>
        <w:rPr>
          <w:rFonts w:ascii="Arial" w:cs="Arial" w:eastAsia="Arial" w:hAnsi="Arial"/>
          <w:sz w:val="19"/>
          <w:szCs w:val="19"/>
          <w:color w:val="auto"/>
        </w:rPr>
      </w:pPr>
    </w:p>
    <w:p>
      <w:pPr>
        <w:ind w:left="1180" w:right="539" w:firstLine="8"/>
        <w:spacing w:after="0" w:line="246" w:lineRule="auto"/>
        <w:tabs>
          <w:tab w:leader="none" w:pos="155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the Commitment of such non-Defaulting Lender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(2) the aggregate Outstanding Amount of the Committed Loans of such Lender.</w:t>
      </w:r>
    </w:p>
    <w:p>
      <w:pPr>
        <w:spacing w:after="0" w:line="192" w:lineRule="exact"/>
        <w:rPr>
          <w:rFonts w:ascii="Arial" w:cs="Arial" w:eastAsia="Arial" w:hAnsi="Arial"/>
          <w:sz w:val="22"/>
          <w:szCs w:val="22"/>
          <w:color w:val="auto"/>
        </w:rPr>
      </w:pPr>
    </w:p>
    <w:p>
      <w:pPr>
        <w:jc w:val="both"/>
        <w:ind w:left="1180" w:right="539" w:firstLine="656"/>
        <w:spacing w:after="0" w:line="250" w:lineRule="auto"/>
        <w:tabs>
          <w:tab w:leader="none" w:pos="2476" w:val="left"/>
        </w:tabs>
        <w:numPr>
          <w:ilvl w:val="2"/>
          <w:numId w:val="124"/>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xml:space="preserve">. Operation of the allocations provided in </w:t>
      </w:r>
      <w:r>
        <w:rPr>
          <w:rFonts w:ascii="Arial" w:cs="Arial" w:eastAsia="Arial" w:hAnsi="Arial"/>
          <w:sz w:val="22"/>
          <w:szCs w:val="22"/>
          <w:u w:val="single" w:color="auto"/>
          <w:color w:val="auto"/>
        </w:rPr>
        <w:t>clauses (ii)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above shall not be deemed to result in a default of the Borrower’s or any other Loan Party’s obligations to a Defaulting Lender under this Agreement or any other Loan Document.</w:t>
      </w:r>
    </w:p>
    <w:p>
      <w:pPr>
        <w:spacing w:after="0" w:line="187" w:lineRule="exact"/>
        <w:rPr>
          <w:rFonts w:ascii="Arial" w:cs="Arial" w:eastAsia="Arial" w:hAnsi="Arial"/>
          <w:sz w:val="22"/>
          <w:szCs w:val="22"/>
          <w:color w:val="auto"/>
        </w:rPr>
      </w:pPr>
    </w:p>
    <w:p>
      <w:pPr>
        <w:jc w:val="both"/>
        <w:ind w:left="1180" w:right="539" w:firstLine="656"/>
        <w:spacing w:after="0" w:line="297" w:lineRule="auto"/>
        <w:tabs>
          <w:tab w:leader="none" w:pos="2476" w:val="left"/>
        </w:tabs>
        <w:numPr>
          <w:ilvl w:val="2"/>
          <w:numId w:val="12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11.19</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6" w:lineRule="exact"/>
        <w:rPr>
          <w:rFonts w:ascii="Arial" w:cs="Arial" w:eastAsia="Arial" w:hAnsi="Arial"/>
          <w:sz w:val="19"/>
          <w:szCs w:val="19"/>
          <w:color w:val="auto"/>
        </w:rPr>
      </w:pPr>
    </w:p>
    <w:p>
      <w:pPr>
        <w:jc w:val="both"/>
        <w:ind w:left="540" w:right="539" w:firstLine="725"/>
        <w:spacing w:after="0" w:line="312" w:lineRule="auto"/>
        <w:tabs>
          <w:tab w:leader="none" w:pos="1836"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If Borrower, the Administrative Agent and the L/C Issuers agree in writing in their sole discretion that a Defaulting Lender should no longer be deemed to be a Defaulting Lender, the Administrative Agent will so notify the</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6" w:name="page177"/>
    <w:bookmarkEnd w:id="176"/>
    <w:p>
      <w:pPr>
        <w:jc w:val="both"/>
        <w:ind w:left="540" w:right="539"/>
        <w:spacing w:after="0" w:line="285" w:lineRule="auto"/>
        <w:rPr>
          <w:sz w:val="20"/>
          <w:szCs w:val="20"/>
          <w:color w:val="auto"/>
        </w:rPr>
      </w:pPr>
      <w:r>
        <w:rPr>
          <w:rFonts w:ascii="Arial" w:cs="Arial" w:eastAsia="Arial" w:hAnsi="Arial"/>
          <w:sz w:val="19"/>
          <w:szCs w:val="19"/>
          <w:color w:val="auto"/>
        </w:rPr>
        <w:t xml:space="preserve">parties hereto, whereupon as of the date such confirmation is so received or the effective date specified in such notice (and subject to any conditions set forth therein (which may include arrangements with respect to any Cash Collateral)), as applicable, such Lender will, to the extent applicable, purchase at par that portion of outstanding Committed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together with any payments reasonably determined by the Administrative Agent to be necessary to compensate the non-Defaulting Lenders for any loss, cost or expense of the type described in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(all of which purchases are hereby consented to by the Borrower and each Lender)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66"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w:t>
      </w:r>
    </w:p>
    <w:p>
      <w:pPr>
        <w:spacing w:after="0" w:line="220" w:lineRule="exact"/>
        <w:rPr>
          <w:sz w:val="20"/>
          <w:szCs w:val="20"/>
          <w:color w:val="auto"/>
        </w:rPr>
      </w:pPr>
    </w:p>
    <w:p>
      <w:pPr>
        <w:ind w:left="540" w:right="539" w:firstLine="725"/>
        <w:spacing w:after="0" w:line="343" w:lineRule="auto"/>
        <w:tabs>
          <w:tab w:leader="none" w:pos="183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Subject to clauses (b), (c), (d), (e), (f) and (g) of this Section 2.17, if prior to the commencement of any Interest Period for a Eurocurrency Rate Borrowing:</w:t>
      </w:r>
    </w:p>
    <w:p>
      <w:pPr>
        <w:spacing w:after="0" w:line="104" w:lineRule="exact"/>
        <w:rPr>
          <w:rFonts w:ascii="Arial" w:cs="Arial" w:eastAsia="Arial" w:hAnsi="Arial"/>
          <w:sz w:val="19"/>
          <w:szCs w:val="19"/>
          <w:color w:val="auto"/>
        </w:rPr>
      </w:pPr>
    </w:p>
    <w:p>
      <w:pPr>
        <w:jc w:val="both"/>
        <w:ind w:left="1020" w:right="499" w:firstLine="492"/>
        <w:spacing w:after="0" w:line="248" w:lineRule="auto"/>
        <w:tabs>
          <w:tab w:leader="none" w:pos="183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or</w:t>
      </w:r>
    </w:p>
    <w:p>
      <w:pPr>
        <w:spacing w:after="0" w:line="191" w:lineRule="exact"/>
        <w:rPr>
          <w:rFonts w:ascii="Arial" w:cs="Arial" w:eastAsia="Arial" w:hAnsi="Arial"/>
          <w:sz w:val="22"/>
          <w:szCs w:val="22"/>
          <w:color w:val="auto"/>
        </w:rPr>
      </w:pPr>
    </w:p>
    <w:p>
      <w:pPr>
        <w:jc w:val="both"/>
        <w:ind w:left="1020" w:right="499" w:firstLine="492"/>
        <w:spacing w:after="0" w:line="250" w:lineRule="auto"/>
        <w:tabs>
          <w:tab w:leader="none" w:pos="183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Borrowing for such Interest Period,</w:t>
      </w:r>
    </w:p>
    <w:p>
      <w:pPr>
        <w:spacing w:after="0" w:line="188" w:lineRule="exact"/>
        <w:rPr>
          <w:sz w:val="20"/>
          <w:szCs w:val="20"/>
          <w:color w:val="auto"/>
        </w:rPr>
      </w:pPr>
    </w:p>
    <w:p>
      <w:pPr>
        <w:jc w:val="both"/>
        <w:ind w:left="540" w:right="539"/>
        <w:spacing w:after="0" w:line="259" w:lineRule="auto"/>
        <w:rPr>
          <w:sz w:val="20"/>
          <w:szCs w:val="20"/>
          <w:color w:val="auto"/>
        </w:rPr>
      </w:pPr>
      <w:r>
        <w:rPr>
          <w:rFonts w:ascii="Arial" w:cs="Arial" w:eastAsia="Arial" w:hAnsi="Arial"/>
          <w:sz w:val="21"/>
          <w:szCs w:val="21"/>
          <w:color w:val="auto"/>
        </w:rPr>
        <w:t xml:space="preserve">then 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(i) any Committed Loan Notice that requests the conversion of any Borrowing to, or continuation of any Borrowing as, a Eurocurrency Rate Borrowing shall be ineffective and (ii) if any Committed Loan Notice requests a Eurocurrency Rate Borrowing then such Borrowing shall be made as an Base Rate Borrowing;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each case, the Borrower may revoke any Committed Loan Notice that is pending when such notice is received.</w:t>
      </w:r>
    </w:p>
    <w:p>
      <w:pPr>
        <w:spacing w:after="0" w:line="179" w:lineRule="exact"/>
        <w:rPr>
          <w:sz w:val="20"/>
          <w:szCs w:val="20"/>
          <w:color w:val="auto"/>
        </w:rPr>
      </w:pPr>
    </w:p>
    <w:p>
      <w:pPr>
        <w:jc w:val="both"/>
        <w:ind w:left="540" w:right="539" w:firstLine="725"/>
        <w:spacing w:after="0" w:line="302" w:lineRule="auto"/>
        <w:tabs>
          <w:tab w:leader="none" w:pos="183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if a Benchmark Transition Event, an Early Opt-in Election or an Other Benchmark Rate Election, as applicable, and its related Benchmark Replacement Date have occurred for a currency prior to the Reference Time in respect of any setting of the then-</w:t>
      </w:r>
    </w:p>
    <w:p>
      <w:pPr>
        <w:sectPr>
          <w:pgSz w:w="11900" w:h="16838" w:orient="portrait"/>
          <w:cols w:equalWidth="0" w:num="1">
            <w:col w:w="9019"/>
          </w:cols>
          <w:pgMar w:left="1440" w:top="928" w:right="1440"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7" w:name="page178"/>
    <w:bookmarkEnd w:id="177"/>
    <w:p>
      <w:pPr>
        <w:jc w:val="both"/>
        <w:ind w:left="540" w:right="539"/>
        <w:spacing w:after="0" w:line="286" w:lineRule="auto"/>
        <w:rPr>
          <w:sz w:val="20"/>
          <w:szCs w:val="20"/>
          <w:color w:val="auto"/>
        </w:rPr>
      </w:pPr>
      <w:r>
        <w:rPr>
          <w:rFonts w:ascii="Arial" w:cs="Arial" w:eastAsia="Arial" w:hAnsi="Arial"/>
          <w:sz w:val="19"/>
          <w:szCs w:val="19"/>
          <w:color w:val="auto"/>
        </w:rPr>
        <w:t>current Benchmark for such currency,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other Loan Document in respect of any such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8" w:lineRule="exact"/>
        <w:rPr>
          <w:sz w:val="20"/>
          <w:szCs w:val="20"/>
          <w:color w:val="auto"/>
        </w:rPr>
      </w:pPr>
    </w:p>
    <w:p>
      <w:pPr>
        <w:jc w:val="both"/>
        <w:ind w:left="540" w:right="539" w:firstLine="725"/>
        <w:spacing w:after="0" w:line="284" w:lineRule="auto"/>
        <w:tabs>
          <w:tab w:leader="none" w:pos="1836"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w:t>
      </w:r>
    </w:p>
    <w:p>
      <w:pPr>
        <w:spacing w:after="0" w:line="1" w:lineRule="exact"/>
        <w:rPr>
          <w:rFonts w:ascii="Arial" w:cs="Arial" w:eastAsia="Arial" w:hAnsi="Arial"/>
          <w:sz w:val="19"/>
          <w:szCs w:val="19"/>
          <w:color w:val="auto"/>
        </w:rPr>
      </w:pPr>
    </w:p>
    <w:p>
      <w:pPr>
        <w:jc w:val="both"/>
        <w:ind w:left="540" w:right="559"/>
        <w:spacing w:after="0" w:line="259" w:lineRule="auto"/>
        <w:tabs>
          <w:tab w:leader="none" w:pos="84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w:t>
      </w:r>
    </w:p>
    <w:p>
      <w:pPr>
        <w:spacing w:after="0" w:line="181" w:lineRule="exact"/>
        <w:rPr>
          <w:rFonts w:ascii="Arial" w:cs="Arial" w:eastAsia="Arial" w:hAnsi="Arial"/>
          <w:sz w:val="21"/>
          <w:szCs w:val="21"/>
          <w:color w:val="auto"/>
        </w:rPr>
      </w:pPr>
    </w:p>
    <w:p>
      <w:pPr>
        <w:jc w:val="both"/>
        <w:ind w:left="540" w:right="539" w:firstLine="725"/>
        <w:spacing w:after="0" w:line="294" w:lineRule="auto"/>
        <w:tabs>
          <w:tab w:leader="none" w:pos="1836"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9" w:lineRule="exact"/>
        <w:rPr>
          <w:rFonts w:ascii="Arial" w:cs="Arial" w:eastAsia="Arial" w:hAnsi="Arial"/>
          <w:sz w:val="19"/>
          <w:szCs w:val="19"/>
          <w:color w:val="auto"/>
        </w:rPr>
      </w:pPr>
    </w:p>
    <w:p>
      <w:pPr>
        <w:jc w:val="both"/>
        <w:ind w:left="540" w:right="539" w:firstLine="725"/>
        <w:spacing w:after="0" w:line="287" w:lineRule="auto"/>
        <w:tabs>
          <w:tab w:leader="none" w:pos="1836"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 and the Lenders of (i) any occurrence of a Benchmark Transition Event, a Term SOFR Transition Event, an Early Opt-in Election or an Other Benchmark Rate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w:t>
      </w:r>
    </w:p>
    <w:p>
      <w:pPr>
        <w:sectPr>
          <w:pgSz w:w="11900" w:h="16838" w:orient="portrait"/>
          <w:cols w:equalWidth="0" w:num="1">
            <w:col w:w="9019"/>
          </w:cols>
          <w:pgMar w:left="1440" w:top="928" w:right="1440" w:bottom="1440" w:gutter="0" w:footer="0" w:header="0"/>
        </w:sect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78" w:name="page179"/>
    <w:bookmarkEnd w:id="178"/>
    <w:p>
      <w:pPr>
        <w:jc w:val="both"/>
        <w:ind w:left="540" w:right="539"/>
        <w:spacing w:after="0" w:line="253" w:lineRule="auto"/>
        <w:rPr>
          <w:sz w:val="20"/>
          <w:szCs w:val="20"/>
          <w:color w:val="auto"/>
        </w:rPr>
      </w:pPr>
      <w:r>
        <w:rPr>
          <w:rFonts w:ascii="Arial" w:cs="Arial" w:eastAsia="Arial" w:hAnsi="Arial"/>
          <w:sz w:val="22"/>
          <w:szCs w:val="22"/>
          <w:color w:val="auto"/>
        </w:rPr>
        <w:t>their sole discretion and without consent from any other party to this Agreement or any other Loan Document, except, in each case, as expressly required pursuant to this Section 2.17.</w:t>
      </w:r>
    </w:p>
    <w:p>
      <w:pPr>
        <w:spacing w:after="0" w:line="185" w:lineRule="exact"/>
        <w:rPr>
          <w:sz w:val="20"/>
          <w:szCs w:val="20"/>
          <w:color w:val="auto"/>
        </w:rPr>
      </w:pPr>
    </w:p>
    <w:p>
      <w:pPr>
        <w:jc w:val="both"/>
        <w:ind w:left="540" w:right="539" w:firstLine="725"/>
        <w:spacing w:after="0" w:line="256" w:lineRule="auto"/>
        <w:tabs>
          <w:tab w:leader="none" w:pos="183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Notwithstanding anything to the contrary herein or in any other Loan Document, at any time (including in connection with the implementation of a Benchmark Replacement), (i) if the then-current Benchmark is a term rate (including Term SOFR or the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7" w:lineRule="exact"/>
        <w:rPr>
          <w:rFonts w:ascii="Arial" w:cs="Arial" w:eastAsia="Arial" w:hAnsi="Arial"/>
          <w:sz w:val="21"/>
          <w:szCs w:val="21"/>
          <w:color w:val="auto"/>
        </w:rPr>
      </w:pPr>
    </w:p>
    <w:p>
      <w:pPr>
        <w:jc w:val="both"/>
        <w:ind w:left="540" w:right="539" w:firstLine="725"/>
        <w:spacing w:after="0" w:line="245" w:lineRule="auto"/>
        <w:tabs>
          <w:tab w:leader="none" w:pos="183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Upon the Borrower’s receipt of notice of the commencement of a Benchmark Unavailability Period, the Borrower may revoke any request for a Eurocurrency Rate Borrowing of, conversion to or continuation of Eurocurrency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98" w:lineRule="exact"/>
        <w:rPr>
          <w:rFonts w:ascii="Arial" w:cs="Arial" w:eastAsia="Arial" w:hAnsi="Arial"/>
          <w:sz w:val="22"/>
          <w:szCs w:val="22"/>
          <w:color w:val="auto"/>
        </w:rPr>
      </w:pPr>
    </w:p>
    <w:p>
      <w:pPr>
        <w:ind w:left="1840" w:hanging="575"/>
        <w:spacing w:after="0"/>
        <w:tabs>
          <w:tab w:leader="none" w:pos="184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20" w:lineRule="exact"/>
        <w:rPr>
          <w:sz w:val="20"/>
          <w:szCs w:val="20"/>
          <w:color w:val="auto"/>
        </w:rPr>
      </w:pPr>
    </w:p>
    <w:p>
      <w:pPr>
        <w:jc w:val="both"/>
        <w:ind w:left="540" w:right="499"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2.17.</w:t>
      </w:r>
    </w:p>
    <w:p>
      <w:pPr>
        <w:spacing w:after="0" w:line="156" w:lineRule="exact"/>
        <w:rPr>
          <w:sz w:val="20"/>
          <w:szCs w:val="20"/>
          <w:color w:val="auto"/>
        </w:rPr>
      </w:pPr>
    </w:p>
    <w:p>
      <w:pPr>
        <w:jc w:val="both"/>
        <w:ind w:left="540" w:right="499"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the LIBO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a Term SOFR Transition Event, an Early Opt-in Election or an Other Benchmark Rate Election, as applicable, and its related Benchmark Replacement Date have occurred with respect to the LIBO Rate or the then-current Benchmark, then “Benchmark”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79" w:name="page180"/>
    <w:bookmarkEnd w:id="179"/>
    <w:p>
      <w:pPr>
        <w:jc w:val="both"/>
        <w:ind w:left="540" w:right="499"/>
        <w:spacing w:after="0" w:line="253" w:lineRule="auto"/>
        <w:rPr>
          <w:sz w:val="20"/>
          <w:szCs w:val="20"/>
          <w:color w:val="auto"/>
        </w:rPr>
      </w:pPr>
      <w:r>
        <w:rPr>
          <w:rFonts w:ascii="Arial" w:cs="Arial" w:eastAsia="Arial" w:hAnsi="Arial"/>
          <w:sz w:val="22"/>
          <w:szCs w:val="22"/>
          <w:color w:val="auto"/>
        </w:rPr>
        <w:t>means the applicable Benchmark Replacement to the extent that such Benchmark Replacement has replaced such prior benchmark rate pursuant to clause (b) or clause (c) of Section 2.17.</w:t>
      </w:r>
    </w:p>
    <w:p>
      <w:pPr>
        <w:spacing w:after="0" w:line="185" w:lineRule="exact"/>
        <w:rPr>
          <w:sz w:val="20"/>
          <w:szCs w:val="20"/>
          <w:color w:val="auto"/>
        </w:rPr>
      </w:pPr>
    </w:p>
    <w:p>
      <w:pPr>
        <w:jc w:val="both"/>
        <w:ind w:left="540" w:right="499"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 Other Benchmark Rate Election, “Benchmark Replacement” shall mean the alternative set forth in (3) below:</w:t>
      </w:r>
    </w:p>
    <w:p>
      <w:pPr>
        <w:spacing w:after="0" w:line="142" w:lineRule="exact"/>
        <w:rPr>
          <w:sz w:val="20"/>
          <w:szCs w:val="20"/>
          <w:color w:val="auto"/>
        </w:rPr>
      </w:pPr>
    </w:p>
    <w:p>
      <w:pPr>
        <w:ind w:left="1180" w:right="519" w:firstLine="656"/>
        <w:spacing w:after="0" w:line="263" w:lineRule="auto"/>
        <w:tabs>
          <w:tab w:leader="none" w:pos="213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174" w:lineRule="exact"/>
        <w:rPr>
          <w:rFonts w:ascii="Arial" w:cs="Arial" w:eastAsia="Arial" w:hAnsi="Arial"/>
          <w:sz w:val="22"/>
          <w:szCs w:val="22"/>
          <w:color w:val="auto"/>
        </w:rPr>
      </w:pPr>
    </w:p>
    <w:p>
      <w:pPr>
        <w:ind w:left="1180" w:right="499" w:firstLine="656"/>
        <w:spacing w:after="0" w:line="263" w:lineRule="auto"/>
        <w:tabs>
          <w:tab w:leader="none" w:pos="218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174" w:lineRule="exact"/>
        <w:rPr>
          <w:rFonts w:ascii="Arial" w:cs="Arial" w:eastAsia="Arial" w:hAnsi="Arial"/>
          <w:sz w:val="22"/>
          <w:szCs w:val="22"/>
          <w:color w:val="auto"/>
        </w:rPr>
      </w:pPr>
    </w:p>
    <w:p>
      <w:pPr>
        <w:jc w:val="both"/>
        <w:ind w:left="1180" w:right="499" w:firstLine="656"/>
        <w:spacing w:after="0" w:line="259" w:lineRule="auto"/>
        <w:tabs>
          <w:tab w:leader="none" w:pos="214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79" w:lineRule="exact"/>
        <w:rPr>
          <w:sz w:val="20"/>
          <w:szCs w:val="20"/>
          <w:color w:val="auto"/>
        </w:rPr>
      </w:pPr>
    </w:p>
    <w:p>
      <w:pPr>
        <w:jc w:val="both"/>
        <w:ind w:left="540" w:right="499" w:firstLine="648"/>
        <w:spacing w:after="0" w:line="286" w:lineRule="auto"/>
        <w:rPr>
          <w:sz w:val="20"/>
          <w:szCs w:val="20"/>
          <w:color w:val="auto"/>
        </w:rPr>
      </w:pP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case of clause (3), when such clause is used to determine the Benchmark Replacement in connection with the occurrence of an Other Benchmark Rate Election, the alternate benchmark rate selected by the Administrative Agent and the Borrower shall be the term benchmark rate that is used in lieu of a LIBOR-based rate in the relevant other Dollar-denominated syndicated credit facilities;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200" w:lineRule="exact"/>
        <w:rPr>
          <w:sz w:val="20"/>
          <w:szCs w:val="20"/>
          <w:color w:val="auto"/>
        </w:rPr>
      </w:pPr>
    </w:p>
    <w:p>
      <w:pPr>
        <w:spacing w:after="0" w:line="222" w:lineRule="exact"/>
        <w:rPr>
          <w:sz w:val="20"/>
          <w:szCs w:val="20"/>
          <w:color w:val="auto"/>
        </w:rPr>
      </w:pPr>
    </w:p>
    <w:p>
      <w:pPr>
        <w:jc w:val="both"/>
        <w:ind w:left="540" w:right="499" w:firstLine="648"/>
        <w:spacing w:after="0" w:line="271" w:lineRule="auto"/>
        <w:rPr>
          <w:sz w:val="20"/>
          <w:szCs w:val="20"/>
          <w:color w:val="auto"/>
        </w:rPr>
      </w:pPr>
      <w:r>
        <w:rPr>
          <w:rFonts w:ascii="Arial" w:cs="Arial" w:eastAsia="Arial" w:hAnsi="Arial"/>
          <w:sz w:val="21"/>
          <w:szCs w:val="21"/>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67" w:lineRule="exact"/>
        <w:rPr>
          <w:sz w:val="20"/>
          <w:szCs w:val="20"/>
          <w:color w:val="auto"/>
        </w:rPr>
      </w:pPr>
    </w:p>
    <w:p>
      <w:pPr>
        <w:jc w:val="both"/>
        <w:ind w:left="540" w:right="4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ectPr>
          <w:pgSz w:w="11900" w:h="16838" w:orient="portrait"/>
          <w:cols w:equalWidth="0" w:num="1">
            <w:col w:w="9019"/>
          </w:cols>
          <w:pgMar w:left="1440" w:top="928"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0" w:name="page181"/>
    <w:bookmarkEnd w:id="180"/>
    <w:p>
      <w:pPr>
        <w:jc w:val="both"/>
        <w:ind w:left="1180" w:right="499" w:firstLine="656"/>
        <w:spacing w:after="0" w:line="253" w:lineRule="auto"/>
        <w:tabs>
          <w:tab w:leader="none" w:pos="218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185" w:lineRule="exact"/>
        <w:rPr>
          <w:rFonts w:ascii="Arial" w:cs="Arial" w:eastAsia="Arial" w:hAnsi="Arial"/>
          <w:sz w:val="22"/>
          <w:szCs w:val="22"/>
          <w:color w:val="auto"/>
        </w:rPr>
      </w:pPr>
    </w:p>
    <w:p>
      <w:pPr>
        <w:jc w:val="both"/>
        <w:ind w:left="1180" w:right="499" w:firstLine="1304"/>
        <w:spacing w:after="0" w:line="294" w:lineRule="auto"/>
        <w:tabs>
          <w:tab w:leader="none" w:pos="279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49" w:lineRule="exact"/>
        <w:rPr>
          <w:rFonts w:ascii="Arial" w:cs="Arial" w:eastAsia="Arial" w:hAnsi="Arial"/>
          <w:sz w:val="19"/>
          <w:szCs w:val="19"/>
          <w:color w:val="auto"/>
        </w:rPr>
      </w:pPr>
    </w:p>
    <w:p>
      <w:pPr>
        <w:jc w:val="both"/>
        <w:ind w:left="1180" w:right="499" w:firstLine="1304"/>
        <w:spacing w:after="0" w:line="297" w:lineRule="auto"/>
        <w:tabs>
          <w:tab w:leader="none" w:pos="2788"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6" w:lineRule="exact"/>
        <w:rPr>
          <w:rFonts w:ascii="Arial" w:cs="Arial" w:eastAsia="Arial" w:hAnsi="Arial"/>
          <w:sz w:val="19"/>
          <w:szCs w:val="19"/>
          <w:color w:val="auto"/>
        </w:rPr>
      </w:pPr>
    </w:p>
    <w:p>
      <w:pPr>
        <w:jc w:val="both"/>
        <w:ind w:left="1180" w:right="499" w:firstLine="656"/>
        <w:spacing w:after="0" w:line="257" w:lineRule="auto"/>
        <w:tabs>
          <w:tab w:leader="none" w:pos="213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jc w:val="both"/>
        <w:ind w:left="540" w:right="499" w:firstLine="648"/>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8" w:lineRule="exact"/>
        <w:rPr>
          <w:sz w:val="20"/>
          <w:szCs w:val="20"/>
          <w:color w:val="auto"/>
        </w:rPr>
      </w:pPr>
    </w:p>
    <w:p>
      <w:pPr>
        <w:jc w:val="both"/>
        <w:ind w:left="540" w:right="49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81" w:name="page182"/>
    <w:bookmarkEnd w:id="181"/>
    <w:p>
      <w:pPr>
        <w:jc w:val="both"/>
        <w:ind w:left="540" w:right="499"/>
        <w:spacing w:after="0" w:line="271" w:lineRule="auto"/>
        <w:rPr>
          <w:sz w:val="20"/>
          <w:szCs w:val="20"/>
          <w:color w:val="auto"/>
        </w:rPr>
      </w:pPr>
      <w:r>
        <w:rPr>
          <w:rFonts w:ascii="Arial" w:cs="Arial" w:eastAsia="Arial" w:hAnsi="Arial"/>
          <w:sz w:val="21"/>
          <w:szCs w:val="21"/>
          <w:color w:val="auto"/>
        </w:rPr>
        <w:t>administration of such Benchmark Replacement exists, in such other manner of administration as the Administrative Agent decides is reasonably necessary in connection with the administration of this Agreement and the other Loan Documents).</w:t>
      </w:r>
    </w:p>
    <w:p>
      <w:pPr>
        <w:spacing w:after="0" w:line="167" w:lineRule="exact"/>
        <w:rPr>
          <w:sz w:val="20"/>
          <w:szCs w:val="20"/>
          <w:color w:val="auto"/>
        </w:rPr>
      </w:pPr>
    </w:p>
    <w:p>
      <w:pPr>
        <w:jc w:val="both"/>
        <w:ind w:left="540" w:right="519"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means, with respect to any Benchmark, the earliest to occur of the following events with respect to such then-current Benchmark:</w:t>
      </w:r>
    </w:p>
    <w:p>
      <w:pPr>
        <w:spacing w:after="0" w:line="151" w:lineRule="exact"/>
        <w:rPr>
          <w:sz w:val="20"/>
          <w:szCs w:val="20"/>
          <w:color w:val="auto"/>
        </w:rPr>
      </w:pPr>
    </w:p>
    <w:p>
      <w:pPr>
        <w:jc w:val="both"/>
        <w:ind w:left="1180" w:right="499" w:firstLine="656"/>
        <w:spacing w:after="0" w:line="247" w:lineRule="auto"/>
        <w:tabs>
          <w:tab w:leader="none" w:pos="213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92" w:lineRule="exact"/>
        <w:rPr>
          <w:rFonts w:ascii="Arial" w:cs="Arial" w:eastAsia="Arial" w:hAnsi="Arial"/>
          <w:sz w:val="22"/>
          <w:szCs w:val="22"/>
          <w:color w:val="auto"/>
        </w:rPr>
      </w:pPr>
    </w:p>
    <w:p>
      <w:pPr>
        <w:jc w:val="both"/>
        <w:ind w:left="1180" w:right="499" w:firstLine="656"/>
        <w:spacing w:after="0" w:line="290" w:lineRule="auto"/>
        <w:tabs>
          <w:tab w:leader="none" w:pos="21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55" w:lineRule="exact"/>
        <w:rPr>
          <w:rFonts w:ascii="Arial" w:cs="Arial" w:eastAsia="Arial" w:hAnsi="Arial"/>
          <w:sz w:val="19"/>
          <w:szCs w:val="19"/>
          <w:color w:val="auto"/>
        </w:rPr>
      </w:pPr>
    </w:p>
    <w:p>
      <w:pPr>
        <w:jc w:val="both"/>
        <w:ind w:left="1180" w:right="499" w:firstLine="656"/>
        <w:spacing w:after="0" w:line="253" w:lineRule="auto"/>
        <w:tabs>
          <w:tab w:leader="none" w:pos="214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case of a Term SOFR Transition Event, the date that is thirty (30) days after the date a Term SOFR Notice is provided to the Lenders and the Borrower pursuant to Section 2.17(c); or</w:t>
      </w:r>
    </w:p>
    <w:p>
      <w:pPr>
        <w:spacing w:after="0" w:line="185" w:lineRule="exact"/>
        <w:rPr>
          <w:rFonts w:ascii="Arial" w:cs="Arial" w:eastAsia="Arial" w:hAnsi="Arial"/>
          <w:sz w:val="22"/>
          <w:szCs w:val="22"/>
          <w:color w:val="auto"/>
        </w:rPr>
      </w:pPr>
    </w:p>
    <w:p>
      <w:pPr>
        <w:jc w:val="both"/>
        <w:ind w:left="1180" w:right="499" w:firstLine="656"/>
        <w:spacing w:after="0" w:line="222" w:lineRule="auto"/>
        <w:tabs>
          <w:tab w:leader="none" w:pos="2173"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the case of an Early Opt-in Election or an Other Benchmark Rate Election, the sixth (6</w:t>
      </w:r>
      <w:r>
        <w:rPr>
          <w:rFonts w:ascii="Arial" w:cs="Arial" w:eastAsia="Arial" w:hAnsi="Arial"/>
          <w:sz w:val="32"/>
          <w:szCs w:val="32"/>
          <w:color w:val="auto"/>
          <w:vertAlign w:val="superscript"/>
        </w:rPr>
        <w:t>th</w:t>
      </w:r>
      <w:r>
        <w:rPr>
          <w:rFonts w:ascii="Arial" w:cs="Arial" w:eastAsia="Arial" w:hAnsi="Arial"/>
          <w:sz w:val="22"/>
          <w:szCs w:val="22"/>
          <w:color w:val="auto"/>
        </w:rPr>
        <w:t>) Business Day after the date notice of such Early Opt-in Election or Other Benchmark Rate Election, as applicable, is provided to the Lenders, so long as the Administrative Agent has not received, by 5:00 p.m. (New York City time) on the fifth (5</w:t>
      </w:r>
      <w:r>
        <w:rPr>
          <w:rFonts w:ascii="Arial" w:cs="Arial" w:eastAsia="Arial" w:hAnsi="Arial"/>
          <w:sz w:val="32"/>
          <w:szCs w:val="32"/>
          <w:color w:val="auto"/>
          <w:vertAlign w:val="superscript"/>
        </w:rPr>
        <w:t>th</w:t>
      </w:r>
      <w:r>
        <w:rPr>
          <w:rFonts w:ascii="Arial" w:cs="Arial" w:eastAsia="Arial" w:hAnsi="Arial"/>
          <w:sz w:val="22"/>
          <w:szCs w:val="22"/>
          <w:color w:val="auto"/>
        </w:rPr>
        <w:t>)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206" w:lineRule="exact"/>
        <w:rPr>
          <w:sz w:val="20"/>
          <w:szCs w:val="20"/>
          <w:color w:val="auto"/>
        </w:rPr>
      </w:pPr>
    </w:p>
    <w:p>
      <w:pPr>
        <w:jc w:val="both"/>
        <w:ind w:left="540" w:right="499" w:firstLine="648"/>
        <w:spacing w:after="0" w:line="259" w:lineRule="auto"/>
        <w:rPr>
          <w:sz w:val="20"/>
          <w:szCs w:val="20"/>
          <w:color w:val="auto"/>
        </w:rPr>
      </w:pPr>
      <w:r>
        <w:rPr>
          <w:rFonts w:ascii="Arial" w:cs="Arial" w:eastAsia="Arial" w:hAnsi="Arial"/>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left="540" w:right="49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ectPr>
          <w:pgSz w:w="11900" w:h="16838" w:orient="portrait"/>
          <w:cols w:equalWidth="0" w:num="1">
            <w:col w:w="9019"/>
          </w:cols>
          <w:pgMar w:left="1440" w:top="928"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2" w:name="page183"/>
    <w:bookmarkEnd w:id="182"/>
    <w:p>
      <w:pPr>
        <w:jc w:val="both"/>
        <w:ind w:left="1180" w:right="499" w:firstLine="656"/>
        <w:spacing w:after="0" w:line="292" w:lineRule="auto"/>
        <w:tabs>
          <w:tab w:leader="none" w:pos="215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0" w:lineRule="exact"/>
        <w:rPr>
          <w:rFonts w:ascii="Arial" w:cs="Arial" w:eastAsia="Arial" w:hAnsi="Arial"/>
          <w:sz w:val="19"/>
          <w:szCs w:val="19"/>
          <w:color w:val="auto"/>
        </w:rPr>
      </w:pPr>
    </w:p>
    <w:p>
      <w:pPr>
        <w:jc w:val="both"/>
        <w:ind w:left="1180" w:right="499" w:firstLine="656"/>
        <w:spacing w:after="0" w:line="287" w:lineRule="auto"/>
        <w:tabs>
          <w:tab w:leader="none" w:pos="220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58" w:lineRule="exact"/>
        <w:rPr>
          <w:rFonts w:ascii="Arial" w:cs="Arial" w:eastAsia="Arial" w:hAnsi="Arial"/>
          <w:sz w:val="19"/>
          <w:szCs w:val="19"/>
          <w:color w:val="auto"/>
        </w:rPr>
      </w:pPr>
    </w:p>
    <w:p>
      <w:pPr>
        <w:jc w:val="both"/>
        <w:ind w:left="1180" w:right="499" w:firstLine="656"/>
        <w:spacing w:after="0" w:line="248" w:lineRule="auto"/>
        <w:tabs>
          <w:tab w:leader="none" w:pos="220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92" w:lineRule="exact"/>
        <w:rPr>
          <w:sz w:val="20"/>
          <w:szCs w:val="20"/>
          <w:color w:val="auto"/>
        </w:rPr>
      </w:pPr>
    </w:p>
    <w:p>
      <w:pPr>
        <w:jc w:val="both"/>
        <w:ind w:left="540" w:right="499" w:firstLine="648"/>
        <w:spacing w:after="0" w:line="302"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2" w:lineRule="exact"/>
        <w:rPr>
          <w:sz w:val="20"/>
          <w:szCs w:val="20"/>
          <w:color w:val="auto"/>
        </w:rPr>
      </w:pPr>
    </w:p>
    <w:p>
      <w:pPr>
        <w:jc w:val="both"/>
        <w:ind w:left="540" w:right="499"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2.17 and (y) ending at the time that a Benchmark Replacement has replaced such then-current Benchmark for all purposes hereunder and under any Loan Document in accordance with Section 2.17.</w:t>
      </w:r>
    </w:p>
    <w:p>
      <w:pPr>
        <w:spacing w:after="0" w:line="151" w:lineRule="exact"/>
        <w:rPr>
          <w:sz w:val="20"/>
          <w:szCs w:val="20"/>
          <w:color w:val="auto"/>
        </w:rPr>
      </w:pPr>
    </w:p>
    <w:p>
      <w:pPr>
        <w:jc w:val="both"/>
        <w:ind w:left="540" w:right="49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3" w:lineRule="exact"/>
        <w:rPr>
          <w:sz w:val="20"/>
          <w:szCs w:val="20"/>
          <w:color w:val="auto"/>
        </w:rPr>
      </w:pPr>
    </w:p>
    <w:p>
      <w:pPr>
        <w:jc w:val="both"/>
        <w:ind w:left="540" w:right="4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w:t>
      </w:r>
    </w:p>
    <w:p>
      <w:pPr>
        <w:sectPr>
          <w:pgSz w:w="11900" w:h="16838" w:orient="portrait"/>
          <w:cols w:equalWidth="0" w:num="1">
            <w:col w:w="9019"/>
          </w:cols>
          <w:pgMar w:left="1440" w:top="928" w:right="1440" w:bottom="1440" w:gutter="0" w:footer="0" w:header="0"/>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3" w:name="page184"/>
    <w:bookmarkEnd w:id="183"/>
    <w:p>
      <w:pPr>
        <w:ind w:left="540" w:right="499"/>
        <w:spacing w:after="0" w:line="263" w:lineRule="auto"/>
        <w:rPr>
          <w:sz w:val="20"/>
          <w:szCs w:val="20"/>
          <w:color w:val="auto"/>
        </w:rPr>
      </w:pPr>
      <w:r>
        <w:rPr>
          <w:rFonts w:ascii="Arial" w:cs="Arial" w:eastAsia="Arial" w:hAnsi="Arial"/>
          <w:sz w:val="22"/>
          <w:szCs w:val="22"/>
          <w:color w:val="auto"/>
        </w:rPr>
        <w:t>feasible for the Administrative Agent, then the Administrative Agent may establish another convention in its reasonable discretion.</w:t>
      </w:r>
    </w:p>
    <w:p>
      <w:pPr>
        <w:spacing w:after="0" w:line="175" w:lineRule="exact"/>
        <w:rPr>
          <w:sz w:val="20"/>
          <w:szCs w:val="20"/>
          <w:color w:val="auto"/>
        </w:rPr>
      </w:pPr>
    </w:p>
    <w:p>
      <w:pPr>
        <w:ind w:left="540" w:right="49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if the then-current Benchmark is the LIBO Rate, the occurrence of:</w:t>
      </w:r>
    </w:p>
    <w:p>
      <w:pPr>
        <w:spacing w:after="0" w:line="175" w:lineRule="exact"/>
        <w:rPr>
          <w:sz w:val="20"/>
          <w:szCs w:val="20"/>
          <w:color w:val="auto"/>
        </w:rPr>
      </w:pPr>
    </w:p>
    <w:p>
      <w:pPr>
        <w:jc w:val="both"/>
        <w:ind w:left="1180" w:right="499" w:firstLine="656"/>
        <w:spacing w:after="0" w:line="260" w:lineRule="auto"/>
        <w:tabs>
          <w:tab w:leader="none" w:pos="2271"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80" w:lineRule="exact"/>
        <w:rPr>
          <w:rFonts w:ascii="Arial" w:cs="Arial" w:eastAsia="Arial" w:hAnsi="Arial"/>
          <w:sz w:val="21"/>
          <w:szCs w:val="21"/>
          <w:color w:val="auto"/>
        </w:rPr>
      </w:pPr>
    </w:p>
    <w:p>
      <w:pPr>
        <w:jc w:val="both"/>
        <w:ind w:left="1180" w:right="519" w:firstLine="656"/>
        <w:spacing w:after="0" w:line="250" w:lineRule="auto"/>
        <w:tabs>
          <w:tab w:leader="none" w:pos="22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 to trigger a fallback from the LIBO Rate and the provision, as applicable, by the Administrative Agent of written notice of such election to the Borrower and the Lenders.</w:t>
      </w:r>
    </w:p>
    <w:p>
      <w:pPr>
        <w:spacing w:after="0" w:line="188" w:lineRule="exact"/>
        <w:rPr>
          <w:sz w:val="20"/>
          <w:szCs w:val="20"/>
          <w:color w:val="auto"/>
        </w:rPr>
      </w:pPr>
    </w:p>
    <w:p>
      <w:pPr>
        <w:jc w:val="both"/>
        <w:ind w:left="540" w:right="49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the LIBO Rate.</w:t>
      </w:r>
    </w:p>
    <w:p>
      <w:pPr>
        <w:spacing w:after="0" w:line="185" w:lineRule="exact"/>
        <w:rPr>
          <w:sz w:val="20"/>
          <w:szCs w:val="20"/>
          <w:color w:val="auto"/>
        </w:rPr>
      </w:pPr>
    </w:p>
    <w:p>
      <w:pPr>
        <w:jc w:val="both"/>
        <w:ind w:left="540" w:right="49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Benchmark Rate Election</w:t>
      </w:r>
      <w:r>
        <w:rPr>
          <w:rFonts w:ascii="Arial" w:cs="Arial" w:eastAsia="Arial" w:hAnsi="Arial"/>
          <w:sz w:val="21"/>
          <w:szCs w:val="21"/>
          <w:color w:val="auto"/>
        </w:rPr>
        <w:t>” means, if the then-current Benchmark is the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LIBO Rate, the occurrence of:</w:t>
      </w:r>
    </w:p>
    <w:p>
      <w:pPr>
        <w:spacing w:after="0" w:line="202" w:lineRule="exact"/>
        <w:rPr>
          <w:sz w:val="20"/>
          <w:szCs w:val="20"/>
          <w:color w:val="auto"/>
        </w:rPr>
      </w:pPr>
    </w:p>
    <w:p>
      <w:pPr>
        <w:jc w:val="both"/>
        <w:ind w:left="1180" w:right="499" w:firstLine="656"/>
        <w:spacing w:after="0" w:line="248" w:lineRule="auto"/>
        <w:tabs>
          <w:tab w:leader="none" w:pos="213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request by the Borrower to the Administrative Agent to notify each of the other parties hereto that, at the determination of the Borrower, Dollar-denominated syndicated credit facilities at such time contain (as a result of amendment or as originally executed), in lieu of a LIBOR-based rate, a term benchmark rate as a benchmark rate, and</w:t>
      </w:r>
    </w:p>
    <w:p>
      <w:pPr>
        <w:spacing w:after="0" w:line="191" w:lineRule="exact"/>
        <w:rPr>
          <w:rFonts w:ascii="Arial" w:cs="Arial" w:eastAsia="Arial" w:hAnsi="Arial"/>
          <w:sz w:val="22"/>
          <w:szCs w:val="22"/>
          <w:color w:val="auto"/>
        </w:rPr>
      </w:pPr>
    </w:p>
    <w:p>
      <w:pPr>
        <w:jc w:val="both"/>
        <w:ind w:left="1180" w:right="499" w:firstLine="656"/>
        <w:spacing w:after="0" w:line="250" w:lineRule="auto"/>
        <w:tabs>
          <w:tab w:leader="none" w:pos="214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Administrative Agent, in its sole discretion, and the Borrower jointly elect to trigger a fallback from the LIBO Rate and the provision, as applicable, by the Administrative Agent of written notice of such election to the Borrower and the Lenders.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w:t>
      </w:r>
    </w:p>
    <w:p>
      <w:pPr>
        <w:spacing w:after="0" w:line="56" w:lineRule="exact"/>
        <w:rPr>
          <w:sz w:val="20"/>
          <w:szCs w:val="20"/>
          <w:color w:val="auto"/>
        </w:rPr>
      </w:pPr>
    </w:p>
    <w:p>
      <w:pPr>
        <w:jc w:val="both"/>
        <w:ind w:left="540" w:right="499"/>
        <w:spacing w:after="0" w:line="244" w:lineRule="auto"/>
        <w:tabs>
          <w:tab w:leader="none" w:pos="86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such Benchmark is the LIBO Rate, 11:00 a.m., London time, on the day that is two London banking days preceding the date of such setting, and (2) if such Benchmark is not the LIBO Rate, the time determined by the Administrative Agent in its reasonable discretion.</w:t>
      </w:r>
    </w:p>
    <w:p>
      <w:pPr>
        <w:sectPr>
          <w:pgSz w:w="11900" w:h="16838" w:orient="portrait"/>
          <w:cols w:equalWidth="0" w:num="1">
            <w:col w:w="9019"/>
          </w:cols>
          <w:pgMar w:left="1440" w:top="928"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4" w:name="page185"/>
    <w:bookmarkEnd w:id="184"/>
    <w:p>
      <w:pPr>
        <w:jc w:val="both"/>
        <w:ind w:left="540" w:right="49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Board and/or the NYFRB, or a committee officially endorsed or convened by the Board and/or the NYFRB or, in each case, any successor thereto.</w:t>
      </w:r>
    </w:p>
    <w:p>
      <w:pPr>
        <w:spacing w:after="0" w:line="185" w:lineRule="exact"/>
        <w:rPr>
          <w:sz w:val="20"/>
          <w:szCs w:val="20"/>
          <w:color w:val="auto"/>
        </w:rPr>
      </w:pPr>
    </w:p>
    <w:p>
      <w:pPr>
        <w:jc w:val="both"/>
        <w:ind w:left="540" w:right="499" w:firstLine="71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88" w:lineRule="exact"/>
        <w:rPr>
          <w:sz w:val="20"/>
          <w:szCs w:val="20"/>
          <w:color w:val="auto"/>
        </w:rPr>
      </w:pPr>
    </w:p>
    <w:p>
      <w:pPr>
        <w:jc w:val="both"/>
        <w:ind w:left="540" w:right="5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NYFRB (or a successor administrator of the secured overnight financing rate).</w:t>
      </w:r>
    </w:p>
    <w:p>
      <w:pPr>
        <w:spacing w:after="0" w:line="175" w:lineRule="exact"/>
        <w:rPr>
          <w:sz w:val="20"/>
          <w:szCs w:val="20"/>
          <w:color w:val="auto"/>
        </w:rPr>
      </w:pPr>
    </w:p>
    <w:p>
      <w:pPr>
        <w:jc w:val="both"/>
        <w:ind w:left="540" w:right="49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Administrator’s Website</w:t>
      </w:r>
      <w:r>
        <w:rPr>
          <w:rFonts w:ascii="Arial" w:cs="Arial" w:eastAsia="Arial" w:hAnsi="Arial"/>
          <w:sz w:val="22"/>
          <w:szCs w:val="22"/>
          <w:color w:val="auto"/>
        </w:rPr>
        <w:t>” means the NYFRB’s Website, currently at http://www.newyorkfed.org, or any successor source for the secured overnight financing rate identified as such by the SOFR Administrator from time to time.</w:t>
      </w:r>
    </w:p>
    <w:p>
      <w:pPr>
        <w:spacing w:after="0" w:line="185" w:lineRule="exact"/>
        <w:rPr>
          <w:sz w:val="20"/>
          <w:szCs w:val="20"/>
          <w:color w:val="auto"/>
        </w:rPr>
      </w:pPr>
    </w:p>
    <w:p>
      <w:pPr>
        <w:jc w:val="both"/>
        <w:ind w:left="540" w:right="49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for the applicable Corresponding Tenor as of the applicable Reference Time, the forward-looking term rate based on SOFR that has been selected or recommended by the Relevant Governmental Body.</w:t>
      </w:r>
    </w:p>
    <w:p>
      <w:pPr>
        <w:spacing w:after="0" w:line="185" w:lineRule="exact"/>
        <w:rPr>
          <w:sz w:val="20"/>
          <w:szCs w:val="20"/>
          <w:color w:val="auto"/>
        </w:rPr>
      </w:pPr>
    </w:p>
    <w:p>
      <w:pPr>
        <w:jc w:val="both"/>
        <w:ind w:left="540" w:right="499"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Notice</w:t>
      </w:r>
      <w:r>
        <w:rPr>
          <w:rFonts w:ascii="Arial" w:cs="Arial" w:eastAsia="Arial" w:hAnsi="Arial"/>
          <w:sz w:val="21"/>
          <w:szCs w:val="21"/>
          <w:color w:val="auto"/>
        </w:rPr>
        <w:t>” means a notification by the Administrative Agent to the Lenders and the Borrower of the occurrence of a Term SOFR Transition Event.</w:t>
      </w:r>
    </w:p>
    <w:p>
      <w:pPr>
        <w:spacing w:after="0" w:line="151" w:lineRule="exact"/>
        <w:rPr>
          <w:sz w:val="20"/>
          <w:szCs w:val="20"/>
          <w:color w:val="auto"/>
        </w:rPr>
      </w:pPr>
    </w:p>
    <w:p>
      <w:pPr>
        <w:jc w:val="both"/>
        <w:ind w:left="540" w:right="49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Transition Event</w:t>
      </w:r>
      <w:r>
        <w:rPr>
          <w:rFonts w:ascii="Arial" w:cs="Arial" w:eastAsia="Arial" w:hAnsi="Arial"/>
          <w:sz w:val="21"/>
          <w:szCs w:val="21"/>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2.17 that is not Term SOFR.</w:t>
      </w:r>
    </w:p>
    <w:p>
      <w:pPr>
        <w:spacing w:after="0" w:line="180" w:lineRule="exact"/>
        <w:rPr>
          <w:sz w:val="20"/>
          <w:szCs w:val="20"/>
          <w:color w:val="auto"/>
        </w:rPr>
      </w:pPr>
    </w:p>
    <w:p>
      <w:pPr>
        <w:jc w:val="both"/>
        <w:ind w:left="540" w:right="5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22"/>
          <w:szCs w:val="22"/>
          <w:u w:val="single" w:color="auto"/>
          <w:color w:val="auto"/>
        </w:rPr>
        <w:t>TAXES, YIELD PROTECTION AND ILLEGALITY</w:t>
      </w:r>
    </w:p>
    <w:p>
      <w:pPr>
        <w:spacing w:after="0" w:line="220"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20" w:lineRule="exact"/>
        <w:rPr>
          <w:sz w:val="20"/>
          <w:szCs w:val="20"/>
          <w:color w:val="auto"/>
        </w:rPr>
      </w:pPr>
    </w:p>
    <w:p>
      <w:pPr>
        <w:jc w:val="both"/>
        <w:ind w:left="540" w:right="479" w:firstLine="635"/>
        <w:spacing w:after="0" w:line="289" w:lineRule="auto"/>
        <w:tabs>
          <w:tab w:leader="none" w:pos="1618"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xml:space="preserve">. (i) Any and all payments by or on account of any obligation of any Loan Party hereunder or under any other Loan Document shall to the extent permitted by applicable Laws be made free and clear of and without reduction or withholding for any Taxes. If, however, any Withholding Agent shall be required by applicable Law to withhold or deduct any Taxes from any payment, then (A) such Withholding Agent shall be entitled to withhold or make such deductions as are determined by such Withholding Agent to be required, including based upon the information and documentation it has received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3.01(e)</w:t>
      </w:r>
      <w:r>
        <w:rPr>
          <w:rFonts w:ascii="Arial" w:cs="Arial" w:eastAsia="Arial" w:hAnsi="Arial"/>
          <w:sz w:val="19"/>
          <w:szCs w:val="19"/>
          <w:color w:val="auto"/>
        </w:rPr>
        <w:t>, (B) such Withholding Agent shall timely pay the full amount withheld or deducted</w:t>
      </w:r>
    </w:p>
    <w:p>
      <w:pPr>
        <w:sectPr>
          <w:pgSz w:w="11900" w:h="16838" w:orient="portrait"/>
          <w:cols w:equalWidth="0" w:num="1">
            <w:col w:w="9019"/>
          </w:cols>
          <w:pgMar w:left="1440" w:top="928" w:right="1440"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5" w:name="page186"/>
    <w:bookmarkEnd w:id="185"/>
    <w:p>
      <w:pPr>
        <w:jc w:val="both"/>
        <w:ind w:left="540" w:right="459"/>
        <w:spacing w:after="0" w:line="292" w:lineRule="auto"/>
        <w:rPr>
          <w:sz w:val="20"/>
          <w:szCs w:val="20"/>
          <w:color w:val="auto"/>
        </w:rPr>
      </w:pPr>
      <w:r>
        <w:rPr>
          <w:rFonts w:ascii="Arial" w:cs="Arial" w:eastAsia="Arial" w:hAnsi="Arial"/>
          <w:sz w:val="19"/>
          <w:szCs w:val="19"/>
          <w:color w:val="auto"/>
        </w:rPr>
        <w:t xml:space="preserve">to the relevant Governmental Authority in accordance with applicable Law, and (C) to the extent that the withholding or deduction is made on account of Indemnified Taxes, the sum payable by such Loan Party shall be increased as necessary so that after any required withholding or the making of all required deductions (including withholding or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Administrative Agent, the applicable Lender or the applicable L/C Issuer, as the case may be, receives an amount equal to the sum it would have received had no such withholding or deduction been made.</w:t>
      </w:r>
    </w:p>
    <w:p>
      <w:pPr>
        <w:spacing w:after="0" w:line="151" w:lineRule="exact"/>
        <w:rPr>
          <w:sz w:val="20"/>
          <w:szCs w:val="20"/>
          <w:color w:val="auto"/>
        </w:rPr>
      </w:pPr>
    </w:p>
    <w:p>
      <w:pPr>
        <w:jc w:val="both"/>
        <w:ind w:left="540" w:right="539" w:firstLine="725"/>
        <w:spacing w:after="0" w:line="302" w:lineRule="auto"/>
        <w:tabs>
          <w:tab w:leader="none" w:pos="183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xml:space="preserve">. Without limiting the provisions of </w:t>
      </w:r>
      <w:r>
        <w:rPr>
          <w:rFonts w:ascii="Arial" w:cs="Arial" w:eastAsia="Arial" w:hAnsi="Arial"/>
          <w:sz w:val="19"/>
          <w:szCs w:val="19"/>
          <w:u w:val="single" w:color="auto"/>
          <w:color w:val="auto"/>
        </w:rPr>
        <w:t>Section 3.01(a)</w:t>
      </w:r>
      <w:r>
        <w:rPr>
          <w:rFonts w:ascii="Arial" w:cs="Arial" w:eastAsia="Arial" w:hAnsi="Arial"/>
          <w:sz w:val="19"/>
          <w:szCs w:val="19"/>
          <w:color w:val="auto"/>
        </w:rPr>
        <w:t>, the Loan Parties shall timely pay any Other Taxes to the relevant Governmental Authority in accordance with applicable Laws or at the option of the Administrative Agent timely reimburse it for the payment of any Other Taxes.</w:t>
      </w:r>
    </w:p>
    <w:p>
      <w:pPr>
        <w:spacing w:after="0" w:line="142" w:lineRule="exact"/>
        <w:rPr>
          <w:rFonts w:ascii="Arial" w:cs="Arial" w:eastAsia="Arial" w:hAnsi="Arial"/>
          <w:sz w:val="19"/>
          <w:szCs w:val="19"/>
          <w:color w:val="auto"/>
        </w:rPr>
      </w:pPr>
    </w:p>
    <w:p>
      <w:pPr>
        <w:jc w:val="both"/>
        <w:ind w:left="540" w:right="539" w:firstLine="725"/>
        <w:spacing w:after="0" w:line="286" w:lineRule="auto"/>
        <w:tabs>
          <w:tab w:leader="none" w:pos="183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 xml:space="preserve">. (i) Without limiting or duplication of the provisions of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3.01(b)</w:t>
      </w:r>
      <w:r>
        <w:rPr>
          <w:rFonts w:ascii="Arial" w:cs="Arial" w:eastAsia="Arial" w:hAnsi="Arial"/>
          <w:sz w:val="19"/>
          <w:szCs w:val="19"/>
          <w:color w:val="auto"/>
        </w:rPr>
        <w:t xml:space="preserve">, each Loan Party shall, and does hereby, indemnify the Administrative Agent, each Lender and each L/C Issuer, and shall make payment in respect thereof within 20 days after written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the Administrative Agent, such Lender or such L/C Issuer or required to be withheld or deducted from a payment to such Lender or such L/C Issuer, as the case may be, and any penalties, interest and reasonable expenses (including the fees, charges and disbursements of any counsel for the Administrative Agent, such Lender or such L/C Issuer) arising therefrom or with respect thereto, whether or not such Indemnified Taxes were correctly or legally imposed or asserted by the relevant Governmental Authority. A certificate as to any amount due pursuant to this </w:t>
      </w:r>
      <w:r>
        <w:rPr>
          <w:rFonts w:ascii="Arial" w:cs="Arial" w:eastAsia="Arial" w:hAnsi="Arial"/>
          <w:sz w:val="19"/>
          <w:szCs w:val="19"/>
          <w:u w:val="single" w:color="auto"/>
          <w:color w:val="auto"/>
        </w:rPr>
        <w:t>Section 3.01(c)(i)</w:t>
      </w:r>
      <w:r>
        <w:rPr>
          <w:rFonts w:ascii="Arial" w:cs="Arial" w:eastAsia="Arial" w:hAnsi="Arial"/>
          <w:sz w:val="19"/>
          <w:szCs w:val="19"/>
          <w:color w:val="auto"/>
        </w:rPr>
        <w:t xml:space="preserve"> delivered to the Borrower by a Lender or a L/C Issuer (with a copy to the Administrative Agent), or by the Administrative Agent on its own behalf or on behalf of a Lender or an L/C Issuer, shall be conclusive absent manifest error.</w:t>
      </w:r>
    </w:p>
    <w:p>
      <w:pPr>
        <w:spacing w:after="0" w:line="158" w:lineRule="exact"/>
        <w:rPr>
          <w:rFonts w:ascii="Arial" w:cs="Arial" w:eastAsia="Arial" w:hAnsi="Arial"/>
          <w:sz w:val="19"/>
          <w:szCs w:val="19"/>
          <w:color w:val="auto"/>
        </w:rPr>
      </w:pPr>
    </w:p>
    <w:p>
      <w:pPr>
        <w:jc w:val="both"/>
        <w:ind w:left="1180" w:right="539" w:firstLine="656"/>
        <w:spacing w:after="0" w:line="285" w:lineRule="auto"/>
        <w:tabs>
          <w:tab w:leader="none" w:pos="247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3.01(b)</w:t>
      </w:r>
      <w:r>
        <w:rPr>
          <w:rFonts w:ascii="Arial" w:cs="Arial" w:eastAsia="Arial" w:hAnsi="Arial"/>
          <w:sz w:val="19"/>
          <w:szCs w:val="19"/>
          <w:color w:val="auto"/>
        </w:rPr>
        <w:t>, and except as provided below, each Lender and each L/C Issuer shall, and does hereby, severally indemnify the Administrative Agent, and shall make payment in respect thereof within 20 days after written demand therefor, against any and all (A) Indemnified Taxes (but only to the extent that any Loan Party has not already indemnified the Administrative Agent for such Indemnified Taxes and without limiting the obligation of the Loan Parties to do so), (B) any Taxes attributable to such Lender’s or such L/C Issuer’s failure to comply with the provisions of Section 11.06(e) 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any L/C Issuer by the Administrative Agent shall be conclusive absent manifest error. Each Lender and each L/C Issuer hereby authorizes the Administrative Agent (on its own behalf or on behalf of such Lender or such L/C Issuer) to set off and apply any and all amounts (including interest and fees) at any time owing to such Lender or such L/C Issuer, as the case may be, under this Agreement or any other</w:t>
      </w:r>
    </w:p>
    <w:p>
      <w:pPr>
        <w:sectPr>
          <w:pgSz w:w="11900" w:h="16838" w:orient="portrait"/>
          <w:cols w:equalWidth="0" w:num="1">
            <w:col w:w="9019"/>
          </w:cols>
          <w:pgMar w:left="1440" w:top="928" w:right="1440" w:bottom="1440" w:gutter="0" w:footer="0" w:header="0"/>
        </w:sect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6" w:name="page187"/>
    <w:bookmarkEnd w:id="186"/>
    <w:p>
      <w:pPr>
        <w:jc w:val="both"/>
        <w:ind w:left="1180" w:right="539"/>
        <w:spacing w:after="0" w:line="247" w:lineRule="auto"/>
        <w:rPr>
          <w:sz w:val="20"/>
          <w:szCs w:val="20"/>
          <w:color w:val="auto"/>
        </w:rPr>
      </w:pPr>
      <w:r>
        <w:rPr>
          <w:rFonts w:ascii="Arial" w:cs="Arial" w:eastAsia="Arial" w:hAnsi="Arial"/>
          <w:sz w:val="22"/>
          <w:szCs w:val="22"/>
          <w:color w:val="auto"/>
        </w:rPr>
        <w:t xml:space="preserve">Loan Document against any amount due to the Administrative Agent under this </w:t>
      </w:r>
      <w:r>
        <w:rPr>
          <w:rFonts w:ascii="Arial" w:cs="Arial" w:eastAsia="Arial" w:hAnsi="Arial"/>
          <w:sz w:val="22"/>
          <w:szCs w:val="22"/>
          <w:u w:val="single" w:color="auto"/>
          <w:color w:val="auto"/>
        </w:rPr>
        <w:t>Section 3.01(c)(ii)</w:t>
      </w:r>
      <w:r>
        <w:rPr>
          <w:rFonts w:ascii="Arial" w:cs="Arial" w:eastAsia="Arial" w:hAnsi="Arial"/>
          <w:sz w:val="22"/>
          <w:szCs w:val="22"/>
          <w:color w:val="auto"/>
        </w:rPr>
        <w:t xml:space="preserve">. The agreements in this </w:t>
      </w:r>
      <w:r>
        <w:rPr>
          <w:rFonts w:ascii="Arial" w:cs="Arial" w:eastAsia="Arial" w:hAnsi="Arial"/>
          <w:sz w:val="22"/>
          <w:szCs w:val="22"/>
          <w:u w:val="single" w:color="auto"/>
          <w:color w:val="auto"/>
        </w:rPr>
        <w:t>Section 3.01(c)(ii)</w:t>
      </w:r>
      <w:r>
        <w:rPr>
          <w:rFonts w:ascii="Arial" w:cs="Arial" w:eastAsia="Arial" w:hAnsi="Arial"/>
          <w:sz w:val="22"/>
          <w:szCs w:val="22"/>
          <w:color w:val="auto"/>
        </w:rPr>
        <w:t xml:space="preserve">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193" w:lineRule="exact"/>
        <w:rPr>
          <w:sz w:val="20"/>
          <w:szCs w:val="20"/>
          <w:color w:val="auto"/>
        </w:rPr>
      </w:pPr>
    </w:p>
    <w:p>
      <w:pPr>
        <w:jc w:val="both"/>
        <w:ind w:left="540" w:right="539" w:firstLine="725"/>
        <w:spacing w:after="0" w:line="246" w:lineRule="auto"/>
        <w:tabs>
          <w:tab w:leader="none" w:pos="183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xml:space="preserve">. As soon as reasonably practicable after any payment of Taxes by the Loan Parties or by the Administrative Agent to a Governmental Authority as provided in this </w:t>
      </w:r>
      <w:r>
        <w:rPr>
          <w:rFonts w:ascii="Arial" w:cs="Arial" w:eastAsia="Arial" w:hAnsi="Arial"/>
          <w:sz w:val="22"/>
          <w:szCs w:val="22"/>
          <w:u w:val="single" w:color="auto"/>
          <w:color w:val="auto"/>
        </w:rPr>
        <w:t>Section 3.01</w:t>
      </w:r>
      <w:r>
        <w:rPr>
          <w:rFonts w:ascii="Arial" w:cs="Arial" w:eastAsia="Arial" w:hAnsi="Arial"/>
          <w:sz w:val="22"/>
          <w:szCs w:val="22"/>
          <w:color w:val="auto"/>
        </w:rPr>
        <w:t>, the Borrower shall deliver to the Administrative Agent or the Administrative Agent shall deliver to the Borrower the original or a certified copy of a receipt issued by such Governmental Authority evidencing such payment, a copy of any return required by applicable Laws to report such payment or other evidence of such payment reasonably satisfactory to Borrower or the Administrative Agent, as the case may be.</w:t>
      </w:r>
    </w:p>
    <w:p>
      <w:pPr>
        <w:spacing w:after="0" w:line="193" w:lineRule="exact"/>
        <w:rPr>
          <w:rFonts w:ascii="Arial" w:cs="Arial" w:eastAsia="Arial" w:hAnsi="Arial"/>
          <w:sz w:val="22"/>
          <w:szCs w:val="22"/>
          <w:color w:val="auto"/>
        </w:rPr>
      </w:pPr>
    </w:p>
    <w:p>
      <w:pPr>
        <w:jc w:val="both"/>
        <w:ind w:left="540" w:right="539" w:firstLine="725"/>
        <w:spacing w:after="0" w:line="285" w:lineRule="auto"/>
        <w:tabs>
          <w:tab w:leader="none" w:pos="1836"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Status of Lenders; Tax Documentation</w:t>
      </w:r>
      <w:r>
        <w:rPr>
          <w:rFonts w:ascii="Arial" w:cs="Arial" w:eastAsia="Arial" w:hAnsi="Arial"/>
          <w:sz w:val="19"/>
          <w:szCs w:val="19"/>
          <w:color w:val="auto"/>
        </w:rPr>
        <w:t xml:space="preserve">. (i) The Administrative Agent, each Lender and each L/C Issuer shall deliver to the Borrower and to the Administrative Agent (if applicable), if reasonably requested by the Borrower or the Administrative Agent in writing,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by the Loan Parties hereunder or under any other Loan Document are subject to Taxes, (B) if applicable, the required rate of withholding or deduction, and (C) the entitlement of the Administrative Agent, such Lender or such L/C Issuer to any available exemption from, or reduction of, applicable Taxes in respect of all payments to be made to such Person by the Loan Parties pursuant to this Agreement or otherwise to establish such Person’s status for withholding tax or information reporting purposes in the applicable jurisdictions. Notwithstanding anything to the contrary in this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the completion, execution and submission of the documentation referred to in this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(other than such documentation set forth in Sections </w:t>
      </w:r>
      <w:r>
        <w:rPr>
          <w:rFonts w:ascii="Arial" w:cs="Arial" w:eastAsia="Arial" w:hAnsi="Arial"/>
          <w:sz w:val="19"/>
          <w:szCs w:val="19"/>
          <w:u w:val="single" w:color="auto"/>
          <w:color w:val="auto"/>
        </w:rPr>
        <w:t>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3.01(g)</w:t>
      </w:r>
      <w:r>
        <w:rPr>
          <w:rFonts w:ascii="Arial" w:cs="Arial" w:eastAsia="Arial" w:hAnsi="Arial"/>
          <w:sz w:val="19"/>
          <w:szCs w:val="19"/>
          <w:color w:val="auto"/>
        </w:rPr>
        <w:t>) shall not be required if in such Lender’s reasonable judgment such completion, execution or submission would subject such Lender to any material unreimbursed cost or expense or materially prejudice the legal or commercial position of such Lender.</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2480" w:hanging="644"/>
        <w:spacing w:after="0"/>
        <w:tabs>
          <w:tab w:leader="none" w:pos="24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19" w:lineRule="exact"/>
        <w:rPr>
          <w:rFonts w:ascii="Arial" w:cs="Arial" w:eastAsia="Arial" w:hAnsi="Arial"/>
          <w:sz w:val="22"/>
          <w:szCs w:val="22"/>
          <w:color w:val="auto"/>
        </w:rPr>
      </w:pPr>
    </w:p>
    <w:p>
      <w:pPr>
        <w:jc w:val="both"/>
        <w:ind w:left="1840" w:right="559" w:firstLine="644"/>
        <w:spacing w:after="0" w:line="289" w:lineRule="auto"/>
        <w:tabs>
          <w:tab w:leader="none" w:pos="3136" w:val="left"/>
        </w:tabs>
        <w:numPr>
          <w:ilvl w:val="2"/>
          <w:numId w:val="139"/>
        </w:numPr>
        <w:rPr>
          <w:rFonts w:ascii="Arial" w:cs="Arial" w:eastAsia="Arial" w:hAnsi="Arial"/>
          <w:sz w:val="19"/>
          <w:szCs w:val="19"/>
          <w:color w:val="auto"/>
        </w:rPr>
      </w:pPr>
      <w:r>
        <w:rPr>
          <w:rFonts w:ascii="Arial" w:cs="Arial" w:eastAsia="Arial" w:hAnsi="Arial"/>
          <w:sz w:val="19"/>
          <w:szCs w:val="19"/>
          <w:color w:val="auto"/>
        </w:rPr>
        <w:t>any Lender that is a US Person shall, on or prior to the date it becomes a party to this Agreement (and from time to time thereafter upon the expiration, obsolescence or invalidity of any form, documentation or information previously delivered pursuant to this clause (A)), deliver to the Borrower and the Administrative Agent two properly completed and executed copies of Internal Revenue Service Form W-9 or such other documentation or information prescribed by applicable Laws or reasonably requested by the Borrower or the Administrative Agent as will establish its exemption from backup withholding;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87" w:name="page188"/>
    <w:bookmarkEnd w:id="187"/>
    <w:p>
      <w:pPr>
        <w:jc w:val="both"/>
        <w:ind w:left="1840" w:right="559" w:firstLine="644"/>
        <w:spacing w:after="0" w:line="288" w:lineRule="auto"/>
        <w:tabs>
          <w:tab w:leader="none" w:pos="313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on or prior to the date on which such Foreign Lender becomes a Foreign Lender under this Agreement (and from time to time thereafter upon the expiration, obsolescence or invalidity of any form, documentation or information previously delivered pursuant to this clause (B), or upon the request of the Borrower or the Administrative Agent, but only if such Foreign Lender is legally entitled to do so), two of whichever of the following is applicable:</w:t>
      </w:r>
    </w:p>
    <w:p>
      <w:pPr>
        <w:spacing w:after="0" w:line="159" w:lineRule="exact"/>
        <w:rPr>
          <w:rFonts w:ascii="Arial" w:cs="Arial" w:eastAsia="Arial" w:hAnsi="Arial"/>
          <w:sz w:val="19"/>
          <w:szCs w:val="19"/>
          <w:color w:val="auto"/>
        </w:rPr>
      </w:pPr>
    </w:p>
    <w:p>
      <w:pPr>
        <w:jc w:val="both"/>
        <w:ind w:left="2480" w:right="559" w:firstLine="652"/>
        <w:spacing w:after="0" w:line="312" w:lineRule="auto"/>
        <w:tabs>
          <w:tab w:leader="none" w:pos="3776" w:val="left"/>
        </w:tabs>
        <w:numPr>
          <w:ilvl w:val="1"/>
          <w:numId w:val="140"/>
        </w:numPr>
        <w:rPr>
          <w:rFonts w:ascii="Arial" w:cs="Arial" w:eastAsia="Arial" w:hAnsi="Arial"/>
          <w:sz w:val="19"/>
          <w:szCs w:val="19"/>
          <w:color w:val="auto"/>
        </w:rPr>
      </w:pPr>
      <w:r>
        <w:rPr>
          <w:rFonts w:ascii="Arial" w:cs="Arial" w:eastAsia="Arial" w:hAnsi="Arial"/>
          <w:sz w:val="19"/>
          <w:szCs w:val="19"/>
          <w:color w:val="auto"/>
        </w:rPr>
        <w:t>properly completed and executed copies of IRS Form W-8BEN or W-8BEN-E (or successor form) claiming eligibility for benefits of an income tax treaty to which the United States is a party,</w:t>
      </w:r>
    </w:p>
    <w:p>
      <w:pPr>
        <w:spacing w:after="0" w:line="133" w:lineRule="exact"/>
        <w:rPr>
          <w:sz w:val="20"/>
          <w:szCs w:val="20"/>
          <w:color w:val="auto"/>
        </w:rPr>
      </w:pPr>
    </w:p>
    <w:p>
      <w:pPr>
        <w:ind w:left="2480" w:right="559" w:firstLine="652"/>
        <w:spacing w:after="0" w:line="263" w:lineRule="auto"/>
        <w:tabs>
          <w:tab w:leader="none" w:pos="377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properly completed and executed copies of IRS Form W-8ECI or W-8EXP (or successor form),</w:t>
      </w:r>
    </w:p>
    <w:p>
      <w:pPr>
        <w:spacing w:after="0" w:line="175" w:lineRule="exact"/>
        <w:rPr>
          <w:sz w:val="20"/>
          <w:szCs w:val="20"/>
          <w:color w:val="auto"/>
        </w:rPr>
      </w:pPr>
    </w:p>
    <w:p>
      <w:pPr>
        <w:jc w:val="both"/>
        <w:ind w:left="2480" w:right="559" w:firstLine="652"/>
        <w:spacing w:after="0" w:line="287" w:lineRule="auto"/>
        <w:tabs>
          <w:tab w:leader="none" w:pos="377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of such payments, properly completed and executed copies of IRS Form W-8IMY (or successor form), accompanied by IRS Form W-8ECI, IRS Form W-8BEN or W-8BEN-E (or successor form), and all required supporting documentation,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for U.S. federal income tax purposes and one or more direct or indirect partners of such Foreign Lender are claiming the portfolio interest exemption, such Foreign Lender may provide certification documents on behalf of each such direct and indirect partner,</w:t>
      </w:r>
    </w:p>
    <w:p>
      <w:pPr>
        <w:spacing w:after="0" w:line="163" w:lineRule="exact"/>
        <w:rPr>
          <w:sz w:val="20"/>
          <w:szCs w:val="20"/>
          <w:color w:val="auto"/>
        </w:rPr>
      </w:pPr>
    </w:p>
    <w:p>
      <w:pPr>
        <w:jc w:val="both"/>
        <w:ind w:left="2480" w:right="559" w:firstLine="648"/>
        <w:spacing w:after="0" w:line="297" w:lineRule="auto"/>
        <w:rPr>
          <w:sz w:val="20"/>
          <w:szCs w:val="20"/>
          <w:color w:val="auto"/>
        </w:rPr>
      </w:pPr>
      <w:r>
        <w:rPr>
          <w:rFonts w:ascii="Arial" w:cs="Arial" w:eastAsia="Arial" w:hAnsi="Arial"/>
          <w:sz w:val="19"/>
          <w:szCs w:val="19"/>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H-1</w:t>
      </w:r>
      <w:r>
        <w:rPr>
          <w:rFonts w:ascii="Arial" w:cs="Arial" w:eastAsia="Arial" w:hAnsi="Arial"/>
          <w:sz w:val="19"/>
          <w:szCs w:val="19"/>
          <w:color w:val="auto"/>
        </w:rPr>
        <w:t xml:space="preserve">, </w:t>
      </w:r>
      <w:r>
        <w:rPr>
          <w:rFonts w:ascii="Arial" w:cs="Arial" w:eastAsia="Arial" w:hAnsi="Arial"/>
          <w:sz w:val="19"/>
          <w:szCs w:val="19"/>
          <w:u w:val="single" w:color="auto"/>
          <w:color w:val="auto"/>
        </w:rPr>
        <w:t>H-2</w:t>
      </w:r>
      <w:r>
        <w:rPr>
          <w:rFonts w:ascii="Arial" w:cs="Arial" w:eastAsia="Arial" w:hAnsi="Arial"/>
          <w:sz w:val="19"/>
          <w:szCs w:val="19"/>
          <w:color w:val="auto"/>
        </w:rPr>
        <w:t xml:space="preserve">, </w:t>
      </w:r>
      <w:r>
        <w:rPr>
          <w:rFonts w:ascii="Arial" w:cs="Arial" w:eastAsia="Arial" w:hAnsi="Arial"/>
          <w:sz w:val="19"/>
          <w:szCs w:val="19"/>
          <w:u w:val="single" w:color="auto"/>
          <w:color w:val="auto"/>
        </w:rPr>
        <w:t>H-3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H-4</w:t>
      </w:r>
      <w:r>
        <w:rPr>
          <w:rFonts w:ascii="Arial" w:cs="Arial" w:eastAsia="Arial" w:hAnsi="Arial"/>
          <w:sz w:val="19"/>
          <w:szCs w:val="19"/>
          <w:color w:val="auto"/>
        </w:rPr>
        <w:t>, as applicable, and (y) properly completed and executed copies of IRS Form W-8BEN or W-8BEN-E (or successor form), or</w:t>
      </w:r>
    </w:p>
    <w:p>
      <w:pPr>
        <w:spacing w:after="0" w:line="147" w:lineRule="exact"/>
        <w:rPr>
          <w:sz w:val="20"/>
          <w:szCs w:val="20"/>
          <w:color w:val="auto"/>
        </w:rPr>
      </w:pPr>
    </w:p>
    <w:p>
      <w:pPr>
        <w:jc w:val="both"/>
        <w:ind w:left="2480" w:right="559" w:firstLine="652"/>
        <w:spacing w:after="0" w:line="246" w:lineRule="auto"/>
        <w:tabs>
          <w:tab w:leader="none" w:pos="377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properly completed and executed copies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96" w:lineRule="exact"/>
        <w:rPr>
          <w:rFonts w:ascii="Arial" w:cs="Arial" w:eastAsia="Arial" w:hAnsi="Arial"/>
          <w:sz w:val="22"/>
          <w:szCs w:val="22"/>
          <w:color w:val="auto"/>
        </w:rPr>
      </w:pPr>
    </w:p>
    <w:p>
      <w:pPr>
        <w:jc w:val="both"/>
        <w:ind w:left="1180" w:right="539" w:firstLine="656"/>
        <w:spacing w:after="0" w:line="297" w:lineRule="auto"/>
        <w:tabs>
          <w:tab w:leader="none" w:pos="247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Administrative Agent, each Lender and each L/C Issuer shall promptly (A) notify the Borrower and the Administrative Agent (if applicable) of any change in circumstances which would modify or render invalid any claimed exemption or reduction, and (B) take such steps as shall not be disadvantageous to it, in the reasonable judgment of such Person, and as may be reasonably necessary</w:t>
      </w:r>
    </w:p>
    <w:p>
      <w:pPr>
        <w:sectPr>
          <w:pgSz w:w="11900" w:h="16838" w:orient="portrait"/>
          <w:cols w:equalWidth="0" w:num="1">
            <w:col w:w="9019"/>
          </w:cols>
          <w:pgMar w:left="1440" w:top="928" w:right="1440" w:bottom="144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8" w:name="page189"/>
    <w:bookmarkEnd w:id="188"/>
    <w:p>
      <w:pPr>
        <w:jc w:val="both"/>
        <w:ind w:left="1180" w:right="539"/>
        <w:spacing w:after="0" w:line="250" w:lineRule="auto"/>
        <w:rPr>
          <w:sz w:val="20"/>
          <w:szCs w:val="20"/>
          <w:color w:val="auto"/>
        </w:rPr>
      </w:pPr>
      <w:r>
        <w:rPr>
          <w:rFonts w:ascii="Arial" w:cs="Arial" w:eastAsia="Arial" w:hAnsi="Arial"/>
          <w:sz w:val="22"/>
          <w:szCs w:val="22"/>
          <w:color w:val="auto"/>
        </w:rPr>
        <w:t>(including, in the case of any Lender, the re-designation of its Lending Office) to avoid any requirement of applicable Laws of any jurisdiction that any Loan Party or the Administrative Agent make any withholding or deduction for Taxes from amounts payable to such Person.</w:t>
      </w:r>
    </w:p>
    <w:p>
      <w:pPr>
        <w:spacing w:after="0" w:line="188" w:lineRule="exact"/>
        <w:rPr>
          <w:sz w:val="20"/>
          <w:szCs w:val="20"/>
          <w:color w:val="auto"/>
        </w:rPr>
      </w:pPr>
    </w:p>
    <w:p>
      <w:pPr>
        <w:jc w:val="both"/>
        <w:ind w:left="1180" w:right="539" w:firstLine="656"/>
        <w:spacing w:after="0" w:line="289" w:lineRule="auto"/>
        <w:tabs>
          <w:tab w:leader="none" w:pos="2476"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Borrower shall promptly deliver to the Administrative Agent, any Lender or any L/C Issuer, as the Administrative Agent, such Lender or such L/C Issuer shall reasonably request in writing, in a timely fashion after the Effective Date, such documents and forms required by any relevant taxing authorities under the Laws of any jurisdiction, duly executed and completed by the Borrower, as are required to be furnished by the Administrative Agent, such Lender or such L/C Issuer under such Laws in connection with any payment by the Administrative Agent, such Lender or such L/C Issuer of Taxes, or otherwise in connection with the Loan Documents, with respect to such jurisdiction.</w:t>
      </w:r>
    </w:p>
    <w:p>
      <w:pPr>
        <w:spacing w:after="0" w:line="156" w:lineRule="exact"/>
        <w:rPr>
          <w:rFonts w:ascii="Arial" w:cs="Arial" w:eastAsia="Arial" w:hAnsi="Arial"/>
          <w:sz w:val="19"/>
          <w:szCs w:val="19"/>
          <w:color w:val="auto"/>
        </w:rPr>
      </w:pPr>
    </w:p>
    <w:p>
      <w:pPr>
        <w:jc w:val="both"/>
        <w:ind w:left="540" w:right="539" w:firstLine="725"/>
        <w:spacing w:after="0" w:line="284" w:lineRule="auto"/>
        <w:tabs>
          <w:tab w:leader="none" w:pos="183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the Administrative Agent, any Lender or any L/C Issuer determines, in its sole discretion exercised in good faith, that it has received a refund (including, for this purpose, a credit in lieu of a refund) of any Taxes as to which it has been indemnified by the Loan Parties or with respect to which a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such Loan Party an amount equal to such refund (but only to the extent of indemnity payments made, or additional amounts paid, by such Loan Party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with respect to the Taxes giving rise to such refund), net of all out-of-pocket expenses (including Taxes) incurred by the Administrative Agent, such Lender or such L/C Issuer,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Loan Party, upon the request of the Administrative Agent, such Lender or such L/C Issuer, agrees to repay the amount paid over to such Loan Party to the Administrative Agent, such Lender or such L/C Issuer (plus any penalties, interest or other charges imposed by the relevant Governmental Authority) in the event the Administrative Agent, such Lender or such L/C Issuer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shall not be construed to require the Administrative Agent, any Lender or any L/C Issuer to make available its Tax returns (or any other information relating to its Taxes that it deems confidential) to the Loan Parties or any other Person.</w:t>
      </w:r>
    </w:p>
    <w:p>
      <w:pPr>
        <w:spacing w:after="0" w:line="164" w:lineRule="exact"/>
        <w:rPr>
          <w:rFonts w:ascii="Arial" w:cs="Arial" w:eastAsia="Arial" w:hAnsi="Arial"/>
          <w:sz w:val="19"/>
          <w:szCs w:val="19"/>
          <w:color w:val="auto"/>
        </w:rPr>
      </w:pPr>
    </w:p>
    <w:p>
      <w:pPr>
        <w:jc w:val="both"/>
        <w:ind w:left="540" w:right="539" w:firstLine="725"/>
        <w:spacing w:after="0" w:line="292" w:lineRule="auto"/>
        <w:tabs>
          <w:tab w:leader="none" w:pos="183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Additional Withholding Documentation</w:t>
      </w:r>
      <w:r>
        <w:rPr>
          <w:rFonts w:ascii="Arial" w:cs="Arial" w:eastAsia="Arial" w:hAnsi="Arial"/>
          <w:sz w:val="19"/>
          <w:szCs w:val="19"/>
          <w:color w:val="auto"/>
        </w:rPr>
        <w:t>. If a payment made to a Lender under this Agreement may be subject to United States federal withholding Tax under FATCA, such Lender shall deliver to the Borrower and the Administrative Agent, at the time or times prescribed by applicable Law and at such time or times reasonably requested by the Borrower or the Administrative Agent, such documentation prescribed by applicable Law and such additional documentation reasonably requested by the Borrower or the Administrative Agent to comply with its withholding obligations, to determine that such</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89" w:name="page190"/>
    <w:bookmarkEnd w:id="189"/>
    <w:p>
      <w:pPr>
        <w:jc w:val="both"/>
        <w:ind w:left="540" w:right="539"/>
        <w:spacing w:after="0" w:line="312" w:lineRule="auto"/>
        <w:rPr>
          <w:sz w:val="20"/>
          <w:szCs w:val="20"/>
          <w:color w:val="auto"/>
        </w:rPr>
      </w:pPr>
      <w:r>
        <w:rPr>
          <w:rFonts w:ascii="Arial" w:cs="Arial" w:eastAsia="Arial" w:hAnsi="Arial"/>
          <w:sz w:val="19"/>
          <w:szCs w:val="19"/>
          <w:color w:val="auto"/>
        </w:rPr>
        <w:t xml:space="preserve">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3.01(g)</w:t>
      </w:r>
      <w:r>
        <w:rPr>
          <w:rFonts w:ascii="Arial" w:cs="Arial" w:eastAsia="Arial" w:hAnsi="Arial"/>
          <w:sz w:val="19"/>
          <w:szCs w:val="19"/>
          <w:color w:val="auto"/>
        </w:rPr>
        <w:t>, “FATCA” shall include any amendments made to FATCA after the Effective Date.</w:t>
      </w:r>
    </w:p>
    <w:p>
      <w:pPr>
        <w:spacing w:after="0" w:line="133" w:lineRule="exact"/>
        <w:rPr>
          <w:sz w:val="20"/>
          <w:szCs w:val="20"/>
          <w:color w:val="auto"/>
        </w:rPr>
      </w:pPr>
    </w:p>
    <w:p>
      <w:pPr>
        <w:ind w:left="540" w:right="559" w:firstLine="725"/>
        <w:spacing w:after="0" w:line="263" w:lineRule="auto"/>
        <w:tabs>
          <w:tab w:leader="none" w:pos="1836"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3.01</w:t>
      </w:r>
      <w:r>
        <w:rPr>
          <w:rFonts w:ascii="Arial" w:cs="Arial" w:eastAsia="Arial" w:hAnsi="Arial"/>
          <w:sz w:val="22"/>
          <w:szCs w:val="22"/>
          <w:color w:val="auto"/>
        </w:rPr>
        <w:t>, the term “Lender” includes any L/C Issuer and the term “applicable Law” includes FATCA.</w:t>
      </w:r>
    </w:p>
    <w:p>
      <w:pPr>
        <w:spacing w:after="0" w:line="175" w:lineRule="exact"/>
        <w:rPr>
          <w:sz w:val="20"/>
          <w:szCs w:val="20"/>
          <w:color w:val="auto"/>
        </w:rPr>
      </w:pPr>
    </w:p>
    <w:p>
      <w:pPr>
        <w:jc w:val="both"/>
        <w:ind w:left="540" w:right="559" w:firstLine="648"/>
        <w:spacing w:after="0" w:line="283"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determines that any Law has made it unlawful, or that any Governmental Authority has asserted that it is unlawful, for such Lender or its applicable Lending Office to make, maintain or fund Eurocurrency Rate Loans (whether denominated in US Dollars, an Alternative Currency or a Discretionary Alternative Currency), or to determine or charge interest rates based upon the Eurocurrency Rate, or any Governmental Authority has imposed material restrictions on the authority of such Lender to purchase or sell, or to take deposits of, US Dollars, any Alternative Currency or a Discretionary Alternative Currency in the Relevant Interbank Market, then, on notice thereof by such Lender to the Borrower through the Administrative Agent, (a) any obligation of such Lender to make or continue Eurocurrency Rate Loans in the affected currency or currencies or, in the case of Eurocurrency Rate Committed Loans denominated in US Dollars, to convert Base Rate Committed Loans to Eurocurrency Rate Committed Loans, will be suspended, and (b)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Borrower that the circumstances giving rise to such determination no longer exist. Upon receipt of such notice, (i) the Borrower will, upon demand from such Lender (with a copy to the Administrative Agent), prepay such Loans or, if such Loans are denominated in US Dollars, convert to Base Rate Loans all such Eurocurrency Rate Loans of such Lender, either on the last day of the Interest Period therefor, if such Lender may lawfully continue to maintain such Eurocurrency Rate Loans to such day, or immediately, if such Lender may not lawfully continue to maintain such Eurocurrency Rate Loans, and (ii) if such notice asserts the illegality of such Lender making or maintaining Base Rate Loans the interest on which is determined by reference to Eurocurrency Rate component of the Base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 will also pay accrued interest on the amount so prepaid or converted.</w:t>
      </w:r>
    </w:p>
    <w:p>
      <w:pPr>
        <w:spacing w:after="0" w:line="200" w:lineRule="exact"/>
        <w:rPr>
          <w:sz w:val="20"/>
          <w:szCs w:val="20"/>
          <w:color w:val="auto"/>
        </w:rPr>
      </w:pPr>
    </w:p>
    <w:p>
      <w:pPr>
        <w:spacing w:after="0" w:line="236"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20"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Increased Costs; Additional Reserve Requirements</w:t>
      </w:r>
      <w:r>
        <w:rPr>
          <w:rFonts w:ascii="Arial" w:cs="Arial" w:eastAsia="Arial" w:hAnsi="Arial"/>
          <w:sz w:val="19"/>
          <w:szCs w:val="19"/>
          <w:color w:val="auto"/>
        </w:rPr>
        <w:t>.</w:t>
      </w:r>
    </w:p>
    <w:p>
      <w:pPr>
        <w:spacing w:after="0" w:line="220" w:lineRule="exact"/>
        <w:rPr>
          <w:sz w:val="20"/>
          <w:szCs w:val="20"/>
          <w:color w:val="auto"/>
        </w:rPr>
      </w:pPr>
    </w:p>
    <w:p>
      <w:pPr>
        <w:ind w:left="1840" w:hanging="575"/>
        <w:spacing w:after="0"/>
        <w:tabs>
          <w:tab w:leader="none" w:pos="184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will:</w:t>
      </w:r>
    </w:p>
    <w:p>
      <w:pPr>
        <w:spacing w:after="0" w:line="219" w:lineRule="exact"/>
        <w:rPr>
          <w:rFonts w:ascii="Arial" w:cs="Arial" w:eastAsia="Arial" w:hAnsi="Arial"/>
          <w:sz w:val="22"/>
          <w:szCs w:val="22"/>
          <w:color w:val="auto"/>
        </w:rPr>
      </w:pPr>
    </w:p>
    <w:p>
      <w:pPr>
        <w:ind w:left="1180" w:right="539" w:firstLine="656"/>
        <w:spacing w:after="0" w:line="343" w:lineRule="auto"/>
        <w:tabs>
          <w:tab w:leader="none" w:pos="2476"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liquidity, compulsory loan, insurance charge or similar requirement against assets</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0" w:name="page191"/>
    <w:bookmarkEnd w:id="190"/>
    <w:p>
      <w:pPr>
        <w:jc w:val="both"/>
        <w:ind w:left="1180" w:right="539"/>
        <w:spacing w:after="0" w:line="253" w:lineRule="auto"/>
        <w:rPr>
          <w:sz w:val="20"/>
          <w:szCs w:val="20"/>
          <w:color w:val="auto"/>
        </w:rPr>
      </w:pPr>
      <w:r>
        <w:rPr>
          <w:rFonts w:ascii="Arial" w:cs="Arial" w:eastAsia="Arial" w:hAnsi="Arial"/>
          <w:sz w:val="22"/>
          <w:szCs w:val="22"/>
          <w:color w:val="auto"/>
        </w:rPr>
        <w:t xml:space="preserve">of, deposits with or for the account of, or credit extended or participated in by, any Lender (except any reserve requirement reflected in the Adjusted Eurocurrency Rate or referred to in </w:t>
      </w:r>
      <w:r>
        <w:rPr>
          <w:rFonts w:ascii="Arial" w:cs="Arial" w:eastAsia="Arial" w:hAnsi="Arial"/>
          <w:sz w:val="22"/>
          <w:szCs w:val="22"/>
          <w:u w:val="single" w:color="auto"/>
          <w:color w:val="auto"/>
        </w:rPr>
        <w:t>Section 3.04(e)</w:t>
      </w:r>
      <w:r>
        <w:rPr>
          <w:rFonts w:ascii="Arial" w:cs="Arial" w:eastAsia="Arial" w:hAnsi="Arial"/>
          <w:sz w:val="22"/>
          <w:szCs w:val="22"/>
          <w:color w:val="auto"/>
        </w:rPr>
        <w:t>) or any L/C Issuer;</w:t>
      </w:r>
    </w:p>
    <w:p>
      <w:pPr>
        <w:spacing w:after="0" w:line="185" w:lineRule="exact"/>
        <w:rPr>
          <w:sz w:val="20"/>
          <w:szCs w:val="20"/>
          <w:color w:val="auto"/>
        </w:rPr>
      </w:pPr>
    </w:p>
    <w:p>
      <w:pPr>
        <w:jc w:val="both"/>
        <w:ind w:left="1180" w:right="539" w:firstLine="656"/>
        <w:spacing w:after="0" w:line="261" w:lineRule="auto"/>
        <w:tabs>
          <w:tab w:leader="none" w:pos="2476"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subject the Administrative Agent, any Lender or any L/C Issuer to any Tax on its loans, loan principal, letters of credit, commitments or other obligations, or its deposits, reserves, other liabilities or capital attributable thereto (except for Indemnified Taxes or Other Taxes covered by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and the imposition of, or any change in the rate of, any Excluded Tax payable by the Administrative Agent, such Lender or such L/C Issuer); or</w:t>
      </w:r>
    </w:p>
    <w:p>
      <w:pPr>
        <w:spacing w:after="0" w:line="179" w:lineRule="exact"/>
        <w:rPr>
          <w:rFonts w:ascii="Arial" w:cs="Arial" w:eastAsia="Arial" w:hAnsi="Arial"/>
          <w:sz w:val="21"/>
          <w:szCs w:val="21"/>
          <w:color w:val="auto"/>
        </w:rPr>
      </w:pPr>
    </w:p>
    <w:p>
      <w:pPr>
        <w:jc w:val="both"/>
        <w:ind w:left="1180" w:right="539" w:firstLine="656"/>
        <w:spacing w:after="0" w:line="250" w:lineRule="auto"/>
        <w:tabs>
          <w:tab w:leader="none" w:pos="247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impose on any Lender or any L/C Issuer or the Relevant Interbank Market any other condition, cost or expense (other than Taxes) affecting this Agreement or Loans made by such Lender or any Letter of Credit or participation therein;</w:t>
      </w:r>
    </w:p>
    <w:p>
      <w:pPr>
        <w:spacing w:after="0" w:line="188" w:lineRule="exact"/>
        <w:rPr>
          <w:sz w:val="20"/>
          <w:szCs w:val="20"/>
          <w:color w:val="auto"/>
        </w:rPr>
      </w:pPr>
    </w:p>
    <w:p>
      <w:pPr>
        <w:jc w:val="both"/>
        <w:ind w:left="540" w:right="539" w:hanging="11"/>
        <w:spacing w:after="0" w:line="287" w:lineRule="auto"/>
        <w:rPr>
          <w:sz w:val="20"/>
          <w:szCs w:val="20"/>
          <w:color w:val="auto"/>
        </w:rPr>
      </w:pPr>
      <w:r>
        <w:rPr>
          <w:rFonts w:ascii="Arial" w:cs="Arial" w:eastAsia="Arial" w:hAnsi="Arial"/>
          <w:sz w:val="19"/>
          <w:szCs w:val="19"/>
          <w:color w:val="auto"/>
        </w:rPr>
        <w:t>and the result of any of the foregoing will be to increase the cost to the Administrative Agent or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the Administrative Agent, such Lender or such L/C Issuer hereunder (whether of principal, interest or any other amount) then, upon request of the Administrative Agent, such Lender or such L/C Issuer, as the case may be, the Borrower will pay to the Administrative Agent, such Lender or such L/C Issuer, as the case may be, such additional amount or amounts as will compensate the Administrative Agent, such Lender or such L/C Issuer, as the case may be, for such additional costs incurred or reduction suffered.</w:t>
      </w:r>
    </w:p>
    <w:p>
      <w:pPr>
        <w:spacing w:after="0" w:line="200" w:lineRule="exact"/>
        <w:rPr>
          <w:sz w:val="20"/>
          <w:szCs w:val="20"/>
          <w:color w:val="auto"/>
        </w:rPr>
      </w:pPr>
    </w:p>
    <w:p>
      <w:pPr>
        <w:spacing w:after="0" w:line="220" w:lineRule="exact"/>
        <w:rPr>
          <w:sz w:val="20"/>
          <w:szCs w:val="20"/>
          <w:color w:val="auto"/>
        </w:rPr>
      </w:pPr>
    </w:p>
    <w:p>
      <w:pPr>
        <w:jc w:val="both"/>
        <w:ind w:left="540" w:right="539" w:firstLine="725"/>
        <w:spacing w:after="0" w:line="286" w:lineRule="auto"/>
        <w:tabs>
          <w:tab w:leader="none" w:pos="183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Capital or Liquidity Requirements</w:t>
      </w:r>
      <w:r>
        <w:rPr>
          <w:rFonts w:ascii="Arial" w:cs="Arial" w:eastAsia="Arial" w:hAnsi="Arial"/>
          <w:sz w:val="19"/>
          <w:szCs w:val="19"/>
          <w:color w:val="auto"/>
        </w:rPr>
        <w:t>. If any Lender or any L/C Issuer determines that any Change in Law affecting such Lender or such L/C Issuer or any Lending Office of such Lender, or such Lender’s or such L/C Issuer’s holding company, if any, regarding capital or liquidity requirements has had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its holding company could have achieved but for such Change in Law (taking into consideration such Lender’s or such L/C Issuer’s or its holding company’s policies with respect to capital adequacy or liquidity), then from time to time the Borrower upon request of such Lender or such L/C Issuer, as the case may be, will pay to such Lender or such L/C Issuer, as the case may be, such additional amount or amounts as will compensate such Lender or such L/C Issuer or its holding company for any such reduction suffered.</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540" w:right="539" w:firstLine="725"/>
        <w:spacing w:after="0" w:line="312" w:lineRule="auto"/>
        <w:tabs>
          <w:tab w:leader="none" w:pos="183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9"/>
          <w:szCs w:val="19"/>
          <w:u w:val="single" w:color="auto"/>
          <w:color w:val="auto"/>
        </w:rPr>
        <w:t>Section 3.04(a)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3.04(b)</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1" w:name="page192"/>
    <w:bookmarkEnd w:id="191"/>
    <w:p>
      <w:pPr>
        <w:jc w:val="both"/>
        <w:ind w:left="540" w:right="539"/>
        <w:spacing w:after="0" w:line="253" w:lineRule="auto"/>
        <w:rPr>
          <w:sz w:val="20"/>
          <w:szCs w:val="20"/>
          <w:color w:val="auto"/>
        </w:rPr>
      </w:pPr>
      <w:r>
        <w:rPr>
          <w:rFonts w:ascii="Arial" w:cs="Arial" w:eastAsia="Arial" w:hAnsi="Arial"/>
          <w:sz w:val="22"/>
          <w:szCs w:val="22"/>
          <w:color w:val="auto"/>
        </w:rPr>
        <w:t>and delivered to the Borrower will be conclusive absent manifest error. The Borrower will pay such Lender or such L/C Issuer, as the case may be, the amount shown as due on any such certificate within 10 days after receipt thereof.</w:t>
      </w:r>
    </w:p>
    <w:p>
      <w:pPr>
        <w:spacing w:after="0" w:line="185" w:lineRule="exact"/>
        <w:rPr>
          <w:sz w:val="20"/>
          <w:szCs w:val="20"/>
          <w:color w:val="auto"/>
        </w:rPr>
      </w:pPr>
    </w:p>
    <w:p>
      <w:pPr>
        <w:jc w:val="both"/>
        <w:ind w:left="540" w:right="539" w:firstLine="725"/>
        <w:spacing w:after="0" w:line="287" w:lineRule="auto"/>
        <w:tabs>
          <w:tab w:leader="none" w:pos="183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any L/C Issuer to demand compensation pursuant to the foregoing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will not constitute a waiver of such Lender’s or such L/C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will not be required to compensate a Lender or an L/C Issuer pursuant to the foregoing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for any increased costs incurred or reductions suffered more than three (3)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three-month period referred to above will be extended to include the period of retroactive effect thereof).</w:t>
      </w:r>
    </w:p>
    <w:p>
      <w:pPr>
        <w:spacing w:after="0" w:line="163" w:lineRule="exact"/>
        <w:rPr>
          <w:rFonts w:ascii="Arial" w:cs="Arial" w:eastAsia="Arial" w:hAnsi="Arial"/>
          <w:sz w:val="19"/>
          <w:szCs w:val="19"/>
          <w:color w:val="auto"/>
        </w:rPr>
      </w:pPr>
    </w:p>
    <w:p>
      <w:pPr>
        <w:jc w:val="both"/>
        <w:ind w:left="540" w:right="539" w:firstLine="725"/>
        <w:spacing w:after="0" w:line="284" w:lineRule="auto"/>
        <w:tabs>
          <w:tab w:leader="none" w:pos="183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Additional Reserve Requirements</w:t>
      </w:r>
      <w:r>
        <w:rPr>
          <w:rFonts w:ascii="Arial" w:cs="Arial" w:eastAsia="Arial" w:hAnsi="Arial"/>
          <w:sz w:val="19"/>
          <w:szCs w:val="19"/>
          <w:color w:val="auto"/>
        </w:rPr>
        <w:t xml:space="preserve">. Without duplication of any reserve requirement reflected in the Adjusted Eurocurrency Rate, the Borrower shall pay to each Lender (i) as long as such Lender shall be required by a central banking or financial regulatory authority with regulatory authority over such Lender to maintain reserves with respect to liabilities or assets consisting of or including Eurocurrency funds or deposits, additional interest on the unpaid principal amount of each Eurocurrency Rate Loan equal to the actual costs of such reserves allocable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received at least ten (10) days’ prior notice (with a copy to the Administrative Agent) of such additional interest or costs from such Lender with a reasonably detailed explanation of the regulatory requirements imposing such costs and a calculation of the allocation of such costs to the relevant Loan or Commitment. If a Lender fails to give notice ten (10) days prior to the relevant Interest Payment Date, such additional interest or costs shall be due and payable ten (10) days from receipt of a proper notice. Notwithstanding the foregoing, if any reserves described in this </w:t>
      </w:r>
      <w:r>
        <w:rPr>
          <w:rFonts w:ascii="Arial" w:cs="Arial" w:eastAsia="Arial" w:hAnsi="Arial"/>
          <w:sz w:val="19"/>
          <w:szCs w:val="19"/>
          <w:u w:val="single" w:color="auto"/>
          <w:color w:val="auto"/>
        </w:rPr>
        <w:t>Section 3.04(e)</w:t>
      </w:r>
      <w:r>
        <w:rPr>
          <w:rFonts w:ascii="Arial" w:cs="Arial" w:eastAsia="Arial" w:hAnsi="Arial"/>
          <w:sz w:val="19"/>
          <w:szCs w:val="19"/>
          <w:color w:val="auto"/>
        </w:rPr>
        <w:t xml:space="preserve"> are based upon the financial strength or creditworthiness of a Lender, for the purposes of calculating the actual costs of a Lender with respect to such reserves, each such Lender shall be deemed to be in the highest applicable category of financial strength or creditworthiness.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540" w:right="539" w:firstLine="725"/>
        <w:spacing w:after="0" w:line="302" w:lineRule="auto"/>
        <w:tabs>
          <w:tab w:leader="none" w:pos="183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Certain Agreements</w:t>
      </w:r>
      <w:r>
        <w:rPr>
          <w:rFonts w:ascii="Arial" w:cs="Arial" w:eastAsia="Arial" w:hAnsi="Arial"/>
          <w:sz w:val="19"/>
          <w:szCs w:val="19"/>
          <w:color w:val="auto"/>
        </w:rPr>
        <w:t xml:space="preserve">. With respect to amounts due under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as a result of any Change in Law, the claim for additional amounts shall be generally consistent with such Lender’s or such L/C Issuer’s treatment of customers of such Lender or such L/C Issuer that such Lender or such L/C Issuer considers, in its reasonable</w:t>
      </w:r>
    </w:p>
    <w:p>
      <w:pPr>
        <w:sectPr>
          <w:pgSz w:w="11900" w:h="16838" w:orient="portrait"/>
          <w:cols w:equalWidth="0" w:num="1">
            <w:col w:w="9019"/>
          </w:cols>
          <w:pgMar w:left="1440" w:top="928" w:right="1440"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2" w:name="page193"/>
    <w:bookmarkEnd w:id="192"/>
    <w:p>
      <w:pPr>
        <w:jc w:val="both"/>
        <w:ind w:left="540" w:right="539"/>
        <w:spacing w:after="0" w:line="263" w:lineRule="auto"/>
        <w:rPr>
          <w:sz w:val="20"/>
          <w:szCs w:val="20"/>
          <w:color w:val="auto"/>
        </w:rPr>
      </w:pPr>
      <w:r>
        <w:rPr>
          <w:rFonts w:ascii="Arial" w:cs="Arial" w:eastAsia="Arial" w:hAnsi="Arial"/>
          <w:sz w:val="22"/>
          <w:szCs w:val="22"/>
          <w:color w:val="auto"/>
        </w:rPr>
        <w:t>discretion, to be similarly situated to the Borrower and having generally similar provisions in their credit agreements with such Lender or such L/C Issuer.</w:t>
      </w:r>
    </w:p>
    <w:p>
      <w:pPr>
        <w:spacing w:after="0" w:line="175" w:lineRule="exact"/>
        <w:rPr>
          <w:sz w:val="20"/>
          <w:szCs w:val="20"/>
          <w:color w:val="auto"/>
        </w:rPr>
      </w:pPr>
    </w:p>
    <w:p>
      <w:pPr>
        <w:jc w:val="both"/>
        <w:ind w:left="540" w:right="559" w:firstLine="648"/>
        <w:spacing w:after="0" w:line="250"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Compensation for Losses</w:t>
      </w:r>
      <w:r>
        <w:rPr>
          <w:rFonts w:ascii="Arial" w:cs="Arial" w:eastAsia="Arial" w:hAnsi="Arial"/>
          <w:sz w:val="22"/>
          <w:szCs w:val="22"/>
          <w:color w:val="auto"/>
        </w:rPr>
        <w:t>. Upon demand of any Lender (with a copy to the Administrative Agent) from time to time, the Borrower will promptly compensate such Lender for and hold such Lender harmless from any loss, cost or expense incurred by it as a result of:</w:t>
      </w:r>
    </w:p>
    <w:p>
      <w:pPr>
        <w:spacing w:after="0" w:line="188" w:lineRule="exact"/>
        <w:rPr>
          <w:sz w:val="20"/>
          <w:szCs w:val="20"/>
          <w:color w:val="auto"/>
        </w:rPr>
      </w:pPr>
    </w:p>
    <w:p>
      <w:pPr>
        <w:jc w:val="both"/>
        <w:ind w:left="540" w:right="539" w:firstLine="725"/>
        <w:spacing w:after="0" w:line="312" w:lineRule="auto"/>
        <w:tabs>
          <w:tab w:leader="none" w:pos="183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3" w:lineRule="exact"/>
        <w:rPr>
          <w:rFonts w:ascii="Arial" w:cs="Arial" w:eastAsia="Arial" w:hAnsi="Arial"/>
          <w:sz w:val="19"/>
          <w:szCs w:val="19"/>
          <w:color w:val="auto"/>
        </w:rPr>
      </w:pPr>
    </w:p>
    <w:p>
      <w:pPr>
        <w:jc w:val="both"/>
        <w:ind w:left="540" w:right="539" w:firstLine="725"/>
        <w:spacing w:after="0" w:line="265" w:lineRule="auto"/>
        <w:tabs>
          <w:tab w:leader="none" w:pos="183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any failure by the Borrower (for a reason other than the failure of such Lender to make a Loan) to prepay, borrow, continue or convert any Loan other than a Base Rate Loan on the date or in the amount notified by the Borrower (whether or not any such notice may be revoked in accordance herewith);</w:t>
      </w:r>
    </w:p>
    <w:p>
      <w:pPr>
        <w:spacing w:after="0" w:line="175" w:lineRule="exact"/>
        <w:rPr>
          <w:rFonts w:ascii="Arial" w:cs="Arial" w:eastAsia="Arial" w:hAnsi="Arial"/>
          <w:sz w:val="21"/>
          <w:szCs w:val="21"/>
          <w:color w:val="auto"/>
        </w:rPr>
      </w:pPr>
    </w:p>
    <w:p>
      <w:pPr>
        <w:jc w:val="both"/>
        <w:ind w:left="540" w:right="539" w:firstLine="725"/>
        <w:spacing w:after="0" w:line="271" w:lineRule="auto"/>
        <w:tabs>
          <w:tab w:leader="none" w:pos="183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any failure by the Borrower to make payment of any Loan or drawing under any Letter of Credit (or interest due thereon) denominated in an Alternative Currency on its scheduled due date or any payment thereof in a different currency; or</w:t>
      </w:r>
    </w:p>
    <w:p>
      <w:pPr>
        <w:spacing w:after="0" w:line="167" w:lineRule="exact"/>
        <w:rPr>
          <w:rFonts w:ascii="Arial" w:cs="Arial" w:eastAsia="Arial" w:hAnsi="Arial"/>
          <w:sz w:val="21"/>
          <w:szCs w:val="21"/>
          <w:color w:val="auto"/>
        </w:rPr>
      </w:pPr>
    </w:p>
    <w:p>
      <w:pPr>
        <w:jc w:val="both"/>
        <w:ind w:left="540" w:right="559" w:firstLine="725"/>
        <w:spacing w:after="0" w:line="253" w:lineRule="auto"/>
        <w:tabs>
          <w:tab w:leader="none" w:pos="183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any assignment of a Eurocurrency Rate Loan on a day other than the last day of the Interest Period therefor as a result of a request by the Borrower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85"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color w:val="auto"/>
        </w:rPr>
        <w:t xml:space="preserve">For purposes of calculating amounts payable by the Borrower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will be deemed to have funded each Eurocurrency Rate Loan made by it at the Eurocurrency Rate for such Loan by a matching deposit or other borrowing in the Relevant Interbank Market for a comparable amount and for a comparable period, whether or not such Eurocurrency Rate Loan was in fact so funded.</w:t>
      </w:r>
    </w:p>
    <w:p>
      <w:pPr>
        <w:spacing w:after="0" w:line="147" w:lineRule="exact"/>
        <w:rPr>
          <w:sz w:val="20"/>
          <w:szCs w:val="20"/>
          <w:color w:val="auto"/>
        </w:rPr>
      </w:pPr>
    </w:p>
    <w:p>
      <w:pPr>
        <w:jc w:val="both"/>
        <w:ind w:left="540" w:right="539" w:firstLine="648"/>
        <w:spacing w:after="0" w:line="285"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Mitigation Obligations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Loan Parties are required to pay any additional amount to any Lender, any L/C Issuer or any Governmental Authority for the account of any Lender or any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or any L/C Issuer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or such L/C Issuer, as applicable, will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(a)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(b) in each case, would not subject such Lender or such L/C Issuer to any unreimbursed cost or expense and would not otherwise be disadvantageous to such Lender or such L/C Issuer. The Loan Parties hereby agree to pay all reasonable costs and expenses incurred by any Lender or any L/C Issuer in connection with any such designation or assignment.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w:t>
      </w:r>
    </w:p>
    <w:p>
      <w:pPr>
        <w:sectPr>
          <w:pgSz w:w="11900" w:h="16838" w:orient="portrait"/>
          <w:cols w:equalWidth="0" w:num="1">
            <w:col w:w="9019"/>
          </w:cols>
          <w:pgMar w:left="1440" w:top="928" w:right="1440"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3" w:name="page194"/>
    <w:bookmarkEnd w:id="193"/>
    <w:p>
      <w:pPr>
        <w:jc w:val="both"/>
        <w:ind w:left="540" w:right="479"/>
        <w:spacing w:after="0" w:line="290" w:lineRule="auto"/>
        <w:rPr>
          <w:sz w:val="20"/>
          <w:szCs w:val="20"/>
          <w:color w:val="auto"/>
        </w:rPr>
      </w:pPr>
      <w:r>
        <w:rPr>
          <w:rFonts w:ascii="Arial" w:cs="Arial" w:eastAsia="Arial" w:hAnsi="Arial"/>
          <w:sz w:val="19"/>
          <w:szCs w:val="19"/>
          <w:color w:val="auto"/>
        </w:rPr>
        <w:t xml:space="preserve">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56" w:lineRule="exact"/>
        <w:rPr>
          <w:sz w:val="20"/>
          <w:szCs w:val="20"/>
          <w:color w:val="auto"/>
        </w:rPr>
      </w:pPr>
    </w:p>
    <w:p>
      <w:pPr>
        <w:jc w:val="both"/>
        <w:ind w:left="540" w:right="559" w:firstLine="648"/>
        <w:spacing w:after="0" w:line="250"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Survival</w:t>
      </w:r>
      <w:r>
        <w:rPr>
          <w:rFonts w:ascii="Arial" w:cs="Arial" w:eastAsia="Arial" w:hAnsi="Arial"/>
          <w:sz w:val="22"/>
          <w:szCs w:val="22"/>
          <w:color w:val="auto"/>
        </w:rPr>
        <w:t>. Each party’s obligations under this Article III will survive the resignation or replacement of the Administrative Agent or any assignment of rights by, or the replacement of, a Lender, the termination of the Aggregate Commitments and the repayment of all other Obligations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CONDITIONS PRECEDENT</w:t>
      </w:r>
    </w:p>
    <w:p>
      <w:pPr>
        <w:spacing w:after="0" w:line="220" w:lineRule="exact"/>
        <w:rPr>
          <w:sz w:val="20"/>
          <w:szCs w:val="20"/>
          <w:color w:val="auto"/>
        </w:rPr>
      </w:pPr>
    </w:p>
    <w:p>
      <w:pPr>
        <w:jc w:val="both"/>
        <w:ind w:left="540" w:right="559" w:firstLine="648"/>
        <w:spacing w:after="0" w:line="265"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xml:space="preserve">. This Agreement and the obligations of the Lenders to make Loans and of the L/C Issuers to issue Letters of Credit hereunder shall not become effective until the date on which each of the following conditions shall be satisfied (or waived in accordance with </w:t>
      </w:r>
      <w:r>
        <w:rPr>
          <w:rFonts w:ascii="Arial" w:cs="Arial" w:eastAsia="Arial" w:hAnsi="Arial"/>
          <w:sz w:val="21"/>
          <w:szCs w:val="21"/>
          <w:u w:val="single" w:color="auto"/>
          <w:color w:val="auto"/>
        </w:rPr>
        <w:t>Section 11.01</w:t>
      </w:r>
      <w:r>
        <w:rPr>
          <w:rFonts w:ascii="Arial" w:cs="Arial" w:eastAsia="Arial" w:hAnsi="Arial"/>
          <w:sz w:val="21"/>
          <w:szCs w:val="21"/>
          <w:color w:val="auto"/>
        </w:rPr>
        <w:t>):</w:t>
      </w:r>
    </w:p>
    <w:p>
      <w:pPr>
        <w:spacing w:after="0" w:line="175" w:lineRule="exact"/>
        <w:rPr>
          <w:sz w:val="20"/>
          <w:szCs w:val="20"/>
          <w:color w:val="auto"/>
        </w:rPr>
      </w:pPr>
    </w:p>
    <w:p>
      <w:pPr>
        <w:jc w:val="both"/>
        <w:ind w:left="540" w:right="539" w:firstLine="725"/>
        <w:spacing w:after="0" w:line="302" w:lineRule="auto"/>
        <w:tabs>
          <w:tab w:leader="none" w:pos="183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The Administrative Agent’s receipt from each party hereto a counterpart of this Agreement signed on behalf of such party (which, subject to </w:t>
      </w:r>
      <w:r>
        <w:rPr>
          <w:rFonts w:ascii="Arial" w:cs="Arial" w:eastAsia="Arial" w:hAnsi="Arial"/>
          <w:sz w:val="19"/>
          <w:szCs w:val="19"/>
          <w:u w:val="single" w:color="auto"/>
          <w:color w:val="auto"/>
        </w:rPr>
        <w:t>Section 11.10</w:t>
      </w:r>
      <w:r>
        <w:rPr>
          <w:rFonts w:ascii="Arial" w:cs="Arial" w:eastAsia="Arial" w:hAnsi="Arial"/>
          <w:sz w:val="19"/>
          <w:szCs w:val="19"/>
          <w:color w:val="auto"/>
        </w:rPr>
        <w:t>, may include any Electronic Signatures transmitted by telecopy, emailed pdf, or any other electronic means that reproduces an image of an actual executed signature page).</w:t>
      </w:r>
    </w:p>
    <w:p>
      <w:pPr>
        <w:spacing w:after="0" w:line="142" w:lineRule="exact"/>
        <w:rPr>
          <w:rFonts w:ascii="Arial" w:cs="Arial" w:eastAsia="Arial" w:hAnsi="Arial"/>
          <w:sz w:val="19"/>
          <w:szCs w:val="19"/>
          <w:color w:val="auto"/>
        </w:rPr>
      </w:pPr>
    </w:p>
    <w:p>
      <w:pPr>
        <w:jc w:val="both"/>
        <w:ind w:left="540" w:right="539" w:firstLine="725"/>
        <w:spacing w:after="0" w:line="250" w:lineRule="auto"/>
        <w:tabs>
          <w:tab w:leader="none" w:pos="183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The Administrative Agent’s receipt of the following, each of which may be delivered by facsimile or other electronic transmission (including “pdf” and “tif”), followed promptly after the Effective Date by originals;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delivery of any originals shall not be a condition precedent to the Effective Date:</w:t>
      </w:r>
    </w:p>
    <w:p>
      <w:pPr>
        <w:spacing w:after="0" w:line="187" w:lineRule="exact"/>
        <w:rPr>
          <w:rFonts w:ascii="Arial" w:cs="Arial" w:eastAsia="Arial" w:hAnsi="Arial"/>
          <w:sz w:val="22"/>
          <w:szCs w:val="22"/>
          <w:color w:val="auto"/>
        </w:rPr>
      </w:pPr>
    </w:p>
    <w:p>
      <w:pPr>
        <w:jc w:val="both"/>
        <w:ind w:left="1180" w:right="539" w:firstLine="656"/>
        <w:spacing w:after="0" w:line="286" w:lineRule="auto"/>
        <w:tabs>
          <w:tab w:leader="none" w:pos="2476"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 certificate, dated the Effective Date and signed by a Responsible Officer of each of the Loan Parties, (A) certifying and attaching a copy of the resolutions adopted by such Loan Party authorizing the execution, delivery and performance of this Agreement and, if applicable, the Notes, (B) certifying as to the incumbency and specimen signature of each Responsible Officer executing this Agreement and, if applicable, the Notes, on behalf of such Person, (C) attaching a good standing certificate (or the local equivalent, to the extent applicable in the relevant jurisdiction) and a certificate of incorporation (or the local equivalent) evidencing that such Loan Party is validly existing and in good standing (or the local equivalent, to the extent applicable in the relevant jurisdiction) in its jurisdiction of organization and (D) certifying and attaching a true and complete copy of the Organization Documents of such Loan Party (where customary and applicable, certified by the relevant Governmental Authority);</w:t>
      </w:r>
    </w:p>
    <w:p>
      <w:pPr>
        <w:spacing w:after="0" w:line="165" w:lineRule="exact"/>
        <w:rPr>
          <w:rFonts w:ascii="Arial" w:cs="Arial" w:eastAsia="Arial" w:hAnsi="Arial"/>
          <w:sz w:val="19"/>
          <w:szCs w:val="19"/>
          <w:color w:val="auto"/>
        </w:rPr>
      </w:pPr>
    </w:p>
    <w:p>
      <w:pPr>
        <w:ind w:left="1180" w:right="539" w:firstLine="656"/>
        <w:spacing w:after="0" w:line="343" w:lineRule="auto"/>
        <w:tabs>
          <w:tab w:leader="none" w:pos="2476"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 certificate, dated the Effective Date and signed by a Responsible Officer of the Borrower, certifying that (A) the representations and warranties</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4" w:name="page195"/>
    <w:bookmarkEnd w:id="194"/>
    <w:p>
      <w:pPr>
        <w:jc w:val="both"/>
        <w:ind w:left="1180" w:right="539"/>
        <w:spacing w:after="0" w:line="294" w:lineRule="auto"/>
        <w:rPr>
          <w:sz w:val="20"/>
          <w:szCs w:val="20"/>
          <w:color w:val="auto"/>
        </w:rPr>
      </w:pPr>
      <w:r>
        <w:rPr>
          <w:rFonts w:ascii="Arial" w:cs="Arial" w:eastAsia="Arial" w:hAnsi="Arial"/>
          <w:sz w:val="19"/>
          <w:szCs w:val="19"/>
          <w:color w:val="auto"/>
        </w:rPr>
        <w:t xml:space="preserve">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are true and correct (1) in the case of the representations and warranties qualified as to materiality, in all respects and (2) otherwise, in all material respects, in each case on and as of the Effective Date, except to the extent that such representations and warranties specifically refer to an earlier date, in which case they are so true and correct as of such earlier date, and (B) on and as of the Effective Date, no Default has occurred and is continuing; and</w:t>
      </w:r>
    </w:p>
    <w:p>
      <w:pPr>
        <w:spacing w:after="0" w:line="149" w:lineRule="exact"/>
        <w:rPr>
          <w:sz w:val="20"/>
          <w:szCs w:val="20"/>
          <w:color w:val="auto"/>
        </w:rPr>
      </w:pPr>
    </w:p>
    <w:p>
      <w:pPr>
        <w:jc w:val="both"/>
        <w:ind w:left="1180" w:right="539" w:firstLine="656"/>
        <w:spacing w:after="0" w:line="250" w:lineRule="auto"/>
        <w:tabs>
          <w:tab w:leader="none" w:pos="247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an executed legal opinion of Pillsbury Winthrop Shaw Pittman LLP, counsel to the Loan Parties, addressed to the Administrative Agent, each L/C Issuer and each Lender, dated the Effective Date and in form and substance reasonably satisfactory to the Administrative Agent.</w:t>
      </w:r>
    </w:p>
    <w:p>
      <w:pPr>
        <w:spacing w:after="0" w:line="187" w:lineRule="exact"/>
        <w:rPr>
          <w:rFonts w:ascii="Arial" w:cs="Arial" w:eastAsia="Arial" w:hAnsi="Arial"/>
          <w:sz w:val="22"/>
          <w:szCs w:val="22"/>
          <w:color w:val="auto"/>
        </w:rPr>
      </w:pPr>
    </w:p>
    <w:p>
      <w:pPr>
        <w:jc w:val="both"/>
        <w:ind w:left="540" w:right="539" w:firstLine="725"/>
        <w:spacing w:after="0" w:line="248" w:lineRule="auto"/>
        <w:tabs>
          <w:tab w:leader="none" w:pos="183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All fees due to the Administrative Agent, the Arrangers and the Lenders pursuant to this Agreement and, to the extent invoiced at least two (2) Business Days prior to the Effective Date, all reasonable and documented expenses to be paid or reimbursed to the Administrative Agent and the Arrangers on or prior to the Effective Date pursuant to this Agreement shall have been paid.</w:t>
      </w:r>
    </w:p>
    <w:p>
      <w:pPr>
        <w:spacing w:after="0" w:line="191" w:lineRule="exact"/>
        <w:rPr>
          <w:rFonts w:ascii="Arial" w:cs="Arial" w:eastAsia="Arial" w:hAnsi="Arial"/>
          <w:sz w:val="22"/>
          <w:szCs w:val="22"/>
          <w:color w:val="auto"/>
        </w:rPr>
      </w:pPr>
    </w:p>
    <w:p>
      <w:pPr>
        <w:jc w:val="both"/>
        <w:ind w:left="540" w:right="539" w:firstLine="725"/>
        <w:spacing w:after="0" w:line="257" w:lineRule="auto"/>
        <w:tabs>
          <w:tab w:leader="none" w:pos="1836"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(d) shall be deemed to be satisfied).</w:t>
      </w:r>
    </w:p>
    <w:p>
      <w:pPr>
        <w:spacing w:after="0" w:line="191" w:lineRule="exact"/>
        <w:rPr>
          <w:sz w:val="20"/>
          <w:szCs w:val="20"/>
          <w:color w:val="auto"/>
        </w:rPr>
      </w:pPr>
    </w:p>
    <w:p>
      <w:pPr>
        <w:jc w:val="both"/>
        <w:ind w:left="540" w:right="479" w:firstLine="635"/>
        <w:spacing w:after="0" w:line="246" w:lineRule="auto"/>
        <w:rPr>
          <w:sz w:val="20"/>
          <w:szCs w:val="20"/>
          <w:color w:val="auto"/>
        </w:rPr>
      </w:pPr>
      <w:r>
        <w:rPr>
          <w:rFonts w:ascii="Arial" w:cs="Arial" w:eastAsia="Arial" w:hAnsi="Arial"/>
          <w:sz w:val="22"/>
          <w:szCs w:val="22"/>
          <w:color w:val="auto"/>
        </w:rPr>
        <w:t xml:space="preserve">Without limiting the generality of the provisions of </w:t>
      </w:r>
      <w:r>
        <w:rPr>
          <w:rFonts w:ascii="Arial" w:cs="Arial" w:eastAsia="Arial" w:hAnsi="Arial"/>
          <w:sz w:val="22"/>
          <w:szCs w:val="22"/>
          <w:u w:val="single" w:color="auto"/>
          <w:color w:val="auto"/>
        </w:rPr>
        <w:t>Section 10.04</w:t>
      </w:r>
      <w:r>
        <w:rPr>
          <w:rFonts w:ascii="Arial" w:cs="Arial" w:eastAsia="Arial" w:hAnsi="Arial"/>
          <w:sz w:val="22"/>
          <w:szCs w:val="22"/>
          <w:color w:val="auto"/>
        </w:rPr>
        <w:t xml:space="preserve">, for purposes of determining compliance with the conditions specified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each Lender will be deemed to have consented to, approved or accepted, or to be satisfied with, each document or other matter referred to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unless the Administrative Agent will have received notice from such Lender prior to the proposed Effective Date, specifying its objection thereto. The Administrative Agent shall promptly notify in writing the Loan Parties and the Lenders of the occurrence of the Effective Date, and such notice shall be conclusive and binding.</w:t>
      </w:r>
    </w:p>
    <w:p>
      <w:pPr>
        <w:spacing w:after="0" w:line="194" w:lineRule="exact"/>
        <w:rPr>
          <w:sz w:val="20"/>
          <w:szCs w:val="20"/>
          <w:color w:val="auto"/>
        </w:rPr>
      </w:pPr>
    </w:p>
    <w:p>
      <w:pPr>
        <w:jc w:val="both"/>
        <w:ind w:left="540" w:right="559" w:firstLine="648"/>
        <w:spacing w:after="0" w:line="247"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Conditions to all Credit Extensions</w:t>
      </w:r>
      <w:r>
        <w:rPr>
          <w:rFonts w:ascii="Arial" w:cs="Arial" w:eastAsia="Arial" w:hAnsi="Arial"/>
          <w:sz w:val="22"/>
          <w:szCs w:val="22"/>
          <w:color w:val="auto"/>
        </w:rPr>
        <w:t>. The obligation of each Lender to honor any Request for Credit Extension (other than a Committed Loan Notice requesting only a conversion of Committed Borrowings of one Type to the other Type, or a continuation of Eurocurrency Rate Committed Loans) on and after the Effective Date is, subject to Section 2.14 (as relating to Acquisition-Related Incremental Term Loans), subject to the following conditions precedent:</w:t>
      </w:r>
    </w:p>
    <w:p>
      <w:pPr>
        <w:spacing w:after="0" w:line="193" w:lineRule="exact"/>
        <w:rPr>
          <w:sz w:val="20"/>
          <w:szCs w:val="20"/>
          <w:color w:val="auto"/>
        </w:rPr>
      </w:pPr>
    </w:p>
    <w:p>
      <w:pPr>
        <w:ind w:left="540" w:right="539" w:firstLine="725"/>
        <w:spacing w:after="0" w:line="343" w:lineRule="auto"/>
        <w:tabs>
          <w:tab w:leader="none" w:pos="183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will be true and correct (i) in the case of the representations and warranties qualified as to materiality, in all</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5" w:name="page196"/>
    <w:bookmarkEnd w:id="195"/>
    <w:p>
      <w:pPr>
        <w:jc w:val="both"/>
        <w:ind w:left="540" w:right="539"/>
        <w:spacing w:after="0" w:line="250" w:lineRule="auto"/>
        <w:rPr>
          <w:sz w:val="20"/>
          <w:szCs w:val="20"/>
          <w:color w:val="auto"/>
        </w:rPr>
      </w:pPr>
      <w:r>
        <w:rPr>
          <w:rFonts w:ascii="Arial" w:cs="Arial" w:eastAsia="Arial" w:hAnsi="Arial"/>
          <w:sz w:val="22"/>
          <w:szCs w:val="22"/>
          <w:color w:val="auto"/>
        </w:rPr>
        <w:t>respects and (ii) otherwise, in all material respects, in each case on and as of the date of such Credit Extension, except to the extent that such representations and warranties specifically refer to an earlier date, in which case they will be so true and correct as of such earlier date.</w:t>
      </w:r>
    </w:p>
    <w:p>
      <w:pPr>
        <w:spacing w:after="0" w:line="188" w:lineRule="exact"/>
        <w:rPr>
          <w:sz w:val="20"/>
          <w:szCs w:val="20"/>
          <w:color w:val="auto"/>
        </w:rPr>
      </w:pPr>
    </w:p>
    <w:p>
      <w:pPr>
        <w:ind w:left="1840" w:hanging="575"/>
        <w:spacing w:after="0"/>
        <w:tabs>
          <w:tab w:leader="none" w:pos="18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No Default exists or would immediately result from such proposed Credit</w:t>
      </w:r>
    </w:p>
    <w:p>
      <w:pPr>
        <w:spacing w:after="0" w:line="55"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Extension.</w:t>
      </w:r>
    </w:p>
    <w:p>
      <w:pPr>
        <w:spacing w:after="0" w:line="201" w:lineRule="exact"/>
        <w:rPr>
          <w:rFonts w:ascii="Arial" w:cs="Arial" w:eastAsia="Arial" w:hAnsi="Arial"/>
          <w:sz w:val="19"/>
          <w:szCs w:val="19"/>
          <w:color w:val="auto"/>
        </w:rPr>
      </w:pPr>
    </w:p>
    <w:p>
      <w:pPr>
        <w:ind w:left="540" w:right="539" w:firstLine="725"/>
        <w:spacing w:after="0" w:line="343" w:lineRule="auto"/>
        <w:tabs>
          <w:tab w:leader="none" w:pos="183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Administrative Agent and, if applicable, the applicable L/C Issuer will have received a Request for Credit Extension in accordance with the requirements hereof.</w:t>
      </w:r>
    </w:p>
    <w:p>
      <w:pPr>
        <w:spacing w:after="0" w:line="104" w:lineRule="exact"/>
        <w:rPr>
          <w:sz w:val="20"/>
          <w:szCs w:val="20"/>
          <w:color w:val="auto"/>
        </w:rPr>
      </w:pPr>
    </w:p>
    <w:p>
      <w:pPr>
        <w:jc w:val="both"/>
        <w:ind w:left="540" w:right="479" w:firstLine="635"/>
        <w:spacing w:after="0" w:line="261" w:lineRule="auto"/>
        <w:rPr>
          <w:sz w:val="20"/>
          <w:szCs w:val="20"/>
          <w:color w:val="auto"/>
        </w:rPr>
      </w:pPr>
      <w:r>
        <w:rPr>
          <w:rFonts w:ascii="Arial" w:cs="Arial" w:eastAsia="Arial" w:hAnsi="Arial"/>
          <w:sz w:val="21"/>
          <w:szCs w:val="21"/>
          <w:color w:val="auto"/>
        </w:rPr>
        <w:t xml:space="preserve">Each Request for Credit Extension on and after the Effective Date (other than a Committed Loan Notice requesting a conversion of Committed Borrowings denominated in US Dollars to the other Type or a continuation of Eurocurrency Rate Committed Borrowings) submitted by the Borrower will be deemed to be a representation and warranty that the conditions specified in </w:t>
      </w:r>
      <w:r>
        <w:rPr>
          <w:rFonts w:ascii="Arial" w:cs="Arial" w:eastAsia="Arial" w:hAnsi="Arial"/>
          <w:sz w:val="21"/>
          <w:szCs w:val="21"/>
          <w:u w:val="single" w:color="auto"/>
          <w:color w:val="auto"/>
        </w:rPr>
        <w:t>Sections 4.02(a)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4.02(b)</w:t>
      </w:r>
      <w:r>
        <w:rPr>
          <w:rFonts w:ascii="Arial" w:cs="Arial" w:eastAsia="Arial" w:hAnsi="Arial"/>
          <w:sz w:val="21"/>
          <w:szCs w:val="21"/>
          <w:color w:val="auto"/>
        </w:rPr>
        <w:t xml:space="preserve"> have been satisfied on and as of the date of the applicable Credit Extension.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The  Borrower  and  the  other  Loan  Parties  represents  and  warrants  to  the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Administrative Agent and the Lenders that:</w:t>
      </w:r>
    </w:p>
    <w:p>
      <w:pPr>
        <w:spacing w:after="0" w:line="202" w:lineRule="exact"/>
        <w:rPr>
          <w:sz w:val="20"/>
          <w:szCs w:val="20"/>
          <w:color w:val="auto"/>
        </w:rPr>
      </w:pPr>
    </w:p>
    <w:p>
      <w:pPr>
        <w:jc w:val="both"/>
        <w:ind w:left="540" w:right="559" w:firstLine="648"/>
        <w:spacing w:after="0" w:line="257"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Existence, Qualification and Power</w:t>
      </w:r>
      <w:r>
        <w:rPr>
          <w:rFonts w:ascii="Arial" w:cs="Arial" w:eastAsia="Arial" w:hAnsi="Arial"/>
          <w:sz w:val="21"/>
          <w:szCs w:val="21"/>
          <w:color w:val="auto"/>
        </w:rPr>
        <w:t xml:space="preserve">. Borrower and each Material Subsidiary (a) is duly organized or formed, validly existing and in good standing (or the local equivalent) under the Laws of the jurisdiction of its incorporation or organization, (b) has all requisite power, capacity and authority and all requisite governmental licenses, authorizations, consents and approvals to (i) own or lease its assets and carry on its business and (ii) in the case of any Loan Party, execute, deliver and perform its obligations under the Loan Documents to which it is a party, and (c) is duly qualified and is licensed and in good standing (or the local equivalent) under the Laws of each jurisdiction where its ownership, lease or operation of properties or the conduct of its business requires such qualification or license, except, in each case referred to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(other than as to any Loan Party), </w:t>
      </w:r>
      <w:r>
        <w:rPr>
          <w:rFonts w:ascii="Arial" w:cs="Arial" w:eastAsia="Arial" w:hAnsi="Arial"/>
          <w:sz w:val="21"/>
          <w:szCs w:val="21"/>
          <w:u w:val="single" w:color="auto"/>
          <w:color w:val="auto"/>
        </w:rPr>
        <w:t>(b)(i)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to the extent that failure to do so, individually or in the aggregate, would not reasonably be expected to have a Material Adverse Effect.</w:t>
      </w:r>
    </w:p>
    <w:p>
      <w:pPr>
        <w:spacing w:after="0" w:line="189" w:lineRule="exact"/>
        <w:rPr>
          <w:sz w:val="20"/>
          <w:szCs w:val="20"/>
          <w:color w:val="auto"/>
        </w:rPr>
      </w:pPr>
    </w:p>
    <w:p>
      <w:pPr>
        <w:jc w:val="both"/>
        <w:ind w:left="540" w:right="559" w:firstLine="648"/>
        <w:spacing w:after="0" w:line="289"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xml:space="preserve">. The execution, delivery and performance by each Loan Party of each Loan Document to which such Person is party have been duly authorized by all necessary corporate or other organizational action, and do not and will not (a) contravene the terms of any such Person’s Organization Documents, (b) conflict with or result in any breach or contravention of, or the creation of any Lien under, or require any payment to be made under, any Contractual Obligation to which such Person is a party or affecting such Person or (c) violate any Law, except, in each case referred to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to the extent that failure to do so, individually or in the aggregate, would not reasonably be expected to have a Material Adverse Effect.</w:t>
      </w:r>
    </w:p>
    <w:p>
      <w:pPr>
        <w:sectPr>
          <w:pgSz w:w="11900" w:h="16838" w:orient="portrait"/>
          <w:cols w:equalWidth="0" w:num="1">
            <w:col w:w="9019"/>
          </w:cols>
          <w:pgMar w:left="1440" w:top="928" w:right="1440"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6" w:name="page197"/>
    <w:bookmarkEnd w:id="196"/>
    <w:p>
      <w:pPr>
        <w:jc w:val="both"/>
        <w:ind w:left="540" w:right="559" w:firstLine="648"/>
        <w:spacing w:after="0" w:line="289"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Material Governmental Authorization</w:t>
      </w:r>
      <w:r>
        <w:rPr>
          <w:rFonts w:ascii="Arial" w:cs="Arial" w:eastAsia="Arial" w:hAnsi="Arial"/>
          <w:sz w:val="19"/>
          <w:szCs w:val="19"/>
          <w:color w:val="auto"/>
        </w:rPr>
        <w:t>. Other than any filings with the SEC and any approvals, authorizations, actions, notices and filings which have been duly obtained, taken, given or made and are in full force and effect, no approval, authorization, or other action by, or notice to, or filing with, any Governmental Authority is necessary or required in connection with the execution, delivery or performance by, or enforcement against, any Loan Party of this Agreement or any other Loan Document to which it is a party, except those approvals, authorizations, actions, notices and filings the failure of which to obtain, take, give or make, individually or in the aggregate, would not reasonably be expected to have a Material Adverse Effect.</w:t>
      </w:r>
    </w:p>
    <w:p>
      <w:pPr>
        <w:spacing w:after="0" w:line="157" w:lineRule="exact"/>
        <w:rPr>
          <w:sz w:val="20"/>
          <w:szCs w:val="20"/>
          <w:color w:val="auto"/>
        </w:rPr>
      </w:pPr>
    </w:p>
    <w:p>
      <w:pPr>
        <w:jc w:val="both"/>
        <w:ind w:left="540" w:right="559" w:firstLine="648"/>
        <w:spacing w:after="0" w:line="292"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a party thereto. This Agreement constitutes, and each other Loan Document when so delivered will constitute, a legal, valid and binding obligation of each Loan Party that is a party thereto, in each case enforceable against such Loan Party in accordance with its terms, subject to applicable Debtor Relief Laws and the effect of general principles of equity, whether applied by a court of law or equity.</w:t>
      </w:r>
    </w:p>
    <w:p>
      <w:pPr>
        <w:spacing w:after="0" w:line="151"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u w:val="single" w:color="auto"/>
          <w:color w:val="auto"/>
        </w:rPr>
        <w:t>Financial Statements; No Material Adverse Effect</w:t>
      </w:r>
      <w:r>
        <w:rPr>
          <w:rFonts w:ascii="Arial" w:cs="Arial" w:eastAsia="Arial" w:hAnsi="Arial"/>
          <w:sz w:val="19"/>
          <w:szCs w:val="19"/>
          <w:color w:val="auto"/>
        </w:rPr>
        <w:t>.</w:t>
      </w:r>
    </w:p>
    <w:p>
      <w:pPr>
        <w:spacing w:after="0" w:line="220" w:lineRule="exact"/>
        <w:rPr>
          <w:sz w:val="20"/>
          <w:szCs w:val="20"/>
          <w:color w:val="auto"/>
        </w:rPr>
      </w:pPr>
    </w:p>
    <w:p>
      <w:pPr>
        <w:jc w:val="both"/>
        <w:ind w:left="540" w:right="539" w:firstLine="725"/>
        <w:spacing w:after="0" w:line="288" w:lineRule="auto"/>
        <w:tabs>
          <w:tab w:leader="none" w:pos="183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Audited Financial Statements and the unaudited condensed consolidated balance sheet of the Borrower and its Subsidiaries, and the related unaudited condensed consolidated statements of operations, comprehensive income / (loss), stockholders’ equity and cash flows of the Borrower and its Subsidiaries, as of and for the fiscal quarter ended March 31, 2021, have been prepared in accordance with GAAP consistently applied throughout the periods covered thereby, except as otherwise expressly noted therein, and fairly present, in all material respects, the consolidated financial position of the Borrower and its Subsidiaries at such dates and the consolidated results of their operations and cash flows for such periods (subject, in the case of such unaudited financial statements, to the absence of footnotes and to year-end audit adjustments).</w:t>
      </w:r>
    </w:p>
    <w:p>
      <w:pPr>
        <w:spacing w:after="0" w:line="159" w:lineRule="exact"/>
        <w:rPr>
          <w:rFonts w:ascii="Arial" w:cs="Arial" w:eastAsia="Arial" w:hAnsi="Arial"/>
          <w:sz w:val="19"/>
          <w:szCs w:val="19"/>
          <w:color w:val="auto"/>
        </w:rPr>
      </w:pPr>
    </w:p>
    <w:p>
      <w:pPr>
        <w:jc w:val="both"/>
        <w:ind w:left="540" w:right="539" w:firstLine="725"/>
        <w:spacing w:after="0" w:line="292" w:lineRule="auto"/>
        <w:tabs>
          <w:tab w:leader="none" w:pos="183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Since December 31, 2020, except for events and circumstances disclosed in any SEC Documents, in each case filed or furnished and publicly available before the Effective Date (but excluding any disclosure in the “Forward Looking Statements” section of any SEC Document and any other statements that are solely forward looking in nature included in any SEC Document (including in a “Risk Factors” section)), there has been no event or circumstance that, individually or in the aggregate, has had or would reasonably be expected to have a Material Adverse Effect.</w:t>
      </w:r>
    </w:p>
    <w:p>
      <w:pPr>
        <w:spacing w:after="0" w:line="151" w:lineRule="exact"/>
        <w:rPr>
          <w:sz w:val="20"/>
          <w:szCs w:val="20"/>
          <w:color w:val="auto"/>
        </w:rPr>
      </w:pPr>
    </w:p>
    <w:p>
      <w:pPr>
        <w:jc w:val="both"/>
        <w:ind w:left="540" w:right="559" w:firstLine="648"/>
        <w:spacing w:after="0" w:line="290"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actions, suits, proceedings, claims or disputes pending or, to the knowledge of the Borrower, threatened in writing, at law, in equity, in arbitration or before any Governmental Authority, by or against Borrower or any of its Subsidiaries that (a) would reasonably be likely to affect this Agreement or any other Loan Document or (b) except as specifically disclosed in any SEC Documents filed or furnished and publicly available before the Effective Date (but excluding any disclosure in the “Forward Looking Statements” section of any SEC Document and any other statements that are solely forward looking in nature included in any SEC Document (including in a</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197" w:name="page198"/>
    <w:bookmarkEnd w:id="197"/>
    <w:p>
      <w:pPr>
        <w:ind w:left="540" w:right="479"/>
        <w:spacing w:after="0" w:line="343" w:lineRule="auto"/>
        <w:rPr>
          <w:sz w:val="20"/>
          <w:szCs w:val="20"/>
          <w:color w:val="auto"/>
        </w:rPr>
      </w:pPr>
      <w:r>
        <w:rPr>
          <w:rFonts w:ascii="Arial" w:cs="Arial" w:eastAsia="Arial" w:hAnsi="Arial"/>
          <w:sz w:val="19"/>
          <w:szCs w:val="19"/>
          <w:color w:val="auto"/>
        </w:rPr>
        <w:t xml:space="preserve">“Risk Factors” section)) or on </w:t>
      </w:r>
      <w:r>
        <w:rPr>
          <w:rFonts w:ascii="Arial" w:cs="Arial" w:eastAsia="Arial" w:hAnsi="Arial"/>
          <w:sz w:val="19"/>
          <w:szCs w:val="19"/>
          <w:u w:val="single" w:color="auto"/>
          <w:color w:val="auto"/>
        </w:rPr>
        <w:t>Schedule 5.06</w:t>
      </w:r>
      <w:r>
        <w:rPr>
          <w:rFonts w:ascii="Arial" w:cs="Arial" w:eastAsia="Arial" w:hAnsi="Arial"/>
          <w:sz w:val="19"/>
          <w:szCs w:val="19"/>
          <w:color w:val="auto"/>
        </w:rPr>
        <w:t>, individually or in the aggregate, if determined adversely, would reasonably be expected to have a Material Adverse Effect.</w:t>
      </w:r>
    </w:p>
    <w:p>
      <w:pPr>
        <w:spacing w:after="0" w:line="104" w:lineRule="exact"/>
        <w:rPr>
          <w:sz w:val="20"/>
          <w:szCs w:val="20"/>
          <w:color w:val="auto"/>
        </w:rPr>
      </w:pPr>
    </w:p>
    <w:p>
      <w:pPr>
        <w:jc w:val="both"/>
        <w:ind w:left="540" w:right="559" w:firstLine="648"/>
        <w:spacing w:after="0" w:line="259"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Anti-Corruption Laws and Sanctions</w:t>
      </w:r>
      <w:r>
        <w:rPr>
          <w:rFonts w:ascii="Arial" w:cs="Arial" w:eastAsia="Arial" w:hAnsi="Arial"/>
          <w:sz w:val="21"/>
          <w:szCs w:val="21"/>
          <w:color w:val="auto"/>
        </w:rPr>
        <w:t>. (a) Borrower and the other Subsidiaries have implemented and maintain in effect policies and procedures designed to ensure compliance by the Borrower and the Subsidiaries and their respective directors, officers, employees and agents with Anti-Corruption Laws and applicable Sanctions, and Borrower and, to Borrower’s knowledge, the other Subsidiaries and their respective directors, officers, employees and agents are in compliance with Anti-Corruption Laws and applicable Sanctions, except where the failure to comply therewith, individually or in the aggregate, would not reasonably be expected to have a Material Adverse Effect.</w:t>
      </w:r>
    </w:p>
    <w:p>
      <w:pPr>
        <w:spacing w:after="0" w:line="179" w:lineRule="exact"/>
        <w:rPr>
          <w:sz w:val="20"/>
          <w:szCs w:val="20"/>
          <w:color w:val="auto"/>
        </w:rPr>
      </w:pPr>
    </w:p>
    <w:p>
      <w:pPr>
        <w:jc w:val="both"/>
        <w:ind w:left="540" w:right="559" w:firstLine="725"/>
        <w:spacing w:after="0" w:line="253" w:lineRule="auto"/>
        <w:tabs>
          <w:tab w:leader="none" w:pos="183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None of the Borrower or any Guarantor (or, to the knowledge of the Borrower, any officer or director of the Borrower or any Guarantor), or any other Subsidiary, is a Sanctioned Person.</w:t>
      </w:r>
    </w:p>
    <w:p>
      <w:pPr>
        <w:spacing w:after="0" w:line="185" w:lineRule="exact"/>
        <w:rPr>
          <w:sz w:val="20"/>
          <w:szCs w:val="20"/>
          <w:color w:val="auto"/>
        </w:rPr>
      </w:pPr>
    </w:p>
    <w:p>
      <w:pPr>
        <w:jc w:val="both"/>
        <w:ind w:left="540" w:right="559" w:firstLine="648"/>
        <w:spacing w:after="0" w:line="297"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Margin Regulations; Investment Company Act</w:t>
      </w:r>
      <w:r>
        <w:rPr>
          <w:rFonts w:ascii="Arial" w:cs="Arial" w:eastAsia="Arial" w:hAnsi="Arial"/>
          <w:sz w:val="19"/>
          <w:szCs w:val="19"/>
          <w:color w:val="auto"/>
        </w:rPr>
        <w:t>. (a) None of the Borrower or any other Loan Party is engaged, principally or as one of its important activities, in the business of extending credit for the purpose of purchasing or carrying margin stock. No part of the proceeds of any Loan will be used, directly or indirectly, for any purpose that violates Regulation U or X of the Federal Reserve Board.</w:t>
      </w:r>
    </w:p>
    <w:p>
      <w:pPr>
        <w:spacing w:after="0" w:line="147" w:lineRule="exact"/>
        <w:rPr>
          <w:sz w:val="20"/>
          <w:szCs w:val="20"/>
          <w:color w:val="auto"/>
        </w:rPr>
      </w:pPr>
    </w:p>
    <w:p>
      <w:pPr>
        <w:ind w:left="540" w:right="559" w:firstLine="725"/>
        <w:spacing w:after="0" w:line="263" w:lineRule="auto"/>
        <w:tabs>
          <w:tab w:leader="none" w:pos="183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 Loan Party is required to be registered as an “investment company” under the Investment Company Act of 1940.</w:t>
      </w:r>
    </w:p>
    <w:p>
      <w:pPr>
        <w:spacing w:after="0" w:line="175" w:lineRule="exact"/>
        <w:rPr>
          <w:sz w:val="20"/>
          <w:szCs w:val="20"/>
          <w:color w:val="auto"/>
        </w:rPr>
      </w:pPr>
    </w:p>
    <w:p>
      <w:pPr>
        <w:jc w:val="both"/>
        <w:ind w:left="540" w:right="559" w:firstLine="648"/>
        <w:spacing w:after="0" w:line="284"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The written information (other than projected financial information and information of a general economic or general industry nature) that has been furnished to the Arrangers or any of the Lenders in connection with the negotiation of, or pursuant to the terms of, this Agreement by or on behalf of the Borrower or any other Loan Party, did not and will not, in each case, when so furnished and taken as a whole, contain any untrue statement of a material fact or omit to state a material fact necessary to make the statements contained therein not misleading in the light of the circumstances under which such statements were made (in each case after giving effect to all supplements and updates provided thereto on or prior to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Borrower and the other Loan Parties represent only that such information was prepared in good faith based upon reasonable assumptions that are believed by the preparer thereof to be reasonable at the time made and at the time such projected financial information was delivered to the Arrangers or any of the Lenders (it being understood and agreed that such projected financial information is not to be viewed as facts and that actual results during the period or periods covered by any such projected financial information may differ significantly from the projected results, and no assurance can be given that the projected results will be realized). 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75" w:lineRule="exact"/>
        <w:rPr>
          <w:sz w:val="20"/>
          <w:szCs w:val="20"/>
          <w:color w:val="auto"/>
        </w:rPr>
      </w:pPr>
    </w:p>
    <w:p>
      <w:pPr>
        <w:jc w:val="both"/>
        <w:ind w:left="540" w:right="559" w:firstLine="648"/>
        <w:spacing w:after="0" w:line="343"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of the Borrower and each Material Subsidiary is in compliance with the requirements of all Laws applicable to it or</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8" w:name="page199"/>
    <w:bookmarkEnd w:id="198"/>
    <w:p>
      <w:pPr>
        <w:jc w:val="both"/>
        <w:ind w:left="540" w:right="479"/>
        <w:spacing w:after="0" w:line="265" w:lineRule="auto"/>
        <w:rPr>
          <w:sz w:val="20"/>
          <w:szCs w:val="20"/>
          <w:color w:val="auto"/>
        </w:rPr>
      </w:pPr>
      <w:r>
        <w:rPr>
          <w:rFonts w:ascii="Arial" w:cs="Arial" w:eastAsia="Arial" w:hAnsi="Arial"/>
          <w:sz w:val="21"/>
          <w:szCs w:val="21"/>
          <w:color w:val="auto"/>
        </w:rPr>
        <w:t>its business or property (including applicable Anti-Corruption Laws), except in such instances in which (a) such requirement of Law is being contested in good faith by appropriate proceedings or (b) the failure to comply therewith, individually or in the aggregate, would not reasonably be expected to have a Material Adverse Effect.</w:t>
      </w:r>
    </w:p>
    <w:p>
      <w:pPr>
        <w:spacing w:after="0" w:line="175" w:lineRule="exact"/>
        <w:rPr>
          <w:sz w:val="20"/>
          <w:szCs w:val="20"/>
          <w:color w:val="auto"/>
        </w:rPr>
      </w:pPr>
    </w:p>
    <w:p>
      <w:pPr>
        <w:ind w:left="540" w:right="559" w:firstLine="648"/>
        <w:spacing w:after="0" w:line="263"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Properties</w:t>
      </w:r>
      <w:r>
        <w:rPr>
          <w:rFonts w:ascii="Arial" w:cs="Arial" w:eastAsia="Arial" w:hAnsi="Arial"/>
          <w:sz w:val="22"/>
          <w:szCs w:val="22"/>
          <w:color w:val="auto"/>
        </w:rPr>
        <w:t>. Except as would not reasonably be expected to result in a Material Adverse Effect, individually or in the aggregate:</w:t>
      </w:r>
    </w:p>
    <w:p>
      <w:pPr>
        <w:spacing w:after="0" w:line="175" w:lineRule="exact"/>
        <w:rPr>
          <w:sz w:val="20"/>
          <w:szCs w:val="20"/>
          <w:color w:val="auto"/>
        </w:rPr>
      </w:pPr>
    </w:p>
    <w:p>
      <w:pPr>
        <w:jc w:val="both"/>
        <w:ind w:left="540" w:right="539" w:firstLine="725"/>
        <w:spacing w:after="0" w:line="250" w:lineRule="auto"/>
        <w:tabs>
          <w:tab w:leader="none" w:pos="183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each of the Borrower and its Subsidiaries has good title to, or (to the knowledge of the Borrower or any Subsidiary) valid leasehold interests in, all its real and personal property (other than IP Rights, which is subject to Section 5.11(b)) material to its business; and</w:t>
      </w:r>
    </w:p>
    <w:p>
      <w:pPr>
        <w:spacing w:after="0" w:line="187" w:lineRule="exact"/>
        <w:rPr>
          <w:rFonts w:ascii="Arial" w:cs="Arial" w:eastAsia="Arial" w:hAnsi="Arial"/>
          <w:sz w:val="22"/>
          <w:szCs w:val="22"/>
          <w:color w:val="auto"/>
        </w:rPr>
      </w:pPr>
    </w:p>
    <w:p>
      <w:pPr>
        <w:jc w:val="both"/>
        <w:ind w:left="540" w:right="539" w:firstLine="725"/>
        <w:spacing w:after="0" w:line="302" w:lineRule="auto"/>
        <w:tabs>
          <w:tab w:leader="none" w:pos="183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of the Borrower and its Subsidiaries owns, or is licensed to use (subject to the knowledge-qualified infringement representation in this Section 5.11(b)), all IP Rights used in its business and, subject to the exceptions set forth in Section 5.06(b), to any Loan Party’s knowledge does not infringe upon the IP Rights of any other Person.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20" w:lineRule="exact"/>
        <w:rPr>
          <w:sz w:val="20"/>
          <w:szCs w:val="20"/>
          <w:color w:val="auto"/>
        </w:rPr>
      </w:pPr>
    </w:p>
    <w:p>
      <w:pPr>
        <w:jc w:val="both"/>
        <w:ind w:left="540" w:right="479" w:firstLine="635"/>
        <w:spacing w:after="0" w:line="292" w:lineRule="auto"/>
        <w:rPr>
          <w:sz w:val="20"/>
          <w:szCs w:val="20"/>
          <w:color w:val="auto"/>
        </w:rPr>
      </w:pPr>
      <w:r>
        <w:rPr>
          <w:rFonts w:ascii="Arial" w:cs="Arial" w:eastAsia="Arial" w:hAnsi="Arial"/>
          <w:sz w:val="19"/>
          <w:szCs w:val="19"/>
          <w:color w:val="auto"/>
        </w:rPr>
        <w:t>Until the Commitments shall have expired or been terminated, all Loans and other Obligations (other than contingent obligations as to which no claim has been made) shall have been paid in full, all Letters of Credit shall have expired or been terminated (other than Letters of Credit that have been Cash Collateralized in full or as to which other arrangements satisfactory to the applicable L/C Issuer and the Administrative Agent shall have been made) and all L/C Borrowings shall have been reimbursed in full, each of the Borrower and the other Loan Parties covenants and agrees with the Lenders that:</w:t>
      </w:r>
    </w:p>
    <w:p>
      <w:pPr>
        <w:spacing w:after="0" w:line="151" w:lineRule="exact"/>
        <w:rPr>
          <w:sz w:val="20"/>
          <w:szCs w:val="20"/>
          <w:color w:val="auto"/>
        </w:rPr>
      </w:pPr>
    </w:p>
    <w:p>
      <w:pPr>
        <w:ind w:left="1180"/>
        <w:spacing w:after="0"/>
        <w:tabs>
          <w:tab w:leader="none" w:pos="3120" w:val="left"/>
          <w:tab w:leader="none" w:pos="528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 Borrower will deliver to the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Administrative Agent (which will make available copies to each Lender):</w:t>
      </w:r>
    </w:p>
    <w:p>
      <w:pPr>
        <w:spacing w:after="0" w:line="202" w:lineRule="exact"/>
        <w:rPr>
          <w:sz w:val="20"/>
          <w:szCs w:val="20"/>
          <w:color w:val="auto"/>
        </w:rPr>
      </w:pPr>
    </w:p>
    <w:p>
      <w:pPr>
        <w:jc w:val="both"/>
        <w:ind w:left="540" w:right="539" w:firstLine="725"/>
        <w:spacing w:after="0" w:line="286" w:lineRule="auto"/>
        <w:tabs>
          <w:tab w:leader="none" w:pos="183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as soon as available, but in any event within 90 days after the end of each Fiscal Year of the Borrower (commencing with the Fiscal Year ending December 31, 2021), a consolidated balance sheet of the Borrower and its Subsidiaries as of the end of such Fiscal Year, and the related consolidated statements of operations, comprehensive income / (loss), cash flows and stockholders’ equity for such Fiscal Year, setting forth in each case in comparative form the figures for the previous Fiscal Year, all in reasonable detail and prepared in accordance with GAAP, audited and accompanied by a report and opinion of Ernst &amp; Young LLP or another independent public registered accounting firm of recognized national standing, which report and opinion will be prepared in accordance with audit standards of the Public Company Accounting Oversight Board and will not be subject to any “going concern” or like qualification or exception or any qualification or exception as to the scope of such audit or with respect to the absence of material misstatement in accordance with GAAP; and</w:t>
      </w:r>
    </w:p>
    <w:p>
      <w:pPr>
        <w:spacing w:after="0" w:line="165" w:lineRule="exact"/>
        <w:rPr>
          <w:rFonts w:ascii="Arial" w:cs="Arial" w:eastAsia="Arial" w:hAnsi="Arial"/>
          <w:sz w:val="19"/>
          <w:szCs w:val="19"/>
          <w:color w:val="auto"/>
        </w:rPr>
      </w:pPr>
    </w:p>
    <w:p>
      <w:pPr>
        <w:ind w:left="540" w:right="559" w:firstLine="725"/>
        <w:spacing w:after="0" w:line="343" w:lineRule="auto"/>
        <w:tabs>
          <w:tab w:leader="none" w:pos="183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of the first three fiscal quarters of each Fiscal Year of the Borrower (commencing with the</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199" w:name="page200"/>
    <w:bookmarkEnd w:id="199"/>
    <w:p>
      <w:pPr>
        <w:jc w:val="both"/>
        <w:ind w:left="540" w:right="539"/>
        <w:spacing w:after="0" w:line="287" w:lineRule="auto"/>
        <w:rPr>
          <w:sz w:val="20"/>
          <w:szCs w:val="20"/>
          <w:color w:val="auto"/>
        </w:rPr>
      </w:pPr>
      <w:r>
        <w:rPr>
          <w:rFonts w:ascii="Arial" w:cs="Arial" w:eastAsia="Arial" w:hAnsi="Arial"/>
          <w:sz w:val="19"/>
          <w:szCs w:val="19"/>
          <w:color w:val="auto"/>
        </w:rPr>
        <w:t>first full fiscal quarter ending after the Effective Date), a consolidated balance sheet of the Borrower and its Subsidiaries as of the end of such fiscal quarter, and the related consolidated statements of operations and comprehensive income / (loss) for such fiscal quarter and for the portion of the Fiscal Year then ended and the related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financial officer or the vice president and controller of the Borrower as fairly presenting, in all material respects, the consolidated financial position of the Borrower and its Subsidiaries as of the end of such fiscal quarter and the consolidated results of their operations and cash flows for such periods, subject only to normal year-end audit adjustments and the absence of footnotes.</w:t>
      </w:r>
    </w:p>
    <w:p>
      <w:pPr>
        <w:spacing w:after="0" w:line="159" w:lineRule="exact"/>
        <w:rPr>
          <w:sz w:val="20"/>
          <w:szCs w:val="20"/>
          <w:color w:val="auto"/>
        </w:rPr>
      </w:pPr>
    </w:p>
    <w:p>
      <w:pPr>
        <w:ind w:left="540" w:right="479" w:firstLine="635"/>
        <w:spacing w:after="0" w:line="291"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the Borrower will not be separately required to furnish such information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w:t>
      </w:r>
    </w:p>
    <w:p>
      <w:pPr>
        <w:spacing w:after="0" w:line="1" w:lineRule="exact"/>
        <w:rPr>
          <w:sz w:val="20"/>
          <w:szCs w:val="20"/>
          <w:color w:val="auto"/>
        </w:rPr>
      </w:pPr>
    </w:p>
    <w:p>
      <w:pPr>
        <w:jc w:val="both"/>
        <w:ind w:left="540" w:right="479"/>
        <w:spacing w:after="0" w:line="245" w:lineRule="auto"/>
        <w:tabs>
          <w:tab w:leader="none" w:pos="863" w:val="left"/>
        </w:tabs>
        <w:numPr>
          <w:ilvl w:val="0"/>
          <w:numId w:val="163"/>
        </w:numPr>
        <w:rPr>
          <w:rFonts w:ascii="Arial" w:cs="Arial" w:eastAsia="Arial" w:hAnsi="Arial"/>
          <w:sz w:val="22"/>
          <w:szCs w:val="22"/>
          <w:u w:val="single" w:color="auto"/>
          <w:color w:val="auto"/>
        </w:rPr>
      </w:pPr>
      <w:r>
        <w:rPr>
          <w:rFonts w:ascii="Arial" w:cs="Arial" w:eastAsia="Arial" w:hAnsi="Arial"/>
          <w:sz w:val="22"/>
          <w:szCs w:val="22"/>
          <w:color w:val="auto"/>
        </w:rPr>
        <w:t xml:space="preserve">above, but the foregoing will not be in derogation of the obligation of the Borrower to furnish the information and materials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at the times specified therein.</w:t>
      </w:r>
    </w:p>
    <w:p>
      <w:pPr>
        <w:spacing w:after="0" w:line="193"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Certificates; Notice of Default; Other Information</w:t>
      </w:r>
      <w:r>
        <w:rPr>
          <w:rFonts w:ascii="Arial" w:cs="Arial" w:eastAsia="Arial" w:hAnsi="Arial"/>
          <w:sz w:val="22"/>
          <w:szCs w:val="22"/>
          <w:color w:val="auto"/>
        </w:rPr>
        <w:t>. The Borrower will deliver to the Administrative Agent (which will distribute copies to the Lenders):</w:t>
      </w:r>
    </w:p>
    <w:p>
      <w:pPr>
        <w:spacing w:after="0" w:line="185" w:lineRule="exact"/>
        <w:rPr>
          <w:sz w:val="20"/>
          <w:szCs w:val="20"/>
          <w:color w:val="auto"/>
        </w:rPr>
      </w:pPr>
    </w:p>
    <w:p>
      <w:pPr>
        <w:jc w:val="both"/>
        <w:ind w:left="540" w:right="539" w:firstLine="725"/>
        <w:spacing w:after="0" w:line="248" w:lineRule="auto"/>
        <w:tabs>
          <w:tab w:leader="none" w:pos="183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concurrently with the delivery of the financial statements referred to in </w:t>
      </w:r>
      <w:r>
        <w:rPr>
          <w:rFonts w:ascii="Arial" w:cs="Arial" w:eastAsia="Arial" w:hAnsi="Arial"/>
          <w:sz w:val="22"/>
          <w:szCs w:val="22"/>
          <w:u w:val="single" w:color="auto"/>
          <w:color w:val="auto"/>
        </w:rPr>
        <w:t>Sections 6.01(a)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6.01(b)</w:t>
      </w:r>
      <w:r>
        <w:rPr>
          <w:rFonts w:ascii="Arial" w:cs="Arial" w:eastAsia="Arial" w:hAnsi="Arial"/>
          <w:sz w:val="22"/>
          <w:szCs w:val="22"/>
          <w:color w:val="auto"/>
        </w:rPr>
        <w:t>, a duly completed Compliance Certificate signed by a Responsible Officer of the Borrower (which delivery may be by electronic communication, including fax or e-mail, and shall be deemed to be an original authentic counterpart thereof for all purposes);</w:t>
      </w:r>
    </w:p>
    <w:p>
      <w:pPr>
        <w:spacing w:after="0" w:line="191" w:lineRule="exact"/>
        <w:rPr>
          <w:rFonts w:ascii="Arial" w:cs="Arial" w:eastAsia="Arial" w:hAnsi="Arial"/>
          <w:sz w:val="22"/>
          <w:szCs w:val="22"/>
          <w:color w:val="auto"/>
        </w:rPr>
      </w:pPr>
    </w:p>
    <w:p>
      <w:pPr>
        <w:jc w:val="both"/>
        <w:ind w:left="540" w:right="539" w:firstLine="725"/>
        <w:spacing w:after="0" w:line="263" w:lineRule="auto"/>
        <w:tabs>
          <w:tab w:leader="none" w:pos="1836" w:val="left"/>
        </w:tabs>
        <w:numPr>
          <w:ilvl w:val="0"/>
          <w:numId w:val="164"/>
        </w:numPr>
        <w:rPr>
          <w:rFonts w:ascii="Arial" w:cs="Arial" w:eastAsia="Arial" w:hAnsi="Arial"/>
          <w:sz w:val="21"/>
          <w:szCs w:val="21"/>
          <w:color w:val="auto"/>
        </w:rPr>
      </w:pPr>
      <w:r>
        <w:rPr>
          <w:rFonts w:ascii="Arial" w:cs="Arial" w:eastAsia="Arial" w:hAnsi="Arial"/>
          <w:sz w:val="21"/>
          <w:szCs w:val="21"/>
          <w:color w:val="auto"/>
        </w:rPr>
        <w:t>promptly, after the same are available, copies of each proxy statement sent to the shareholders of the Borrower and copies of all annual, regular, periodic and special reports and registration statements which the Borrower files with the SEC under Section 13 or 15(d) of the Securities Exchange Act, and not otherwise required to be delivered to the Administrative Agent pursuant hereto;</w:t>
      </w:r>
    </w:p>
    <w:p>
      <w:pPr>
        <w:spacing w:after="0" w:line="175" w:lineRule="exact"/>
        <w:rPr>
          <w:rFonts w:ascii="Arial" w:cs="Arial" w:eastAsia="Arial" w:hAnsi="Arial"/>
          <w:sz w:val="21"/>
          <w:szCs w:val="21"/>
          <w:color w:val="auto"/>
        </w:rPr>
      </w:pPr>
    </w:p>
    <w:p>
      <w:pPr>
        <w:jc w:val="both"/>
        <w:ind w:left="540" w:right="539" w:firstLine="725"/>
        <w:spacing w:after="0" w:line="247" w:lineRule="auto"/>
        <w:tabs>
          <w:tab w:leader="none" w:pos="183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promptly, upon any Default becoming known to any Responsible Officer of the Borrower, a written statement of a Responsible Officer of the Borrower containing a heading or a reference line that reads “Notice under Section 6.02(c) of Incyte Corporation Credit Agreement dated August 18, 2021” and setting forth details of such Default and stating what action the Borrower or its Subsidiaries have taken and propose to take with respect thereto;</w:t>
      </w:r>
    </w:p>
    <w:p>
      <w:pPr>
        <w:spacing w:after="0" w:line="192" w:lineRule="exact"/>
        <w:rPr>
          <w:rFonts w:ascii="Arial" w:cs="Arial" w:eastAsia="Arial" w:hAnsi="Arial"/>
          <w:sz w:val="22"/>
          <w:szCs w:val="22"/>
          <w:color w:val="auto"/>
        </w:rPr>
      </w:pPr>
    </w:p>
    <w:p>
      <w:pPr>
        <w:jc w:val="both"/>
        <w:ind w:left="540" w:right="539" w:firstLine="725"/>
        <w:spacing w:after="0" w:line="265" w:lineRule="auto"/>
        <w:tabs>
          <w:tab w:leader="none" w:pos="1836" w:val="left"/>
        </w:tabs>
        <w:numPr>
          <w:ilvl w:val="0"/>
          <w:numId w:val="164"/>
        </w:numPr>
        <w:rPr>
          <w:rFonts w:ascii="Arial" w:cs="Arial" w:eastAsia="Arial" w:hAnsi="Arial"/>
          <w:sz w:val="21"/>
          <w:szCs w:val="21"/>
          <w:color w:val="auto"/>
        </w:rPr>
      </w:pPr>
      <w:r>
        <w:rPr>
          <w:rFonts w:ascii="Arial" w:cs="Arial" w:eastAsia="Arial" w:hAnsi="Arial"/>
          <w:sz w:val="21"/>
          <w:szCs w:val="21"/>
          <w:color w:val="auto"/>
        </w:rPr>
        <w:t>promptly following request,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00" w:name="page201"/>
    <w:bookmarkEnd w:id="200"/>
    <w:p>
      <w:pPr>
        <w:jc w:val="both"/>
        <w:ind w:left="540" w:right="539" w:firstLine="725"/>
        <w:spacing w:after="0" w:line="253" w:lineRule="auto"/>
        <w:tabs>
          <w:tab w:leader="none" w:pos="183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prompt written notice of any change in the information provided in the Beneficial Ownership Certification delivered to any Lender that would result in a change to the list of beneficial owners identified in such certification; and</w:t>
      </w:r>
    </w:p>
    <w:p>
      <w:pPr>
        <w:spacing w:after="0" w:line="185" w:lineRule="exact"/>
        <w:rPr>
          <w:rFonts w:ascii="Arial" w:cs="Arial" w:eastAsia="Arial" w:hAnsi="Arial"/>
          <w:sz w:val="22"/>
          <w:szCs w:val="22"/>
          <w:color w:val="auto"/>
        </w:rPr>
      </w:pPr>
    </w:p>
    <w:p>
      <w:pPr>
        <w:jc w:val="both"/>
        <w:ind w:left="540" w:right="539" w:firstLine="725"/>
        <w:spacing w:after="0" w:line="285" w:lineRule="auto"/>
        <w:tabs>
          <w:tab w:leader="none" w:pos="183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promptly following request, subject to the Borrower’s and its Subsidiaries’ internal policies for the protection and preservation of intellectual property, trade secrets and other non-financial proprietary information, such additional information regarding the corporate, financial or operating affairs of the Borrower or any Subsidiary (but excluding any financial information that the Borrower and its Subsidiaries do not produce in the ordinary course of business), or compliance with the terms of the Loan Documents by any Loan Party, as the Administrative Agent or any Lender through the Administrative Agent may from time to time reasonably request in relation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case shall the Borrower be required to disclose any information if doing so would be reasonably likely to result in a violation of Regulation FD and (ii) if in the Borrower’s reasonable judgment the disclosure of any requested information would compromise attorney-client privilege, privilege afforded to attorney work product or similar privilege, the Borrower shall make available redacted versions of requested documents or, if unable to do so consistent with the preservation of such privilege, shall endeavor in good faith otherwise to disclose information responsive to such request in a manner that will protect such privilege;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Borrower shall not be required to deliver such information to the extent such information is publicly available.</w:t>
      </w:r>
    </w:p>
    <w:p>
      <w:pPr>
        <w:spacing w:after="0" w:line="166" w:lineRule="exact"/>
        <w:rPr>
          <w:sz w:val="20"/>
          <w:szCs w:val="20"/>
          <w:color w:val="auto"/>
        </w:rPr>
      </w:pPr>
    </w:p>
    <w:p>
      <w:pPr>
        <w:jc w:val="both"/>
        <w:ind w:left="540" w:right="479" w:firstLine="635"/>
        <w:spacing w:after="0" w:line="287"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6.02(b)</w:t>
      </w:r>
      <w:r>
        <w:rPr>
          <w:rFonts w:ascii="Arial" w:cs="Arial" w:eastAsia="Arial" w:hAnsi="Arial"/>
          <w:sz w:val="19"/>
          <w:szCs w:val="19"/>
          <w:color w:val="auto"/>
        </w:rPr>
        <w:t xml:space="preserve"> (to the extent any such documents are included in materials otherwise filed with the SEC) may be delivered electronically and if so delivered, will be deemed to have been delivered on the date on which (i) the Borrower posts such documents, or provides a link thereto on the Borrower’s website on the Internet at http://www.incyte.com (or such other website address as may be updated from time to time and provided to the Administrative Agent in writing) or (ii) such documents are posted on the Borrower’s behalf on an Approved Electronic Platform.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200" w:lineRule="exact"/>
        <w:rPr>
          <w:sz w:val="20"/>
          <w:szCs w:val="20"/>
          <w:color w:val="auto"/>
        </w:rPr>
      </w:pPr>
    </w:p>
    <w:p>
      <w:pPr>
        <w:spacing w:after="0" w:line="220" w:lineRule="exact"/>
        <w:rPr>
          <w:sz w:val="20"/>
          <w:szCs w:val="20"/>
          <w:color w:val="auto"/>
        </w:rPr>
      </w:pPr>
    </w:p>
    <w:p>
      <w:pPr>
        <w:jc w:val="both"/>
        <w:ind w:left="540" w:right="559" w:firstLine="648"/>
        <w:spacing w:after="0" w:line="246"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Payment of Taxes</w:t>
      </w:r>
      <w:r>
        <w:rPr>
          <w:rFonts w:ascii="Arial" w:cs="Arial" w:eastAsia="Arial" w:hAnsi="Arial"/>
          <w:sz w:val="22"/>
          <w:szCs w:val="22"/>
          <w:color w:val="auto"/>
        </w:rPr>
        <w:t>. The Borrower, the other Loan Parties and each other Material Subsidiary will pay and discharge its Tax liabilities at such time as they are due and payable, unless the same are being contested in good faith by appropriate proceedings diligently conducted and it is maintaining adequate reserves in accordance with GAAP, except to the extent that failure to pay or discharge such Tax liabilities, individually or in the aggregate, would not reasonably be expected to have a Material Adverse Effect.</w:t>
      </w:r>
    </w:p>
    <w:p>
      <w:pPr>
        <w:spacing w:after="0" w:line="196" w:lineRule="exact"/>
        <w:rPr>
          <w:sz w:val="20"/>
          <w:szCs w:val="20"/>
          <w:color w:val="auto"/>
        </w:rPr>
      </w:pPr>
    </w:p>
    <w:p>
      <w:pPr>
        <w:jc w:val="both"/>
        <w:ind w:left="540" w:right="559" w:firstLine="648"/>
        <w:spacing w:after="0" w:line="29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Preservation of Existence, Etc</w:t>
      </w:r>
      <w:r>
        <w:rPr>
          <w:rFonts w:ascii="Arial" w:cs="Arial" w:eastAsia="Arial" w:hAnsi="Arial"/>
          <w:sz w:val="19"/>
          <w:szCs w:val="19"/>
          <w:color w:val="auto"/>
        </w:rPr>
        <w:t xml:space="preserve">. The Borrower, the other Loan Parties and each other Material Subsidiary will (a) preserve, renew and maintain in full force and effect its legal existence and good standing under the Laws of the jurisdiction of its organization or incorporation;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not prohibit any transaction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and (b) take all reasonable action to maintain all</w:t>
      </w:r>
    </w:p>
    <w:p>
      <w:pPr>
        <w:sectPr>
          <w:pgSz w:w="11900" w:h="16838" w:orient="portrait"/>
          <w:cols w:equalWidth="0" w:num="1">
            <w:col w:w="9019"/>
          </w:cols>
          <w:pgMar w:left="1440" w:top="928" w:right="1440" w:bottom="144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01" w:name="page202"/>
    <w:bookmarkEnd w:id="201"/>
    <w:p>
      <w:pPr>
        <w:jc w:val="both"/>
        <w:ind w:left="540" w:right="479"/>
        <w:spacing w:after="0" w:line="312" w:lineRule="auto"/>
        <w:rPr>
          <w:sz w:val="20"/>
          <w:szCs w:val="20"/>
          <w:color w:val="auto"/>
        </w:rPr>
      </w:pPr>
      <w:r>
        <w:rPr>
          <w:rFonts w:ascii="Arial" w:cs="Arial" w:eastAsia="Arial" w:hAnsi="Arial"/>
          <w:sz w:val="19"/>
          <w:szCs w:val="19"/>
          <w:color w:val="auto"/>
        </w:rPr>
        <w:t>rights, privileges, permits, licenses and franchises necessary or desirable in the normal conduct of its business, except to the extent that failure to do so, individually or in the aggregate, would not reasonably be expected to have a Material Adverse Effect.</w:t>
      </w:r>
    </w:p>
    <w:p>
      <w:pPr>
        <w:spacing w:after="0" w:line="133" w:lineRule="exact"/>
        <w:rPr>
          <w:sz w:val="20"/>
          <w:szCs w:val="20"/>
          <w:color w:val="auto"/>
        </w:rPr>
      </w:pPr>
    </w:p>
    <w:p>
      <w:pPr>
        <w:jc w:val="both"/>
        <w:ind w:left="540" w:right="559" w:firstLine="648"/>
        <w:spacing w:after="0" w:line="261"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The Borrower, the other Loan Parties and each other Material Subsidiary will comply with the requirements of all Laws applicable to it or to its business or property, except in such instances in which (a) such requirement of Law is being contested in good faith by appropriate proceedings or (b) the failure to comply therewith, individually or in the aggregate, would not reasonably be expected to have a Material Adverse Effect.</w:t>
      </w:r>
    </w:p>
    <w:p>
      <w:pPr>
        <w:spacing w:after="0" w:line="179" w:lineRule="exact"/>
        <w:rPr>
          <w:sz w:val="20"/>
          <w:szCs w:val="20"/>
          <w:color w:val="auto"/>
        </w:rPr>
      </w:pPr>
    </w:p>
    <w:p>
      <w:pPr>
        <w:jc w:val="both"/>
        <w:ind w:left="540" w:right="559" w:firstLine="648"/>
        <w:spacing w:after="0" w:line="265"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u w:val="single" w:color="auto"/>
          <w:color w:val="auto"/>
        </w:rPr>
        <w:t>Use of Proceeds</w:t>
      </w:r>
      <w:r>
        <w:rPr>
          <w:rFonts w:ascii="Arial" w:cs="Arial" w:eastAsia="Arial" w:hAnsi="Arial"/>
          <w:sz w:val="21"/>
          <w:szCs w:val="21"/>
          <w:color w:val="auto"/>
        </w:rPr>
        <w:t>. (a)The Borrower and the other Loan Parties and each other Subsidiary will use the proceeds of the Credit Extensions for general corporate purposes, including (but not limited to) working capital, capital expenditures, acquisitions, investments, dividends, distributions and share buybacks.</w:t>
      </w:r>
    </w:p>
    <w:p>
      <w:pPr>
        <w:spacing w:after="0" w:line="175" w:lineRule="exact"/>
        <w:rPr>
          <w:sz w:val="20"/>
          <w:szCs w:val="20"/>
          <w:color w:val="auto"/>
        </w:rPr>
      </w:pPr>
    </w:p>
    <w:p>
      <w:pPr>
        <w:jc w:val="both"/>
        <w:ind w:left="540" w:right="539" w:firstLine="725"/>
        <w:spacing w:after="0" w:line="258" w:lineRule="auto"/>
        <w:tabs>
          <w:tab w:leader="none" w:pos="183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Borrower will not request any Loan or Letter of Credit, and the Borrower shall not use, and shall procure that Borrower and the Subsidiaries and their respective directors, officers, employees and Agent shall not use, the proceeds of any Loan or any Letter of Credit (i) in furtherance of an offer, payment, promise to pay, or authorization of the payment or giving of money, or anything else of value, to any Person in violation of any Anti-Corruption Laws or (ii) (A) for the purpose of funding any activity or business in any Sanctioned Country or for the purpose of funding any activity or business of or with any Sanctioned Person or (B) in any other manner, in each case, as will result in any violation by any Lender, any L/C Issuer, any Arranger or the Administrative Agent of any Sanctions.</w:t>
      </w:r>
    </w:p>
    <w:p>
      <w:pPr>
        <w:spacing w:after="0" w:line="185" w:lineRule="exact"/>
        <w:rPr>
          <w:sz w:val="20"/>
          <w:szCs w:val="20"/>
          <w:color w:val="auto"/>
        </w:rPr>
      </w:pPr>
    </w:p>
    <w:p>
      <w:pPr>
        <w:jc w:val="both"/>
        <w:ind w:left="540" w:right="559" w:firstLine="648"/>
        <w:spacing w:after="0" w:line="258"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Maintenance of Property and Insurance</w:t>
      </w:r>
      <w:r>
        <w:rPr>
          <w:rFonts w:ascii="Arial" w:cs="Arial" w:eastAsia="Arial" w:hAnsi="Arial"/>
          <w:sz w:val="21"/>
          <w:szCs w:val="21"/>
          <w:color w:val="auto"/>
        </w:rPr>
        <w:t>. The Borrower will, and will cause each of its Material Subsidiaries to, (a) keep and maintain all tangible property material to the conduct of its business in good working order and condition, ordinary wear and tear and casualty excepted and except (i) as otherwise permitted by Section 7.03 or (ii) where the failure to do so would not reasonably be expected to result in a Material Adverse Effect and (b) maintain, in all material respects, with carriers reasonably believed by the Borrower to be financially sound and reputable or through reasonable and adequate self-insurance insurance in such amounts and against such risks and such other hazards, as is customarily maintained by companies engaged in the same or similar businesses operating in the same or similar locations or where the Material Subsidiary operates.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NEGATIVE COVENANTS</w:t>
      </w:r>
    </w:p>
    <w:p>
      <w:pPr>
        <w:spacing w:after="0" w:line="220" w:lineRule="exact"/>
        <w:rPr>
          <w:sz w:val="20"/>
          <w:szCs w:val="20"/>
          <w:color w:val="auto"/>
        </w:rPr>
      </w:pPr>
    </w:p>
    <w:p>
      <w:pPr>
        <w:jc w:val="both"/>
        <w:ind w:left="540" w:right="479" w:firstLine="635"/>
        <w:spacing w:after="0" w:line="247" w:lineRule="auto"/>
        <w:rPr>
          <w:sz w:val="20"/>
          <w:szCs w:val="20"/>
          <w:color w:val="auto"/>
        </w:rPr>
      </w:pPr>
      <w:r>
        <w:rPr>
          <w:rFonts w:ascii="Arial" w:cs="Arial" w:eastAsia="Arial" w:hAnsi="Arial"/>
          <w:sz w:val="22"/>
          <w:szCs w:val="22"/>
          <w:color w:val="auto"/>
        </w:rPr>
        <w:t>Until the Commitments shall have expired or been terminated, all Loans and other Obligations (other than contingent obligations as to which no claim has been made) shall have been paid in full, all Letters of Credit shall have expired or been terminated (other than Letters of Credit that have been Cash Collateralized in full or as to which other arrangements satisfactory to the applicable L/C Issuer and the Administrative Agent shall have been made)</w:t>
      </w:r>
    </w:p>
    <w:p>
      <w:pPr>
        <w:sectPr>
          <w:pgSz w:w="11900" w:h="16838" w:orient="portrait"/>
          <w:cols w:equalWidth="0" w:num="1">
            <w:col w:w="9019"/>
          </w:cols>
          <w:pgMar w:left="1440" w:top="928" w:right="1440"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02" w:name="page203"/>
    <w:bookmarkEnd w:id="202"/>
    <w:p>
      <w:pPr>
        <w:ind w:left="540" w:right="479"/>
        <w:spacing w:after="0" w:line="263" w:lineRule="auto"/>
        <w:rPr>
          <w:sz w:val="20"/>
          <w:szCs w:val="20"/>
          <w:color w:val="auto"/>
        </w:rPr>
      </w:pPr>
      <w:r>
        <w:rPr>
          <w:rFonts w:ascii="Arial" w:cs="Arial" w:eastAsia="Arial" w:hAnsi="Arial"/>
          <w:sz w:val="22"/>
          <w:szCs w:val="22"/>
          <w:color w:val="auto"/>
        </w:rPr>
        <w:t>and all L/C Borrowings shall have been reimbursed in full, each of the Borrower and the other Loan Parties covenants and agrees with the Lenders that:</w:t>
      </w:r>
    </w:p>
    <w:p>
      <w:pPr>
        <w:spacing w:after="0" w:line="175" w:lineRule="exact"/>
        <w:rPr>
          <w:sz w:val="20"/>
          <w:szCs w:val="20"/>
          <w:color w:val="auto"/>
        </w:rPr>
      </w:pPr>
    </w:p>
    <w:p>
      <w:pPr>
        <w:jc w:val="both"/>
        <w:ind w:left="540" w:right="539" w:firstLine="648"/>
        <w:spacing w:after="0" w:line="250"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Liens</w:t>
      </w:r>
      <w:r>
        <w:rPr>
          <w:rFonts w:ascii="Arial" w:cs="Arial" w:eastAsia="Arial" w:hAnsi="Arial"/>
          <w:sz w:val="22"/>
          <w:szCs w:val="22"/>
          <w:color w:val="auto"/>
        </w:rPr>
        <w:t>. None of the Borrower, the other Loan Parties or any other Subsidiary will create, incur, assume or permit to exist any Lien upon any of its property, assets or revenues, whether now owned or hereafter acquired, other than the following:</w:t>
      </w:r>
    </w:p>
    <w:p>
      <w:pPr>
        <w:spacing w:after="0" w:line="188" w:lineRule="exact"/>
        <w:rPr>
          <w:sz w:val="20"/>
          <w:szCs w:val="20"/>
          <w:color w:val="auto"/>
        </w:rPr>
      </w:pPr>
    </w:p>
    <w:p>
      <w:pPr>
        <w:ind w:left="1840" w:hanging="575"/>
        <w:spacing w:after="0"/>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Liens created pursuant to any Loan Document;</w:t>
      </w:r>
    </w:p>
    <w:p>
      <w:pPr>
        <w:spacing w:after="0" w:line="219" w:lineRule="exact"/>
        <w:rPr>
          <w:rFonts w:ascii="Arial" w:cs="Arial" w:eastAsia="Arial" w:hAnsi="Arial"/>
          <w:sz w:val="22"/>
          <w:szCs w:val="22"/>
          <w:color w:val="auto"/>
        </w:rPr>
      </w:pPr>
    </w:p>
    <w:p>
      <w:pPr>
        <w:jc w:val="both"/>
        <w:ind w:left="540" w:right="539" w:firstLine="725"/>
        <w:spacing w:after="0" w:line="292" w:lineRule="auto"/>
        <w:tabs>
          <w:tab w:leader="none" w:pos="183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Liens existing on the Effective Date and set forth on </w:t>
      </w:r>
      <w:r>
        <w:rPr>
          <w:rFonts w:ascii="Arial" w:cs="Arial" w:eastAsia="Arial" w:hAnsi="Arial"/>
          <w:sz w:val="19"/>
          <w:szCs w:val="19"/>
          <w:u w:val="single" w:color="auto"/>
          <w:color w:val="auto"/>
        </w:rPr>
        <w:t>Schedule 7</w:t>
      </w:r>
      <w:r>
        <w:rPr>
          <w:rFonts w:ascii="Arial" w:cs="Arial" w:eastAsia="Arial" w:hAnsi="Arial"/>
          <w:sz w:val="19"/>
          <w:szCs w:val="19"/>
          <w:color w:val="auto"/>
        </w:rPr>
        <w:t>.</w:t>
      </w:r>
      <w:r>
        <w:rPr>
          <w:rFonts w:ascii="Arial" w:cs="Arial" w:eastAsia="Arial" w:hAnsi="Arial"/>
          <w:sz w:val="19"/>
          <w:szCs w:val="19"/>
          <w:u w:val="single" w:color="auto"/>
          <w:color w:val="auto"/>
        </w:rPr>
        <w:t>01</w:t>
      </w:r>
      <w:r>
        <w:rPr>
          <w:rFonts w:ascii="Arial" w:cs="Arial" w:eastAsia="Arial" w:hAnsi="Arial"/>
          <w:sz w:val="19"/>
          <w:szCs w:val="19"/>
          <w:color w:val="auto"/>
        </w:rPr>
        <w:t xml:space="preserve"> and any renewals, extensions and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encumber property other than the property subject to the original Lien or improvements thereon or replacements thereof and (ii) the amount of Indebtedness secured or benefited thereby is not increased, except by an amount equal to a reasonable premium or other reasonable amount paid, and fees and expenses reasonably incurred, in connection with any renewal, extension or refinancing of such Indebtedness;</w:t>
      </w:r>
    </w:p>
    <w:p>
      <w:pPr>
        <w:spacing w:after="0" w:line="150" w:lineRule="exact"/>
        <w:rPr>
          <w:rFonts w:ascii="Arial" w:cs="Arial" w:eastAsia="Arial" w:hAnsi="Arial"/>
          <w:sz w:val="19"/>
          <w:szCs w:val="19"/>
          <w:color w:val="auto"/>
        </w:rPr>
      </w:pPr>
    </w:p>
    <w:p>
      <w:pPr>
        <w:jc w:val="both"/>
        <w:ind w:left="540" w:right="539" w:firstLine="725"/>
        <w:spacing w:after="0" w:line="286" w:lineRule="auto"/>
        <w:tabs>
          <w:tab w:leader="none" w:pos="183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Liens on any assets acquired by the Borrower or any Subsidiary after the Effective Date existing at the time of the acquisition thereof or on any asset of any Person that becomes a Subsidiary (or of any Person not previously Borrower or a Subsidiary that is merged or consolidated with or into Borrower or a Subsidiary in a transaction or series of related transactions permitted hereunder) after the Effective Date existing at the time such Person becomes a Subsidiary (or is so merged or consolidated), and any renewals, extensions and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were not created in contemplation of or in connection with such acquisition or such Person becoming a Subsidiary (or such merger or consolidation), (ii) such Liens do not encumber property other than the property subject to the original Lien or improvements thereon or replacements thereof and (iii) the amount of Indebtedness secured or benefited thereby is not increased, except by an amount equal to a reasonable premium or other reasonable amount paid, and fees and expenses reasonably incurred, in connection with any renewal, extension or refinancing of such Indebtedness;</w:t>
      </w:r>
    </w:p>
    <w:p>
      <w:pPr>
        <w:spacing w:after="0" w:line="161" w:lineRule="exact"/>
        <w:rPr>
          <w:rFonts w:ascii="Arial" w:cs="Arial" w:eastAsia="Arial" w:hAnsi="Arial"/>
          <w:sz w:val="19"/>
          <w:szCs w:val="19"/>
          <w:color w:val="auto"/>
        </w:rPr>
      </w:pPr>
    </w:p>
    <w:p>
      <w:pPr>
        <w:jc w:val="both"/>
        <w:ind w:left="540" w:right="539" w:firstLine="725"/>
        <w:spacing w:after="0" w:line="286" w:lineRule="auto"/>
        <w:tabs>
          <w:tab w:leader="none" w:pos="183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only Indebtedness incurred to finance the acquisition, construction or improvement of such fixed or capital assets (and obligations relating thereto not constituting Indebtedness), including any Capital Lease Obligations, and renewals, extensions and refinancings of any such Indebtedness that do not increase the amount of Indebtedness secured or benefited thereby, except by an amount equal to a reasonable premium or other reasonable amount paid, and fees and expenses reasonably incurred, in connection with any renewal, extension or refinancing of such Indebtedness and (ii) such Liens and the Indebtedness secured thereby (other than any such renewals, extensions or refinancings thereof) are incurred prior to or within 120 days after the later of such acquisition, the completion of such construction or improvement or full operation of such acquired asset;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sectPr>
          <w:pgSz w:w="11900" w:h="16838" w:orient="portrait"/>
          <w:cols w:equalWidth="0" w:num="1">
            <w:col w:w="9019"/>
          </w:cols>
          <w:pgMar w:left="1440" w:top="928" w:right="1440"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03" w:name="page204"/>
    <w:bookmarkEnd w:id="203"/>
    <w:p>
      <w:pPr>
        <w:ind w:left="1840" w:hanging="575"/>
        <w:spacing w:after="0"/>
        <w:tabs>
          <w:tab w:leader="none" w:pos="18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Liens in favor of the Borrower or any Subsidiary of the Borrower;</w:t>
      </w:r>
    </w:p>
    <w:p>
      <w:pPr>
        <w:spacing w:after="0" w:line="219" w:lineRule="exact"/>
        <w:rPr>
          <w:rFonts w:ascii="Arial" w:cs="Arial" w:eastAsia="Arial" w:hAnsi="Arial"/>
          <w:sz w:val="22"/>
          <w:szCs w:val="22"/>
          <w:color w:val="auto"/>
        </w:rPr>
      </w:pPr>
    </w:p>
    <w:p>
      <w:pPr>
        <w:jc w:val="both"/>
        <w:ind w:left="540" w:right="539" w:firstLine="725"/>
        <w:spacing w:after="0" w:line="312" w:lineRule="auto"/>
        <w:tabs>
          <w:tab w:leader="none" w:pos="183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any Lien securing any obligation of the Borrower or any Subsidiary in respect of interest rate, currency exchange rates or commodity pricing Swap Contracts entered into in the ordinary course of business for bona fide business purposes;</w:t>
      </w:r>
    </w:p>
    <w:p>
      <w:pPr>
        <w:spacing w:after="0" w:line="133" w:lineRule="exact"/>
        <w:rPr>
          <w:rFonts w:ascii="Arial" w:cs="Arial" w:eastAsia="Arial" w:hAnsi="Arial"/>
          <w:sz w:val="19"/>
          <w:szCs w:val="19"/>
          <w:color w:val="auto"/>
        </w:rPr>
      </w:pPr>
    </w:p>
    <w:p>
      <w:pPr>
        <w:ind w:left="540" w:right="539" w:firstLine="725"/>
        <w:spacing w:after="0" w:line="263"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Liens on the proceeds of any Acquisition Indebtedness held in escrow prior to the release thereof from escrow;</w:t>
      </w:r>
    </w:p>
    <w:p>
      <w:pPr>
        <w:spacing w:after="0" w:line="174" w:lineRule="exact"/>
        <w:rPr>
          <w:rFonts w:ascii="Arial" w:cs="Arial" w:eastAsia="Arial" w:hAnsi="Arial"/>
          <w:sz w:val="22"/>
          <w:szCs w:val="22"/>
          <w:color w:val="auto"/>
        </w:rPr>
      </w:pPr>
    </w:p>
    <w:p>
      <w:pPr>
        <w:ind w:left="1840" w:hanging="575"/>
        <w:spacing w:after="0"/>
        <w:tabs>
          <w:tab w:leader="none" w:pos="18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19" w:lineRule="exact"/>
        <w:rPr>
          <w:rFonts w:ascii="Arial" w:cs="Arial" w:eastAsia="Arial" w:hAnsi="Arial"/>
          <w:sz w:val="22"/>
          <w:szCs w:val="22"/>
          <w:color w:val="auto"/>
        </w:rPr>
      </w:pPr>
    </w:p>
    <w:p>
      <w:pPr>
        <w:jc w:val="both"/>
        <w:ind w:left="540" w:right="539" w:firstLine="725"/>
        <w:spacing w:after="0" w:line="250"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Liens arising out of any conditional sale, title retention, consignment, licensing or other similar arrangements for the sale of goods or commercialization of IP Rights entered into by the Borrower or any of its Subsidiaries the ordinary course of business;</w:t>
      </w:r>
    </w:p>
    <w:p>
      <w:pPr>
        <w:spacing w:after="0" w:line="187" w:lineRule="exact"/>
        <w:rPr>
          <w:rFonts w:ascii="Arial" w:cs="Arial" w:eastAsia="Arial" w:hAnsi="Arial"/>
          <w:sz w:val="22"/>
          <w:szCs w:val="22"/>
          <w:color w:val="auto"/>
        </w:rPr>
      </w:pPr>
    </w:p>
    <w:p>
      <w:pPr>
        <w:ind w:left="540" w:right="559" w:firstLine="725"/>
        <w:spacing w:after="0" w:line="263"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Liens securing Indebtedness permitted hereunder to finance insurance premiums solely to the extent of such premiums;</w:t>
      </w:r>
    </w:p>
    <w:p>
      <w:pPr>
        <w:spacing w:after="0" w:line="174" w:lineRule="exact"/>
        <w:rPr>
          <w:rFonts w:ascii="Arial" w:cs="Arial" w:eastAsia="Arial" w:hAnsi="Arial"/>
          <w:sz w:val="22"/>
          <w:szCs w:val="22"/>
          <w:color w:val="auto"/>
        </w:rPr>
      </w:pPr>
    </w:p>
    <w:p>
      <w:pPr>
        <w:jc w:val="both"/>
        <w:ind w:left="540" w:right="539" w:firstLine="725"/>
        <w:spacing w:after="0" w:line="294" w:lineRule="auto"/>
        <w:tabs>
          <w:tab w:leader="none" w:pos="183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49" w:lineRule="exact"/>
        <w:rPr>
          <w:rFonts w:ascii="Arial" w:cs="Arial" w:eastAsia="Arial" w:hAnsi="Arial"/>
          <w:sz w:val="19"/>
          <w:szCs w:val="19"/>
          <w:color w:val="auto"/>
        </w:rPr>
      </w:pPr>
    </w:p>
    <w:p>
      <w:pPr>
        <w:jc w:val="both"/>
        <w:ind w:left="540" w:right="539" w:firstLine="725"/>
        <w:spacing w:after="0" w:line="253"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185" w:lineRule="exact"/>
        <w:rPr>
          <w:rFonts w:ascii="Arial" w:cs="Arial" w:eastAsia="Arial" w:hAnsi="Arial"/>
          <w:sz w:val="22"/>
          <w:szCs w:val="22"/>
          <w:color w:val="auto"/>
        </w:rPr>
      </w:pPr>
    </w:p>
    <w:p>
      <w:pPr>
        <w:jc w:val="both"/>
        <w:ind w:left="540" w:right="539" w:firstLine="725"/>
        <w:spacing w:after="0" w:line="250"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Liens on any cash earnest money deposits made by the Borrower or any of its Subsidiaries in connection with any Acquisition permitted by this Agreement, including, without limitation, in connection with any letter of intent or purchase agreement relating thereto;</w:t>
      </w:r>
    </w:p>
    <w:p>
      <w:pPr>
        <w:spacing w:after="0" w:line="187" w:lineRule="exact"/>
        <w:rPr>
          <w:rFonts w:ascii="Arial" w:cs="Arial" w:eastAsia="Arial" w:hAnsi="Arial"/>
          <w:sz w:val="22"/>
          <w:szCs w:val="22"/>
          <w:color w:val="auto"/>
        </w:rPr>
      </w:pPr>
    </w:p>
    <w:p>
      <w:pPr>
        <w:jc w:val="both"/>
        <w:ind w:left="540" w:right="539" w:firstLine="725"/>
        <w:spacing w:after="0" w:line="253"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in connection with the sale or transfer of any assets in a transaction permitted under </w:t>
      </w:r>
      <w:r>
        <w:rPr>
          <w:rFonts w:ascii="Arial" w:cs="Arial" w:eastAsia="Arial" w:hAnsi="Arial"/>
          <w:sz w:val="22"/>
          <w:szCs w:val="22"/>
          <w:u w:val="single" w:color="auto"/>
          <w:color w:val="auto"/>
        </w:rPr>
        <w:t>Section 7.04</w:t>
      </w:r>
      <w:r>
        <w:rPr>
          <w:rFonts w:ascii="Arial" w:cs="Arial" w:eastAsia="Arial" w:hAnsi="Arial"/>
          <w:sz w:val="22"/>
          <w:szCs w:val="22"/>
          <w:color w:val="auto"/>
        </w:rPr>
        <w:t>, customary rights and restrictions contained in agreements relating to such sale or transfer pending the completion thereof;</w:t>
      </w:r>
    </w:p>
    <w:p>
      <w:pPr>
        <w:spacing w:after="0" w:line="185" w:lineRule="exact"/>
        <w:rPr>
          <w:rFonts w:ascii="Arial" w:cs="Arial" w:eastAsia="Arial" w:hAnsi="Arial"/>
          <w:sz w:val="22"/>
          <w:szCs w:val="22"/>
          <w:color w:val="auto"/>
        </w:rPr>
      </w:pPr>
    </w:p>
    <w:p>
      <w:pPr>
        <w:jc w:val="both"/>
        <w:ind w:left="540" w:right="539" w:firstLine="725"/>
        <w:spacing w:after="0" w:line="271" w:lineRule="auto"/>
        <w:tabs>
          <w:tab w:leader="none" w:pos="1836" w:val="left"/>
        </w:tabs>
        <w:numPr>
          <w:ilvl w:val="0"/>
          <w:numId w:val="168"/>
        </w:numPr>
        <w:rPr>
          <w:rFonts w:ascii="Arial" w:cs="Arial" w:eastAsia="Arial" w:hAnsi="Arial"/>
          <w:sz w:val="21"/>
          <w:szCs w:val="21"/>
          <w:color w:val="auto"/>
        </w:rPr>
      </w:pPr>
      <w:r>
        <w:rPr>
          <w:rFonts w:ascii="Arial" w:cs="Arial" w:eastAsia="Arial" w:hAnsi="Arial"/>
          <w:sz w:val="21"/>
          <w:szCs w:val="21"/>
          <w:color w:val="auto"/>
        </w:rPr>
        <w:t>Liens in the nature of the right of setoff in favor of counterparties to contractual agreements with the Loan Parties (i) in the ordinary course of business or (ii) otherwise permitted hereunder other than in connection with Indebtedness;</w:t>
      </w:r>
    </w:p>
    <w:p>
      <w:pPr>
        <w:spacing w:after="0" w:line="167" w:lineRule="exact"/>
        <w:rPr>
          <w:rFonts w:ascii="Arial" w:cs="Arial" w:eastAsia="Arial" w:hAnsi="Arial"/>
          <w:sz w:val="21"/>
          <w:szCs w:val="21"/>
          <w:color w:val="auto"/>
        </w:rPr>
      </w:pPr>
    </w:p>
    <w:p>
      <w:pPr>
        <w:ind w:left="1840" w:hanging="575"/>
        <w:spacing w:after="0"/>
        <w:tabs>
          <w:tab w:leader="none" w:pos="18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dispositions and other sales of assets permitted under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540" w:right="539" w:firstLine="725"/>
        <w:spacing w:after="0" w:line="263" w:lineRule="auto"/>
        <w:tabs>
          <w:tab w:leader="none" w:pos="183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to the extent constituting a Lien, Liens with respect to repurchase obligations related to investments;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04" w:name="page205"/>
    <w:bookmarkEnd w:id="204"/>
    <w:p>
      <w:pPr>
        <w:jc w:val="both"/>
        <w:ind w:left="540" w:right="539" w:firstLine="725"/>
        <w:spacing w:after="0" w:line="250" w:lineRule="auto"/>
        <w:tabs>
          <w:tab w:leader="none" w:pos="183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7" w:lineRule="exact"/>
        <w:rPr>
          <w:rFonts w:ascii="Arial" w:cs="Arial" w:eastAsia="Arial" w:hAnsi="Arial"/>
          <w:sz w:val="22"/>
          <w:szCs w:val="22"/>
          <w:color w:val="auto"/>
        </w:rPr>
      </w:pPr>
    </w:p>
    <w:p>
      <w:pPr>
        <w:jc w:val="both"/>
        <w:ind w:left="540" w:right="539" w:firstLine="725"/>
        <w:spacing w:after="0" w:line="297" w:lineRule="auto"/>
        <w:tabs>
          <w:tab w:leader="none" w:pos="183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46" w:lineRule="exact"/>
        <w:rPr>
          <w:rFonts w:ascii="Arial" w:cs="Arial" w:eastAsia="Arial" w:hAnsi="Arial"/>
          <w:sz w:val="19"/>
          <w:szCs w:val="19"/>
          <w:color w:val="auto"/>
        </w:rPr>
      </w:pPr>
    </w:p>
    <w:p>
      <w:pPr>
        <w:jc w:val="both"/>
        <w:ind w:left="540" w:right="539" w:firstLine="725"/>
        <w:spacing w:after="0" w:line="265" w:lineRule="auto"/>
        <w:tabs>
          <w:tab w:leader="none" w:pos="183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Liens of sellers of goods to any Loan Party and any of their respective Subsidiaries arising under Article II of the UCC or similar provisions of applicable law in the ordinary course of business, covering only the goods sold and securing only the unpaid purchase price for such goods and related expenses;</w:t>
      </w:r>
    </w:p>
    <w:p>
      <w:pPr>
        <w:spacing w:after="0" w:line="175" w:lineRule="exact"/>
        <w:rPr>
          <w:rFonts w:ascii="Arial" w:cs="Arial" w:eastAsia="Arial" w:hAnsi="Arial"/>
          <w:sz w:val="21"/>
          <w:szCs w:val="21"/>
          <w:color w:val="auto"/>
        </w:rPr>
      </w:pPr>
    </w:p>
    <w:p>
      <w:pPr>
        <w:jc w:val="both"/>
        <w:ind w:left="540" w:right="539" w:firstLine="725"/>
        <w:spacing w:after="0" w:line="286" w:lineRule="auto"/>
        <w:tabs>
          <w:tab w:leader="none" w:pos="183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(iii) such Lien shall secure only those obligations which it secures on the date of such acquisition or the date such Person becomes a Subsidiary, as the case may be,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 thereof) and (iv) the aggregate principal amount of Indebtedness and other obligations secured by any Lien permitted by this clause (u) shall not exceed $100,000,000 at any time outstanding;</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540" w:right="539" w:firstLine="725"/>
        <w:spacing w:after="0" w:line="263" w:lineRule="auto"/>
        <w:tabs>
          <w:tab w:leader="none" w:pos="183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Liens not securing Indebtedness that are created or deemed to exist in favor of any purchaser or transferee of assets, accounts, or other rights to payment in connection with any Disposition permitted under </w:t>
      </w:r>
      <w:r>
        <w:rPr>
          <w:rFonts w:ascii="Arial" w:cs="Arial" w:eastAsia="Arial" w:hAnsi="Arial"/>
          <w:sz w:val="21"/>
          <w:szCs w:val="21"/>
          <w:u w:val="single" w:color="auto"/>
          <w:color w:val="auto"/>
        </w:rPr>
        <w:t>Section 7.04</w:t>
      </w:r>
      <w:r>
        <w:rPr>
          <w:rFonts w:ascii="Arial" w:cs="Arial" w:eastAsia="Arial" w:hAnsi="Arial"/>
          <w:sz w:val="21"/>
          <w:szCs w:val="21"/>
          <w:color w:val="auto"/>
        </w:rPr>
        <w:t>, including UCC financing statements (or equivalent filings or registrations in foreign jurisdictions) that evidence or perfect the interests of such purchasers or transferees; and</w:t>
      </w:r>
    </w:p>
    <w:p>
      <w:pPr>
        <w:spacing w:after="0" w:line="175" w:lineRule="exact"/>
        <w:rPr>
          <w:rFonts w:ascii="Arial" w:cs="Arial" w:eastAsia="Arial" w:hAnsi="Arial"/>
          <w:sz w:val="21"/>
          <w:szCs w:val="21"/>
          <w:color w:val="auto"/>
        </w:rPr>
      </w:pPr>
    </w:p>
    <w:p>
      <w:pPr>
        <w:jc w:val="both"/>
        <w:ind w:left="540" w:right="539" w:firstLine="725"/>
        <w:spacing w:after="0" w:line="294" w:lineRule="auto"/>
        <w:tabs>
          <w:tab w:leader="none" w:pos="183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other Liens securing other Indebtedness (and obligations relating thereto not constituting Indebtedness) of the Borrower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any such Lien or Indebtedness is created, incurred or assumed, the aggregate outstanding principal amount of Indebtedness secured pursuant to this clause (w), when added to, without duplication, the aggregate outstanding principal amount of Indebtedness permitted pursuant to </w:t>
      </w:r>
      <w:r>
        <w:rPr>
          <w:rFonts w:ascii="Arial" w:cs="Arial" w:eastAsia="Arial" w:hAnsi="Arial"/>
          <w:sz w:val="19"/>
          <w:szCs w:val="19"/>
          <w:u w:val="single" w:color="auto"/>
          <w:color w:val="auto"/>
        </w:rPr>
        <w:t>Section 7.02(f)</w:t>
      </w:r>
      <w:r>
        <w:rPr>
          <w:rFonts w:ascii="Arial" w:cs="Arial" w:eastAsia="Arial" w:hAnsi="Arial"/>
          <w:sz w:val="19"/>
          <w:szCs w:val="19"/>
          <w:color w:val="auto"/>
        </w:rPr>
        <w:t>, does not exceed $100,000,000 at any time outstanding.</w:t>
      </w:r>
    </w:p>
    <w:p>
      <w:pPr>
        <w:spacing w:after="0" w:line="149"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Subsidiary Indebtedness</w:t>
      </w:r>
      <w:r>
        <w:rPr>
          <w:rFonts w:ascii="Arial" w:cs="Arial" w:eastAsia="Arial" w:hAnsi="Arial"/>
          <w:sz w:val="22"/>
          <w:szCs w:val="22"/>
          <w:color w:val="auto"/>
        </w:rPr>
        <w:t>. The Borrower will not permit any Subsidiary (other than the Borrower or any Subsidiary Guarantor) to create, incur, assume or permit to exist any Indebtedness, other than: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05" w:name="page206"/>
    <w:bookmarkEnd w:id="205"/>
    <w:p>
      <w:pPr>
        <w:jc w:val="both"/>
        <w:ind w:left="540" w:right="539" w:firstLine="725"/>
        <w:spacing w:after="0" w:line="261" w:lineRule="auto"/>
        <w:tabs>
          <w:tab w:leader="none" w:pos="183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 xml:space="preserve">Indebtedness outstanding on the Effective Date and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color w:val="auto"/>
        </w:rPr>
        <w:t>.</w:t>
      </w:r>
      <w:r>
        <w:rPr>
          <w:rFonts w:ascii="Arial" w:cs="Arial" w:eastAsia="Arial" w:hAnsi="Arial"/>
          <w:sz w:val="21"/>
          <w:szCs w:val="21"/>
          <w:u w:val="single" w:color="auto"/>
          <w:color w:val="auto"/>
        </w:rPr>
        <w:t>02</w:t>
      </w:r>
      <w:r>
        <w:rPr>
          <w:rFonts w:ascii="Arial" w:cs="Arial" w:eastAsia="Arial" w:hAnsi="Arial"/>
          <w:sz w:val="21"/>
          <w:szCs w:val="21"/>
          <w:color w:val="auto"/>
        </w:rPr>
        <w:t xml:space="preserve"> and any renewals, extensions or refinancings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Indebtedness is not increased except by an amount equal to a reasonable premium or other reasonable amount paid, and fees and expenses reasonably incurred, in connection with any renewal, extension or refinancing thereof and by an amount equal to any existing commitments unutilized thereunder;</w:t>
      </w:r>
    </w:p>
    <w:p>
      <w:pPr>
        <w:spacing w:after="0" w:line="179" w:lineRule="exact"/>
        <w:rPr>
          <w:rFonts w:ascii="Arial" w:cs="Arial" w:eastAsia="Arial" w:hAnsi="Arial"/>
          <w:sz w:val="21"/>
          <w:szCs w:val="21"/>
          <w:color w:val="auto"/>
        </w:rPr>
      </w:pPr>
    </w:p>
    <w:p>
      <w:pPr>
        <w:jc w:val="both"/>
        <w:ind w:left="540" w:right="539" w:firstLine="725"/>
        <w:spacing w:after="0" w:line="290" w:lineRule="auto"/>
        <w:tabs>
          <w:tab w:leader="none" w:pos="183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obligations (contingent or otherwise) of any Subsidiary existing or arising 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55" w:lineRule="exact"/>
        <w:rPr>
          <w:rFonts w:ascii="Arial" w:cs="Arial" w:eastAsia="Arial" w:hAnsi="Arial"/>
          <w:sz w:val="19"/>
          <w:szCs w:val="19"/>
          <w:color w:val="auto"/>
        </w:rPr>
      </w:pPr>
    </w:p>
    <w:p>
      <w:pPr>
        <w:ind w:left="540" w:right="539" w:firstLine="725"/>
        <w:spacing w:after="0" w:line="263" w:lineRule="auto"/>
        <w:tabs>
          <w:tab w:leader="none" w:pos="183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Guarantees by any Subsidiary of Indebtedness otherwise permitted hereunder of any other Subsidiary or of the Borrower;</w:t>
      </w:r>
    </w:p>
    <w:p>
      <w:pPr>
        <w:spacing w:after="0" w:line="174" w:lineRule="exact"/>
        <w:rPr>
          <w:rFonts w:ascii="Arial" w:cs="Arial" w:eastAsia="Arial" w:hAnsi="Arial"/>
          <w:sz w:val="22"/>
          <w:szCs w:val="22"/>
          <w:color w:val="auto"/>
        </w:rPr>
      </w:pPr>
    </w:p>
    <w:p>
      <w:pPr>
        <w:jc w:val="both"/>
        <w:ind w:left="540" w:right="539" w:firstLine="725"/>
        <w:spacing w:after="0" w:line="288" w:lineRule="auto"/>
        <w:tabs>
          <w:tab w:leader="none" w:pos="183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Indebtedness of any Person that becomes a Subsidiary (or of any Person not previously a Subsidiary that is merged or consolidated with or into a Subsidiary in a transaction or series of related transactions permitted hereunder) after the Effective Date existing at the time such Person becomes a Subsidiary (or is so merged or consolidated), and any renewals, extensions or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is not created in contemplation of or in connection with such Person becoming a Subsidiary (or such merger or consolidation) and (ii) the amount of such Indebtedness is not increased, except by an amount equal to a reasonable premium or other reasonable amount paid, and fees and expenses reasonably incurred, in connection with any renewal, extension or refinancing of such Indebtedness;</w:t>
      </w:r>
    </w:p>
    <w:p>
      <w:pPr>
        <w:spacing w:after="0" w:line="159" w:lineRule="exact"/>
        <w:rPr>
          <w:rFonts w:ascii="Arial" w:cs="Arial" w:eastAsia="Arial" w:hAnsi="Arial"/>
          <w:sz w:val="19"/>
          <w:szCs w:val="19"/>
          <w:color w:val="auto"/>
        </w:rPr>
      </w:pPr>
    </w:p>
    <w:p>
      <w:pPr>
        <w:jc w:val="both"/>
        <w:ind w:left="540" w:right="539" w:firstLine="725"/>
        <w:spacing w:after="0" w:line="260" w:lineRule="auto"/>
        <w:tabs>
          <w:tab w:leader="none" w:pos="183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Indebtedness incurred to finance the acquisition, construction or improvement of any fixed or capital assets, including Capital Lease Obligations, or assumed in connection with the acquisition of any fixed or capital assets, and any extensions, renewals and refinancings thereof that do not increase the outstanding principal amount thereof except by an amount equal to a reasonable premium or other reasonable amount paid, and fees and expenses reasonably incurred, in connection with any renewal, extension or refinancing of such Indebtedness;</w:t>
      </w:r>
    </w:p>
    <w:p>
      <w:pPr>
        <w:spacing w:after="0" w:line="180" w:lineRule="exact"/>
        <w:rPr>
          <w:rFonts w:ascii="Arial" w:cs="Arial" w:eastAsia="Arial" w:hAnsi="Arial"/>
          <w:sz w:val="21"/>
          <w:szCs w:val="21"/>
          <w:color w:val="auto"/>
        </w:rPr>
      </w:pPr>
    </w:p>
    <w:p>
      <w:pPr>
        <w:jc w:val="both"/>
        <w:ind w:left="540" w:right="539" w:firstLine="725"/>
        <w:spacing w:after="0" w:line="297" w:lineRule="auto"/>
        <w:tabs>
          <w:tab w:leader="none" w:pos="183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other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such Indebtedness is created, incurred or assumed, the aggregate outstanding principal amount of Indebtedness permitted by this clause (f), when added to, without duplication, the aggregate outstanding principal amount of Indebtedness that is secured by Liens permitted by </w:t>
      </w:r>
      <w:r>
        <w:rPr>
          <w:rFonts w:ascii="Arial" w:cs="Arial" w:eastAsia="Arial" w:hAnsi="Arial"/>
          <w:sz w:val="19"/>
          <w:szCs w:val="19"/>
          <w:u w:val="single" w:color="auto"/>
          <w:color w:val="auto"/>
        </w:rPr>
        <w:t>Section 7.01(w)</w:t>
      </w:r>
      <w:r>
        <w:rPr>
          <w:rFonts w:ascii="Arial" w:cs="Arial" w:eastAsia="Arial" w:hAnsi="Arial"/>
          <w:sz w:val="19"/>
          <w:szCs w:val="19"/>
          <w:color w:val="auto"/>
        </w:rPr>
        <w:t>, does not exceed $100,000,000 at any time outstanding;</w:t>
      </w:r>
    </w:p>
    <w:p>
      <w:pPr>
        <w:spacing w:after="0" w:line="146" w:lineRule="exact"/>
        <w:rPr>
          <w:rFonts w:ascii="Arial" w:cs="Arial" w:eastAsia="Arial" w:hAnsi="Arial"/>
          <w:sz w:val="19"/>
          <w:szCs w:val="19"/>
          <w:color w:val="auto"/>
        </w:rPr>
      </w:pPr>
    </w:p>
    <w:p>
      <w:pPr>
        <w:jc w:val="both"/>
        <w:ind w:left="540" w:right="539" w:firstLine="725"/>
        <w:spacing w:after="0" w:line="253" w:lineRule="auto"/>
        <w:tabs>
          <w:tab w:leader="none" w:pos="183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intercompany loans owed by any Subsidiary to Borrower or to any other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shall not have been transferred or assigned to any Person other than Borrower or any Subsidiary;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06" w:name="page207"/>
    <w:bookmarkEnd w:id="206"/>
    <w:p>
      <w:pPr>
        <w:jc w:val="both"/>
        <w:ind w:left="540" w:right="539" w:firstLine="725"/>
        <w:spacing w:after="0" w:line="253" w:lineRule="auto"/>
        <w:tabs>
          <w:tab w:leader="none" w:pos="183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obligations arising in connection with the administration and operation of cash management services for the Borrower and any of its Subsidiaries, including cash pooling arrangements and overdraft facilities;</w:t>
      </w:r>
    </w:p>
    <w:p>
      <w:pPr>
        <w:spacing w:after="0" w:line="185" w:lineRule="exact"/>
        <w:rPr>
          <w:rFonts w:ascii="Arial" w:cs="Arial" w:eastAsia="Arial" w:hAnsi="Arial"/>
          <w:sz w:val="22"/>
          <w:szCs w:val="22"/>
          <w:color w:val="auto"/>
        </w:rPr>
      </w:pPr>
    </w:p>
    <w:p>
      <w:pPr>
        <w:jc w:val="both"/>
        <w:ind w:left="540" w:right="539" w:firstLine="725"/>
        <w:spacing w:after="0" w:line="271" w:lineRule="auto"/>
        <w:tabs>
          <w:tab w:leader="none" w:pos="183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direct or contingent obligations arising under letters of credit (including standby and commercial), bankers’ acceptances, bank guarantees, surety bonds and similar instruments; obtained or applied for in the ordinary course of business; and</w:t>
      </w:r>
    </w:p>
    <w:p>
      <w:pPr>
        <w:spacing w:after="0" w:line="167" w:lineRule="exact"/>
        <w:rPr>
          <w:rFonts w:ascii="Arial" w:cs="Arial" w:eastAsia="Arial" w:hAnsi="Arial"/>
          <w:sz w:val="21"/>
          <w:szCs w:val="21"/>
          <w:color w:val="auto"/>
        </w:rPr>
      </w:pPr>
    </w:p>
    <w:p>
      <w:pPr>
        <w:jc w:val="both"/>
        <w:ind w:left="540" w:right="539" w:firstLine="725"/>
        <w:spacing w:after="0" w:line="250" w:lineRule="auto"/>
        <w:tabs>
          <w:tab w:leader="none" w:pos="183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Indebtedness of a Person that becomes a Subsidiary after the date hereof pursuant to an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that such Indebtedness (i) was in existence prior to the date of such acquisition and (ii) was not incurred in connection with, or in contemplation of, such acquisition.</w:t>
      </w:r>
    </w:p>
    <w:p>
      <w:pPr>
        <w:spacing w:after="0" w:line="188" w:lineRule="exact"/>
        <w:rPr>
          <w:sz w:val="20"/>
          <w:szCs w:val="20"/>
          <w:color w:val="auto"/>
        </w:rPr>
      </w:pPr>
    </w:p>
    <w:p>
      <w:pPr>
        <w:jc w:val="both"/>
        <w:ind w:left="540" w:right="559" w:firstLine="648"/>
        <w:spacing w:after="0" w:line="284"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(a) None of the Borrower or the other Loan Parties will (i) dissolve or be liquidated or (ii) merge or consolidate with or into another Person, unless, in the case of this clause (ii), (A) at the time thereof and immediately after giving effect thereto no Event of Default shall have occurred and be continuing, (B) if the Borrower is party to such consolidation or merger, the Borrower is the survivor of such consolidation or merger and (C) if any other Loan Party is party to such consolidation or merger and is not the survivor of any such consolidation or merger,</w:t>
      </w:r>
    </w:p>
    <w:p>
      <w:pPr>
        <w:spacing w:after="0" w:line="4" w:lineRule="exact"/>
        <w:rPr>
          <w:sz w:val="20"/>
          <w:szCs w:val="20"/>
          <w:color w:val="auto"/>
        </w:rPr>
      </w:pPr>
    </w:p>
    <w:p>
      <w:pPr>
        <w:jc w:val="both"/>
        <w:ind w:left="540" w:right="559"/>
        <w:spacing w:after="0" w:line="281" w:lineRule="auto"/>
        <w:tabs>
          <w:tab w:leader="none" w:pos="95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surviving Person of such consolidation or merger shall expressly assume all the rights and obligations of such other Loan Party under this Agreement and the other Loan Documents pursuant to documentation reasonably satisfactory to the Administrative Agent and shall thereafter be deemed to be such other Loan Party for all purposes hereunder and</w:t>
      </w:r>
    </w:p>
    <w:p>
      <w:pPr>
        <w:spacing w:after="0" w:line="2" w:lineRule="exact"/>
        <w:rPr>
          <w:rFonts w:ascii="Arial" w:cs="Arial" w:eastAsia="Arial" w:hAnsi="Arial"/>
          <w:sz w:val="19"/>
          <w:szCs w:val="19"/>
          <w:color w:val="auto"/>
        </w:rPr>
      </w:pPr>
    </w:p>
    <w:p>
      <w:pPr>
        <w:ind w:left="540" w:right="559"/>
        <w:spacing w:after="0" w:line="323" w:lineRule="auto"/>
        <w:tabs>
          <w:tab w:leader="none" w:pos="91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such consolidation or merger will not result in a change in the jurisdiction of organization of such other Loan Party (other than to any state within the United States).</w:t>
      </w:r>
    </w:p>
    <w:p>
      <w:pPr>
        <w:spacing w:after="0" w:line="122" w:lineRule="exact"/>
        <w:rPr>
          <w:rFonts w:ascii="Arial" w:cs="Arial" w:eastAsia="Arial" w:hAnsi="Arial"/>
          <w:sz w:val="19"/>
          <w:szCs w:val="19"/>
          <w:color w:val="auto"/>
        </w:rPr>
      </w:pPr>
    </w:p>
    <w:p>
      <w:pPr>
        <w:jc w:val="both"/>
        <w:ind w:left="540" w:right="539" w:firstLine="725"/>
        <w:spacing w:after="0" w:line="297" w:lineRule="auto"/>
        <w:tabs>
          <w:tab w:leader="none" w:pos="183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 xml:space="preserve">None of the Borrower and the other Loan Parties or any other Subsidiary will Dispose of (whether in one transaction or in a series of transactions) all or substantially all of the assets (whether now owned or hereafter acquired) of the Borrower and the Subsidiaries,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assets of and Equity Interests in any Subsidiary may be disposed of to any other Wholly-Owned Subsidiary or to Borrower.</w:t>
      </w:r>
    </w:p>
    <w:p>
      <w:pPr>
        <w:spacing w:after="0" w:line="147"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u w:val="single" w:color="auto"/>
          <w:color w:val="auto"/>
        </w:rPr>
        <w:t>Dispositions</w:t>
      </w:r>
      <w:r>
        <w:rPr>
          <w:rFonts w:ascii="Arial" w:cs="Arial" w:eastAsia="Arial" w:hAnsi="Arial"/>
          <w:sz w:val="19"/>
          <w:szCs w:val="19"/>
          <w:color w:val="auto"/>
        </w:rPr>
        <w:t>. The Borrower will not, and will not permit any</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Subsidiary to, make any Disposition, except:</w:t>
      </w:r>
    </w:p>
    <w:p>
      <w:pPr>
        <w:spacing w:after="0" w:line="202" w:lineRule="exact"/>
        <w:rPr>
          <w:sz w:val="20"/>
          <w:szCs w:val="20"/>
          <w:color w:val="auto"/>
        </w:rPr>
      </w:pPr>
    </w:p>
    <w:p>
      <w:pPr>
        <w:jc w:val="both"/>
        <w:ind w:left="540" w:right="499" w:firstLine="1296"/>
        <w:spacing w:after="0" w:line="302" w:lineRule="auto"/>
        <w:tabs>
          <w:tab w:leader="none" w:pos="2484"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Dispositions of obsolete, worn out or surplus property (other than IP Rights) that is not material to the business of the Borrower or its Subsidiaries, property no longer used or useful or economically practicable to maintain in the conduct of the business of the Borrower and its Subsidiaries in the ordinary course of business;</w:t>
      </w:r>
    </w:p>
    <w:p>
      <w:pPr>
        <w:spacing w:after="0" w:line="142" w:lineRule="exact"/>
        <w:rPr>
          <w:rFonts w:ascii="Arial" w:cs="Arial" w:eastAsia="Arial" w:hAnsi="Arial"/>
          <w:sz w:val="19"/>
          <w:szCs w:val="19"/>
          <w:color w:val="010000"/>
        </w:rPr>
      </w:pPr>
    </w:p>
    <w:p>
      <w:pPr>
        <w:ind w:left="2480" w:hanging="644"/>
        <w:spacing w:after="0"/>
        <w:tabs>
          <w:tab w:leader="none" w:pos="2480" w:val="left"/>
        </w:tabs>
        <w:numPr>
          <w:ilvl w:val="0"/>
          <w:numId w:val="173"/>
        </w:numPr>
        <w:rPr>
          <w:rFonts w:ascii="Arial" w:cs="Arial" w:eastAsia="Arial" w:hAnsi="Arial"/>
          <w:sz w:val="19"/>
          <w:szCs w:val="19"/>
          <w:color w:val="010000"/>
        </w:rPr>
      </w:pPr>
      <w:r>
        <w:rPr>
          <w:rFonts w:ascii="Arial" w:cs="Arial" w:eastAsia="Arial" w:hAnsi="Arial"/>
          <w:sz w:val="19"/>
          <w:szCs w:val="19"/>
          <w:color w:val="auto"/>
        </w:rPr>
        <w:t>Dispositions of cash and inventory in the ordinary course of business;</w:t>
      </w:r>
    </w:p>
    <w:p>
      <w:pPr>
        <w:spacing w:after="0" w:line="254" w:lineRule="exact"/>
        <w:rPr>
          <w:rFonts w:ascii="Arial" w:cs="Arial" w:eastAsia="Arial" w:hAnsi="Arial"/>
          <w:sz w:val="19"/>
          <w:szCs w:val="19"/>
          <w:color w:val="010000"/>
        </w:rPr>
      </w:pPr>
    </w:p>
    <w:p>
      <w:pPr>
        <w:jc w:val="both"/>
        <w:ind w:left="540" w:right="499" w:firstLine="1296"/>
        <w:spacing w:after="0" w:line="253" w:lineRule="auto"/>
        <w:tabs>
          <w:tab w:leader="none" w:pos="2484" w:val="left"/>
        </w:tabs>
        <w:numPr>
          <w:ilvl w:val="0"/>
          <w:numId w:val="173"/>
        </w:numPr>
        <w:rPr>
          <w:rFonts w:ascii="Arial" w:cs="Arial" w:eastAsia="Arial" w:hAnsi="Arial"/>
          <w:sz w:val="22"/>
          <w:szCs w:val="22"/>
          <w:color w:val="010000"/>
        </w:rPr>
      </w:pPr>
      <w:r>
        <w:rPr>
          <w:rFonts w:ascii="Arial" w:cs="Arial" w:eastAsia="Arial" w:hAnsi="Arial"/>
          <w:sz w:val="22"/>
          <w:szCs w:val="22"/>
          <w:color w:val="auto"/>
        </w:rPr>
        <w:t>Dispositions of (i) long-term investments and (ii) other investments acquired pursuant to the Borrower’s investment policy approved by its board of directors (or committee thereof);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07" w:name="page208"/>
    <w:bookmarkEnd w:id="207"/>
    <w:p>
      <w:pPr>
        <w:jc w:val="both"/>
        <w:ind w:left="540" w:right="499" w:firstLine="1296"/>
        <w:spacing w:after="0" w:line="250" w:lineRule="auto"/>
        <w:tabs>
          <w:tab w:leader="none" w:pos="248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87" w:lineRule="exact"/>
        <w:rPr>
          <w:rFonts w:ascii="Arial" w:cs="Arial" w:eastAsia="Arial" w:hAnsi="Arial"/>
          <w:sz w:val="22"/>
          <w:szCs w:val="22"/>
          <w:color w:val="010000"/>
        </w:rPr>
      </w:pPr>
    </w:p>
    <w:p>
      <w:pPr>
        <w:ind w:left="540" w:right="519" w:firstLine="1296"/>
        <w:spacing w:after="0" w:line="263" w:lineRule="auto"/>
        <w:tabs>
          <w:tab w:leader="none" w:pos="248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Dispositions of property by the Borrower or any Subsidiary Guarantor to the Borrower or any other Subsidiary Guarantor;</w:t>
      </w:r>
    </w:p>
    <w:p>
      <w:pPr>
        <w:spacing w:after="0" w:line="174" w:lineRule="exact"/>
        <w:rPr>
          <w:rFonts w:ascii="Arial" w:cs="Arial" w:eastAsia="Arial" w:hAnsi="Arial"/>
          <w:sz w:val="22"/>
          <w:szCs w:val="22"/>
          <w:color w:val="010000"/>
        </w:rPr>
      </w:pPr>
    </w:p>
    <w:p>
      <w:pPr>
        <w:jc w:val="both"/>
        <w:ind w:left="540" w:right="499" w:firstLine="1296"/>
        <w:spacing w:after="0" w:line="248" w:lineRule="auto"/>
        <w:tabs>
          <w:tab w:leader="none" w:pos="248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leases, licenses, subleases or sublicenses (including the provision of open source software under an open source license) granted in the ordinary course of business or as approved by the board of directors of the Borrower and, in each case, on ordinary commercial terms that do not interfere in any material respect with the business of the Borrower and its Subsidiaries;</w:t>
      </w:r>
    </w:p>
    <w:p>
      <w:pPr>
        <w:spacing w:after="0" w:line="191" w:lineRule="exact"/>
        <w:rPr>
          <w:rFonts w:ascii="Arial" w:cs="Arial" w:eastAsia="Arial" w:hAnsi="Arial"/>
          <w:sz w:val="22"/>
          <w:szCs w:val="22"/>
          <w:color w:val="010000"/>
        </w:rPr>
      </w:pPr>
    </w:p>
    <w:p>
      <w:pPr>
        <w:jc w:val="both"/>
        <w:ind w:left="540" w:right="499" w:firstLine="1296"/>
        <w:spacing w:after="0" w:line="253" w:lineRule="auto"/>
        <w:tabs>
          <w:tab w:leader="none" w:pos="248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Dispositions of intellectual property rights (other than as permitted by clause (e) above) that are no longer used or useful in the business of the Borrower and its Subsidiaries;</w:t>
      </w:r>
    </w:p>
    <w:p>
      <w:pPr>
        <w:spacing w:after="0" w:line="185" w:lineRule="exact"/>
        <w:rPr>
          <w:rFonts w:ascii="Arial" w:cs="Arial" w:eastAsia="Arial" w:hAnsi="Arial"/>
          <w:sz w:val="22"/>
          <w:szCs w:val="22"/>
          <w:color w:val="010000"/>
        </w:rPr>
      </w:pPr>
    </w:p>
    <w:p>
      <w:pPr>
        <w:ind w:left="540" w:right="519" w:firstLine="1296"/>
        <w:spacing w:after="0" w:line="287" w:lineRule="auto"/>
        <w:tabs>
          <w:tab w:leader="none" w:pos="2484" w:val="left"/>
        </w:tabs>
        <w:numPr>
          <w:ilvl w:val="0"/>
          <w:numId w:val="174"/>
        </w:numPr>
        <w:rPr>
          <w:rFonts w:ascii="Arial" w:cs="Arial" w:eastAsia="Arial" w:hAnsi="Arial"/>
          <w:sz w:val="21"/>
          <w:szCs w:val="21"/>
          <w:color w:val="010000"/>
        </w:rPr>
      </w:pPr>
      <w:r>
        <w:rPr>
          <w:rFonts w:ascii="Arial" w:cs="Arial" w:eastAsia="Arial" w:hAnsi="Arial"/>
          <w:sz w:val="21"/>
          <w:szCs w:val="21"/>
          <w:color w:val="auto"/>
        </w:rPr>
        <w:t>the discount, write-off or Disposition of accounts receivable overdue by more than ninety days, in each case in the ordinary course of business;</w:t>
      </w:r>
    </w:p>
    <w:p>
      <w:pPr>
        <w:spacing w:after="0" w:line="151" w:lineRule="exact"/>
        <w:rPr>
          <w:rFonts w:ascii="Arial" w:cs="Arial" w:eastAsia="Arial" w:hAnsi="Arial"/>
          <w:sz w:val="21"/>
          <w:szCs w:val="21"/>
          <w:color w:val="010000"/>
        </w:rPr>
      </w:pPr>
    </w:p>
    <w:p>
      <w:pPr>
        <w:jc w:val="both"/>
        <w:ind w:left="540" w:right="499" w:firstLine="1296"/>
        <w:spacing w:after="0" w:line="297" w:lineRule="auto"/>
        <w:tabs>
          <w:tab w:leader="none" w:pos="2484"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 xml:space="preserve">Dispositions of non-core assets acquired in an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Dispositions shall be consummated within 360 days of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the consideration received for such assets shall be in an amount at least equal to the fair market value thereof (determined in good faith by the board of directors of the Borrower) and (ii) no less than 75% thereof shall be paid in cash;</w:t>
      </w:r>
    </w:p>
    <w:p>
      <w:pPr>
        <w:spacing w:after="0" w:line="146" w:lineRule="exact"/>
        <w:rPr>
          <w:rFonts w:ascii="Arial" w:cs="Arial" w:eastAsia="Arial" w:hAnsi="Arial"/>
          <w:sz w:val="19"/>
          <w:szCs w:val="19"/>
          <w:color w:val="010000"/>
        </w:rPr>
      </w:pPr>
    </w:p>
    <w:p>
      <w:pPr>
        <w:ind w:left="2480" w:hanging="644"/>
        <w:spacing w:after="0"/>
        <w:tabs>
          <w:tab w:leader="none" w:pos="2480"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 xml:space="preserve">Restricted Payments permitted by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540" w:right="499" w:firstLine="1296"/>
        <w:spacing w:after="0" w:line="253" w:lineRule="auto"/>
        <w:tabs>
          <w:tab w:leader="none" w:pos="248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Dispositions of property to the Borrower or any of its Subsidiaries; provided that if the transferor of such property is a Guarantor, the transferee thereof must either be the Borrower or a Guarantor;</w:t>
      </w:r>
    </w:p>
    <w:p>
      <w:pPr>
        <w:spacing w:after="0" w:line="185" w:lineRule="exact"/>
        <w:rPr>
          <w:rFonts w:ascii="Arial" w:cs="Arial" w:eastAsia="Arial" w:hAnsi="Arial"/>
          <w:sz w:val="22"/>
          <w:szCs w:val="22"/>
          <w:color w:val="010000"/>
        </w:rPr>
      </w:pPr>
    </w:p>
    <w:p>
      <w:pPr>
        <w:jc w:val="both"/>
        <w:ind w:left="540" w:right="499" w:firstLine="1296"/>
        <w:spacing w:after="0" w:line="253" w:lineRule="auto"/>
        <w:tabs>
          <w:tab w:leader="none" w:pos="248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Dispositions of investments in joint ventures, to the extent required by, or made pursuant to buy/sell arrangements between the joint venture parties set forth in joint venture arrangements and similar binding arrangements;</w:t>
      </w:r>
    </w:p>
    <w:p>
      <w:pPr>
        <w:spacing w:after="0" w:line="185" w:lineRule="exact"/>
        <w:rPr>
          <w:rFonts w:ascii="Arial" w:cs="Arial" w:eastAsia="Arial" w:hAnsi="Arial"/>
          <w:sz w:val="22"/>
          <w:szCs w:val="22"/>
          <w:color w:val="010000"/>
        </w:rPr>
      </w:pPr>
    </w:p>
    <w:p>
      <w:pPr>
        <w:jc w:val="both"/>
        <w:ind w:left="540" w:right="499" w:firstLine="1296"/>
        <w:spacing w:after="0" w:line="287" w:lineRule="auto"/>
        <w:tabs>
          <w:tab w:leader="none" w:pos="2484"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 xml:space="preserve">Dispositions in any transaction or series of transactions not constituting Indebtedness pursuant to which the Borrower or any Subsidiary conveys, assigns, or otherwise transfers for fair market value (as determined by the Borrower in good faith) its right to receive royalty payments and related rights thereto from any Person that is not an Affiliate of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10% in the aggregate for all such Dispositions made pursuant to (i) this clause (m)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clause (n) of this Section, (determined on the date of consummation of any such Disposition by reference to the amount of consolidated revenues of the Borrower and its Subsidiaries for the most recent Reference Period for which financial statements shall have been delivered</w:t>
      </w:r>
    </w:p>
    <w:p>
      <w:pPr>
        <w:sectPr>
          <w:pgSz w:w="11900" w:h="16838" w:orient="portrait"/>
          <w:cols w:equalWidth="0" w:num="1">
            <w:col w:w="9019"/>
          </w:cols>
          <w:pgMar w:left="1440" w:top="928"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08" w:name="page209"/>
    <w:bookmarkEnd w:id="208"/>
    <w:p>
      <w:pPr>
        <w:jc w:val="both"/>
        <w:ind w:left="540" w:right="499"/>
        <w:spacing w:after="0" w:line="253" w:lineRule="auto"/>
        <w:rPr>
          <w:sz w:val="20"/>
          <w:szCs w:val="20"/>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6.01(b)</w:t>
      </w:r>
      <w:r>
        <w:rPr>
          <w:rFonts w:ascii="Arial" w:cs="Arial" w:eastAsia="Arial" w:hAnsi="Arial"/>
          <w:sz w:val="22"/>
          <w:szCs w:val="22"/>
          <w:color w:val="auto"/>
        </w:rPr>
        <w:t xml:space="preserve"> (or, prior to the first such delivery, as of the end of the most recent fiscal quarter covered by the financial statements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5.05</w:t>
      </w:r>
      <w:r>
        <w:rPr>
          <w:rFonts w:ascii="Arial" w:cs="Arial" w:eastAsia="Arial" w:hAnsi="Arial"/>
          <w:sz w:val="22"/>
          <w:szCs w:val="22"/>
          <w:color w:val="auto"/>
        </w:rPr>
        <w:t>)); and</w:t>
      </w:r>
    </w:p>
    <w:p>
      <w:pPr>
        <w:spacing w:after="0" w:line="185" w:lineRule="exact"/>
        <w:rPr>
          <w:sz w:val="20"/>
          <w:szCs w:val="20"/>
          <w:color w:val="auto"/>
        </w:rPr>
      </w:pPr>
    </w:p>
    <w:p>
      <w:pPr>
        <w:jc w:val="both"/>
        <w:ind w:left="540" w:right="499" w:firstLine="1296"/>
        <w:spacing w:after="0" w:line="284" w:lineRule="auto"/>
        <w:tabs>
          <w:tab w:leader="none" w:pos="2484"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 xml:space="preserve">Dispositions by the Borrower and its Subsidiaries not otherwise permitted under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3% in the aggregate for all such Dispositions made pursuant to this clause (n) (determined on the date of consummation of any such Disposition by reference to the amount of consolidated revenues of the Borrower and its Subsidiaries for the most recent Reference Period for which financial statements shall have been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prior to the first such delivery, as of the end of the most recent fiscal quarter covered by the financial statements referred to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10% in the aggregate for all such Dispositions made pursuant to (i) this clause (n)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clause (m) of this Section (determined on the date of consummation of any such Disposition by reference to the amount of consolidated revenues of the Borrower and its Subsidiaries for the most recent Reference Period for which financial statements shall have been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prior to the first such delivery, as of the end of the most recent fiscal quarter covered by the financial statements referred to in </w:t>
      </w:r>
      <w:r>
        <w:rPr>
          <w:rFonts w:ascii="Arial" w:cs="Arial" w:eastAsia="Arial" w:hAnsi="Arial"/>
          <w:sz w:val="19"/>
          <w:szCs w:val="19"/>
          <w:u w:val="single" w:color="auto"/>
          <w:color w:val="auto"/>
        </w:rPr>
        <w:t>Section 5.05</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will not, and will not permit any of its Subsidiaries to, declare or make, or agree to pay or make, directly or indirectly, any Restricted Payment, except:</w:t>
      </w:r>
    </w:p>
    <w:p>
      <w:pPr>
        <w:spacing w:after="0" w:line="185" w:lineRule="exact"/>
        <w:rPr>
          <w:sz w:val="20"/>
          <w:szCs w:val="20"/>
          <w:color w:val="auto"/>
        </w:rPr>
      </w:pPr>
    </w:p>
    <w:p>
      <w:pPr>
        <w:jc w:val="both"/>
        <w:ind w:left="540" w:right="499" w:firstLine="1296"/>
        <w:spacing w:after="0" w:line="253" w:lineRule="auto"/>
        <w:tabs>
          <w:tab w:leader="none" w:pos="2484"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Borrower may declare and pay dividends or make other Restricted Payments with respect to its Equity Interests payable solely in additional Equity Interests;</w:t>
      </w:r>
    </w:p>
    <w:p>
      <w:pPr>
        <w:spacing w:after="0" w:line="185" w:lineRule="exact"/>
        <w:rPr>
          <w:rFonts w:ascii="Arial" w:cs="Arial" w:eastAsia="Arial" w:hAnsi="Arial"/>
          <w:sz w:val="22"/>
          <w:szCs w:val="22"/>
          <w:color w:val="auto"/>
        </w:rPr>
      </w:pPr>
    </w:p>
    <w:p>
      <w:pPr>
        <w:jc w:val="both"/>
        <w:ind w:left="540" w:right="499" w:firstLine="1296"/>
        <w:spacing w:after="0" w:line="291" w:lineRule="auto"/>
        <w:tabs>
          <w:tab w:leader="none" w:pos="2484" w:val="left"/>
        </w:tabs>
        <w:numPr>
          <w:ilvl w:val="1"/>
          <w:numId w:val="176"/>
        </w:numPr>
        <w:rPr>
          <w:rFonts w:ascii="Arial" w:cs="Arial" w:eastAsia="Arial" w:hAnsi="Arial"/>
          <w:sz w:val="19"/>
          <w:szCs w:val="19"/>
          <w:color w:val="auto"/>
        </w:rPr>
      </w:pPr>
      <w:r>
        <w:rPr>
          <w:rFonts w:ascii="Arial" w:cs="Arial" w:eastAsia="Arial" w:hAnsi="Arial"/>
          <w:sz w:val="19"/>
          <w:szCs w:val="19"/>
          <w:color w:val="auto"/>
        </w:rPr>
        <w:t>Subsidiaries may (i) make dividends or other distributions to their respective equityholders with respect to their Equity Interests (which distributions shall be</w:t>
      </w:r>
    </w:p>
    <w:p>
      <w:pPr>
        <w:spacing w:after="0" w:line="1" w:lineRule="exact"/>
        <w:rPr>
          <w:rFonts w:ascii="Arial" w:cs="Arial" w:eastAsia="Arial" w:hAnsi="Arial"/>
          <w:sz w:val="19"/>
          <w:szCs w:val="19"/>
          <w:color w:val="auto"/>
        </w:rPr>
      </w:pPr>
    </w:p>
    <w:p>
      <w:pPr>
        <w:jc w:val="both"/>
        <w:ind w:left="540" w:right="499"/>
        <w:spacing w:after="0" w:line="257" w:lineRule="auto"/>
        <w:tabs>
          <w:tab w:leader="none" w:pos="846" w:val="left"/>
        </w:tabs>
        <w:numPr>
          <w:ilvl w:val="0"/>
          <w:numId w:val="177"/>
        </w:numPr>
        <w:rPr>
          <w:rFonts w:ascii="Arial" w:cs="Arial" w:eastAsia="Arial" w:hAnsi="Arial"/>
          <w:sz w:val="21"/>
          <w:szCs w:val="21"/>
          <w:color w:val="auto"/>
        </w:rPr>
      </w:pPr>
      <w:r>
        <w:rPr>
          <w:rFonts w:ascii="Arial" w:cs="Arial" w:eastAsia="Arial" w:hAnsi="Arial"/>
          <w:sz w:val="21"/>
          <w:szCs w:val="21"/>
          <w:color w:val="auto"/>
        </w:rPr>
        <w:t>made on at least a ratable basis to any such equityholders that are Loan Parties and (y) in the case of a Subsidiary that is not a wholly-owned Subsidiary, made on at least a ratable basis to any such equityholders that are the Borrower or a Subsidiary), (ii) make other Restricted Payments to the Borrower or any Subsidiary Guarantor (either directly or indirectly through one or more Subsidiaries that are not Loan Parties) and (iii) make any Restricted Payments that the Borrower would have otherwise been permitted to make pursuant to this Section 7.05;</w:t>
      </w:r>
    </w:p>
    <w:p>
      <w:pPr>
        <w:spacing w:after="0" w:line="183" w:lineRule="exact"/>
        <w:rPr>
          <w:rFonts w:ascii="Arial" w:cs="Arial" w:eastAsia="Arial" w:hAnsi="Arial"/>
          <w:sz w:val="21"/>
          <w:szCs w:val="21"/>
          <w:color w:val="auto"/>
        </w:rPr>
      </w:pPr>
    </w:p>
    <w:p>
      <w:pPr>
        <w:jc w:val="both"/>
        <w:ind w:left="540" w:right="499" w:firstLine="1296"/>
        <w:spacing w:after="0" w:line="302" w:lineRule="auto"/>
        <w:tabs>
          <w:tab w:leader="none" w:pos="248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the Borrower may make Restricted Payments (i) for the repurchase, retirement or other acquisition or retirement for value of Equity Interests of the Borrower from any future, present or former employee, officer, director, manager or consultant of the Borrower or any Subsidiary upon the death, disability, retirement or termination of</w:t>
      </w:r>
    </w:p>
    <w:p>
      <w:pPr>
        <w:sectPr>
          <w:pgSz w:w="11900" w:h="16838" w:orient="portrait"/>
          <w:cols w:equalWidth="0" w:num="1">
            <w:col w:w="9019"/>
          </w:cols>
          <w:pgMar w:left="1440" w:top="928" w:right="1440"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09" w:name="page210"/>
    <w:bookmarkEnd w:id="209"/>
    <w:p>
      <w:pPr>
        <w:jc w:val="both"/>
        <w:ind w:left="540" w:right="499"/>
        <w:spacing w:after="0" w:line="247" w:lineRule="auto"/>
        <w:rPr>
          <w:sz w:val="20"/>
          <w:szCs w:val="20"/>
          <w:color w:val="auto"/>
        </w:rPr>
      </w:pPr>
      <w:r>
        <w:rPr>
          <w:rFonts w:ascii="Arial" w:cs="Arial" w:eastAsia="Arial" w:hAnsi="Arial"/>
          <w:sz w:val="22"/>
          <w:szCs w:val="22"/>
          <w:color w:val="auto"/>
        </w:rPr>
        <w:t>employment of any such Person or (ii) pursuant to and in accordance with any agreement (including any employment agreement), stock option or stock purchase plans, incentive plans or other benefit plans, in each case for future, present or former directors, officers, managers, employees or consultants of the Borrower and its Subsidiaries (including, without limitation, in respect of tax withholding or other similar tax obligation related to the foregoing);</w:t>
      </w:r>
    </w:p>
    <w:p>
      <w:pPr>
        <w:spacing w:after="0" w:line="193" w:lineRule="exact"/>
        <w:rPr>
          <w:sz w:val="20"/>
          <w:szCs w:val="20"/>
          <w:color w:val="auto"/>
        </w:rPr>
      </w:pPr>
    </w:p>
    <w:p>
      <w:pPr>
        <w:jc w:val="both"/>
        <w:ind w:left="540" w:right="499" w:firstLine="1296"/>
        <w:spacing w:after="0" w:line="250" w:lineRule="auto"/>
        <w:tabs>
          <w:tab w:leader="none" w:pos="248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Borrower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spacing w:after="0" w:line="187" w:lineRule="exact"/>
        <w:rPr>
          <w:rFonts w:ascii="Arial" w:cs="Arial" w:eastAsia="Arial" w:hAnsi="Arial"/>
          <w:sz w:val="22"/>
          <w:szCs w:val="22"/>
          <w:color w:val="auto"/>
        </w:rPr>
      </w:pPr>
    </w:p>
    <w:p>
      <w:pPr>
        <w:jc w:val="both"/>
        <w:ind w:left="540" w:right="499" w:firstLine="1296"/>
        <w:spacing w:after="0" w:line="253" w:lineRule="auto"/>
        <w:tabs>
          <w:tab w:leader="none" w:pos="248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Borrower and its Subsidiaries may make any other Restricted Payment so long as the aggregate amount of all such Restricted Payments during any fiscal year does not exceed $100,000,000;</w:t>
      </w:r>
    </w:p>
    <w:p>
      <w:pPr>
        <w:spacing w:after="0" w:line="185" w:lineRule="exact"/>
        <w:rPr>
          <w:rFonts w:ascii="Arial" w:cs="Arial" w:eastAsia="Arial" w:hAnsi="Arial"/>
          <w:sz w:val="22"/>
          <w:szCs w:val="22"/>
          <w:color w:val="auto"/>
        </w:rPr>
      </w:pPr>
    </w:p>
    <w:p>
      <w:pPr>
        <w:jc w:val="both"/>
        <w:ind w:left="540" w:right="499" w:firstLine="1296"/>
        <w:spacing w:after="0" w:line="259" w:lineRule="auto"/>
        <w:tabs>
          <w:tab w:leader="none" w:pos="2484"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Borrower or any Subsidiary may distribute Equity Interests (or rights thereto) pursuant to a stockholder rights plan or redeem such rights in accordance with the terms of such plan to the extent such Equity Interests, by their terms (or by the terms of any security, instrument, agreement or other Equity Interest into which it is convertible, or for which it is exchangeable), or upon the happening of any event or condition, do not require the Borrower or any Subsidiary to purchase, redeem, retire, defease or otherwise make any payment prior to the date which is ninety-one (91) days after the Maturity Date in respect of any such Equity Interests or any warrant, right or option to acquire such Equity Interests; and</w:t>
      </w:r>
    </w:p>
    <w:p>
      <w:pPr>
        <w:spacing w:after="0" w:line="179" w:lineRule="exact"/>
        <w:rPr>
          <w:rFonts w:ascii="Arial" w:cs="Arial" w:eastAsia="Arial" w:hAnsi="Arial"/>
          <w:sz w:val="21"/>
          <w:szCs w:val="21"/>
          <w:color w:val="auto"/>
        </w:rPr>
      </w:pPr>
    </w:p>
    <w:p>
      <w:pPr>
        <w:jc w:val="both"/>
        <w:ind w:left="540" w:right="499" w:firstLine="1296"/>
        <w:spacing w:after="0" w:line="265" w:lineRule="auto"/>
        <w:tabs>
          <w:tab w:leader="none" w:pos="2484"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Borrower and its Subsidiaries may make any other Restricted Payment so long as the Consolidated Leverage Ratio, calculated as of the last day of the most recently ended fiscal quarter of the Borrower to give effect to the making of such Restricted Payment on a pro forma basis does not exceed 3.00:1.00.</w:t>
      </w:r>
    </w:p>
    <w:p>
      <w:pPr>
        <w:spacing w:after="0" w:line="175" w:lineRule="exact"/>
        <w:rPr>
          <w:sz w:val="20"/>
          <w:szCs w:val="20"/>
          <w:color w:val="auto"/>
        </w:rPr>
      </w:pPr>
    </w:p>
    <w:p>
      <w:pPr>
        <w:jc w:val="both"/>
        <w:ind w:left="540" w:right="559" w:firstLine="648"/>
        <w:spacing w:after="0" w:line="292"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xml:space="preserve">. Borrower will not permit the Consolidated Leverage Ratio as of the last day of any fiscal quarter of the Borrower to exceed 3.50:1.00;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no more than two (2) occasions during the term of this Agreement, upon the consummation of a Qualified Acquisition, then the ratio set forth above shall be deemed increased to 4.00:1.00 as of the last day of each of the four fiscal quarters ending immediately after the most recent such Qualified Acquisition (including the fiscal quarter in which such Qualified Acquisition was consummated).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EVENTS OF DEFAULT AND REMEDIES</w:t>
      </w:r>
    </w:p>
    <w:p>
      <w:pPr>
        <w:spacing w:after="0" w:line="220" w:lineRule="exact"/>
        <w:rPr>
          <w:sz w:val="20"/>
          <w:szCs w:val="20"/>
          <w:color w:val="auto"/>
        </w:rPr>
      </w:pPr>
    </w:p>
    <w:p>
      <w:pPr>
        <w:jc w:val="both"/>
        <w:ind w:left="540" w:right="559" w:firstLine="648"/>
        <w:spacing w:after="0" w:line="263"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8.04</w:t>
      </w:r>
      <w:r>
        <w:rPr>
          <w:rFonts w:ascii="Arial" w:cs="Arial" w:eastAsia="Arial" w:hAnsi="Arial"/>
          <w:sz w:val="22"/>
          <w:szCs w:val="22"/>
          <w:color w:val="auto"/>
        </w:rPr>
        <w:t>, any of the following will constitute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175" w:lineRule="exact"/>
        <w:rPr>
          <w:sz w:val="20"/>
          <w:szCs w:val="20"/>
          <w:color w:val="auto"/>
        </w:rPr>
      </w:pPr>
    </w:p>
    <w:p>
      <w:pPr>
        <w:jc w:val="both"/>
        <w:ind w:left="540" w:right="539" w:firstLine="725"/>
        <w:spacing w:after="0" w:line="312" w:lineRule="auto"/>
        <w:tabs>
          <w:tab w:leader="none" w:pos="1836"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The Borrower fails to pay when and as required to be paid herein, and in the currency required hereunder, (i) any amount of principal of any Loan or any L/C Obligation or (ii) within five (5) Business Days after the same becomes due, any</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0" w:name="page211"/>
    <w:bookmarkEnd w:id="210"/>
    <w:p>
      <w:pPr>
        <w:jc w:val="both"/>
        <w:ind w:left="540" w:right="539"/>
        <w:spacing w:after="0" w:line="253" w:lineRule="auto"/>
        <w:rPr>
          <w:sz w:val="20"/>
          <w:szCs w:val="20"/>
          <w:color w:val="auto"/>
        </w:rPr>
      </w:pPr>
      <w:r>
        <w:rPr>
          <w:rFonts w:ascii="Arial" w:cs="Arial" w:eastAsia="Arial" w:hAnsi="Arial"/>
          <w:sz w:val="22"/>
          <w:szCs w:val="22"/>
          <w:color w:val="auto"/>
        </w:rPr>
        <w:t xml:space="preserve">interest on any Loan or on any L/C Obligation, any fee due hereunder or any other amount payable hereunder or under any other Loan Document (other than an amount specified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w:t>
      </w:r>
    </w:p>
    <w:p>
      <w:pPr>
        <w:spacing w:after="0" w:line="185" w:lineRule="exact"/>
        <w:rPr>
          <w:sz w:val="20"/>
          <w:szCs w:val="20"/>
          <w:color w:val="auto"/>
        </w:rPr>
      </w:pPr>
    </w:p>
    <w:p>
      <w:pPr>
        <w:jc w:val="both"/>
        <w:ind w:left="540" w:right="559" w:firstLine="725"/>
        <w:spacing w:after="0" w:line="271" w:lineRule="auto"/>
        <w:tabs>
          <w:tab w:leader="none" w:pos="1836"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Specific Covenants</w:t>
      </w:r>
      <w:r>
        <w:rPr>
          <w:rFonts w:ascii="Arial" w:cs="Arial" w:eastAsia="Arial" w:hAnsi="Arial"/>
          <w:sz w:val="21"/>
          <w:szCs w:val="21"/>
          <w:color w:val="auto"/>
        </w:rPr>
        <w:t xml:space="preserve">. Any Loan Party fails to perform or observe any term, covenant or agreement contained in </w:t>
      </w:r>
      <w:r>
        <w:rPr>
          <w:rFonts w:ascii="Arial" w:cs="Arial" w:eastAsia="Arial" w:hAnsi="Arial"/>
          <w:sz w:val="21"/>
          <w:szCs w:val="21"/>
          <w:u w:val="single" w:color="auto"/>
          <w:color w:val="auto"/>
        </w:rPr>
        <w:t>Section 6.02(c)</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6.04(a)</w:t>
      </w:r>
      <w:r>
        <w:rPr>
          <w:rFonts w:ascii="Arial" w:cs="Arial" w:eastAsia="Arial" w:hAnsi="Arial"/>
          <w:sz w:val="21"/>
          <w:szCs w:val="21"/>
          <w:color w:val="auto"/>
        </w:rPr>
        <w:t xml:space="preserve"> (with respect to existence of the Borrower or any other Loan Party), </w:t>
      </w:r>
      <w:r>
        <w:rPr>
          <w:rFonts w:ascii="Arial" w:cs="Arial" w:eastAsia="Arial" w:hAnsi="Arial"/>
          <w:sz w:val="21"/>
          <w:szCs w:val="21"/>
          <w:u w:val="single" w:color="auto"/>
          <w:color w:val="auto"/>
        </w:rPr>
        <w:t>6.06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9.11</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left="540" w:right="539" w:firstLine="725"/>
        <w:spacing w:after="0" w:line="248" w:lineRule="auto"/>
        <w:tabs>
          <w:tab w:leader="none" w:pos="1836"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Other Defaults</w:t>
      </w:r>
      <w:r>
        <w:rPr>
          <w:rFonts w:ascii="Arial" w:cs="Arial" w:eastAsia="Arial" w:hAnsi="Arial"/>
          <w:sz w:val="22"/>
          <w:szCs w:val="22"/>
          <w:color w:val="auto"/>
        </w:rPr>
        <w:t xml:space="preserve">. Any Loan Party fails to perform or observe any other covenant or agreement (not specified in </w:t>
      </w:r>
      <w:r>
        <w:rPr>
          <w:rFonts w:ascii="Arial" w:cs="Arial" w:eastAsia="Arial" w:hAnsi="Arial"/>
          <w:sz w:val="22"/>
          <w:szCs w:val="22"/>
          <w:u w:val="single" w:color="auto"/>
          <w:color w:val="auto"/>
        </w:rPr>
        <w:t>Section 8.01(a)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8.01(b)</w:t>
      </w:r>
      <w:r>
        <w:rPr>
          <w:rFonts w:ascii="Arial" w:cs="Arial" w:eastAsia="Arial" w:hAnsi="Arial"/>
          <w:sz w:val="22"/>
          <w:szCs w:val="22"/>
          <w:color w:val="auto"/>
        </w:rPr>
        <w:t>) contained in any Loan Document on its part to be performed or observed and such failure continues for thirty (30) days after notice thereof from the Administrative Agent (given at the request of any Lender) to the Borrower;</w:t>
      </w:r>
    </w:p>
    <w:p>
      <w:pPr>
        <w:spacing w:after="0" w:line="191" w:lineRule="exact"/>
        <w:rPr>
          <w:rFonts w:ascii="Arial" w:cs="Arial" w:eastAsia="Arial" w:hAnsi="Arial"/>
          <w:sz w:val="22"/>
          <w:szCs w:val="22"/>
          <w:color w:val="auto"/>
        </w:rPr>
      </w:pPr>
    </w:p>
    <w:p>
      <w:pPr>
        <w:jc w:val="both"/>
        <w:ind w:left="540" w:right="539" w:firstLine="725"/>
        <w:spacing w:after="0" w:line="263" w:lineRule="auto"/>
        <w:tabs>
          <w:tab w:leader="none" w:pos="1836"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Any representation and warranty made or deemed made by or on behalf of any Loan Party herein or in any other Loan Document, or any statement made by or on behalf of any Loan Party or any Responsible Officer thereof in any certificate delivered in connection with any Loan Document, is incorrect in any material respect when made or deemed made;</w:t>
      </w:r>
    </w:p>
    <w:p>
      <w:pPr>
        <w:spacing w:after="0" w:line="175" w:lineRule="exact"/>
        <w:rPr>
          <w:rFonts w:ascii="Arial" w:cs="Arial" w:eastAsia="Arial" w:hAnsi="Arial"/>
          <w:sz w:val="21"/>
          <w:szCs w:val="21"/>
          <w:color w:val="auto"/>
        </w:rPr>
      </w:pPr>
    </w:p>
    <w:p>
      <w:pPr>
        <w:jc w:val="both"/>
        <w:ind w:left="540" w:right="539" w:firstLine="725"/>
        <w:spacing w:after="0" w:line="285" w:lineRule="auto"/>
        <w:tabs>
          <w:tab w:leader="none" w:pos="1836"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xml:space="preserve">. (i) The Borrower or any Material Subsidiary fails to make any payment of principal or interest in respect of any Material Indebtedness, when and as the same shall become due and payable (after giving effect to any applicable grace periods), (ii) any event or condition occurs that (A) results in any Material Indebtedness becoming due prior to its scheduled maturity or (B) enables or permits (after giving effect to any applicable grace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8</w:t>
      </w:r>
      <w:r>
        <w:rPr>
          <w:rFonts w:ascii="Arial" w:cs="Arial" w:eastAsia="Arial" w:hAnsi="Arial"/>
          <w:sz w:val="19"/>
          <w:szCs w:val="19"/>
          <w:color w:val="auto"/>
        </w:rPr>
        <w:t>.</w:t>
      </w:r>
      <w:r>
        <w:rPr>
          <w:rFonts w:ascii="Arial" w:cs="Arial" w:eastAsia="Arial" w:hAnsi="Arial"/>
          <w:sz w:val="19"/>
          <w:szCs w:val="19"/>
          <w:u w:val="single" w:color="auto"/>
          <w:color w:val="auto"/>
        </w:rPr>
        <w:t>01(e)(ii)</w:t>
      </w:r>
      <w:r>
        <w:rPr>
          <w:rFonts w:ascii="Arial" w:cs="Arial" w:eastAsia="Arial" w:hAnsi="Arial"/>
          <w:sz w:val="19"/>
          <w:szCs w:val="19"/>
          <w:color w:val="auto"/>
        </w:rPr>
        <w:t xml:space="preserve"> shall not apply to (x) secured Indebtedness that becomes due as a result of the voluntary sale or transfer of the property or assets securing such Indebtedness if such secured Indebtedness is paid when due, (y) any repayment, satisfaction and discharge or redemption of any Acquisition Indebtedness if the related Acquisition is not consummated or (z) any Indebtedness that becomes due as a result of a voluntary refinancing thereof or (iii) there occurs under any Swap Contract an early termination date resulting from (x) any event of default under such Swap Contract as to which the Borrower or any Material Subsidiary is the defaulting party thereunder or (y) any termination event under such Swap Contract as to which the Borrower or any Material Subsidiary is an affected party thereunder and, in either event, the Swap Termination Value owed by the Borrower or such Material Subsidiary as a result thereof is greater than $75,000,000;</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540" w:right="539" w:firstLine="725"/>
        <w:spacing w:after="0" w:line="292" w:lineRule="auto"/>
        <w:tabs>
          <w:tab w:leader="none" w:pos="1836"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The Borrower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examiner or similar officer for it or for all or any material part of its property; any receiver, trustee, custodian, conservator, liquidator, rehabilitator, examiner or similar officer is appointed without the application or consent of the Borrower or any Material Subsidiary</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1" w:name="page212"/>
    <w:bookmarkEnd w:id="211"/>
    <w:p>
      <w:pPr>
        <w:jc w:val="both"/>
        <w:ind w:left="540" w:right="539"/>
        <w:spacing w:after="0" w:line="248" w:lineRule="auto"/>
        <w:rPr>
          <w:sz w:val="20"/>
          <w:szCs w:val="20"/>
          <w:color w:val="auto"/>
        </w:rPr>
      </w:pPr>
      <w:r>
        <w:rPr>
          <w:rFonts w:ascii="Arial" w:cs="Arial" w:eastAsia="Arial" w:hAnsi="Arial"/>
          <w:sz w:val="22"/>
          <w:szCs w:val="22"/>
          <w:color w:val="auto"/>
        </w:rPr>
        <w:t>and the appointment continues undischarged or unstayed for sixty (60) calendar days; or any proceeding under any Debtor Relief Law relating to the Borrower or any Material Subsidiary or to all or any material part of its property is instituted without the consent of such Person and continues undismissed or unstayed for sixty (60) calendar days, or an order for relief is entered in any such proceeding;</w:t>
      </w:r>
    </w:p>
    <w:p>
      <w:pPr>
        <w:spacing w:after="0" w:line="192" w:lineRule="exact"/>
        <w:rPr>
          <w:sz w:val="20"/>
          <w:szCs w:val="20"/>
          <w:color w:val="auto"/>
        </w:rPr>
      </w:pPr>
    </w:p>
    <w:p>
      <w:pPr>
        <w:jc w:val="both"/>
        <w:ind w:left="540" w:right="539" w:firstLine="725"/>
        <w:spacing w:after="0" w:line="247" w:lineRule="auto"/>
        <w:tabs>
          <w:tab w:leader="none" w:pos="1836" w:val="left"/>
        </w:tabs>
        <w:numPr>
          <w:ilvl w:val="1"/>
          <w:numId w:val="181"/>
        </w:numPr>
        <w:rPr>
          <w:rFonts w:ascii="Arial" w:cs="Arial" w:eastAsia="Arial" w:hAnsi="Arial"/>
          <w:sz w:val="22"/>
          <w:szCs w:val="22"/>
          <w:color w:val="auto"/>
        </w:rPr>
      </w:pPr>
      <w:r>
        <w:rPr>
          <w:rFonts w:ascii="Arial" w:cs="Arial" w:eastAsia="Arial" w:hAnsi="Arial"/>
          <w:sz w:val="22"/>
          <w:szCs w:val="22"/>
          <w:u w:val="single" w:color="auto"/>
          <w:color w:val="auto"/>
        </w:rPr>
        <w:t>Inability to Pay Debts; Attachment</w:t>
      </w:r>
      <w:r>
        <w:rPr>
          <w:rFonts w:ascii="Arial" w:cs="Arial" w:eastAsia="Arial" w:hAnsi="Arial"/>
          <w:sz w:val="22"/>
          <w:szCs w:val="22"/>
          <w:color w:val="auto"/>
        </w:rPr>
        <w:t>. (i) The Borrower or any Material Subsidiary becomes unable or admits in writing its inability or fails generally to pay its debts as they become due, or (ii) any writ or warrant of attachment or execution or similar process is issued or levied against all or any material part of the property of the Borrower or any Material Subsidiary and is not released, vacated or fully bonded within thirty (30) days after its issue or levy;</w:t>
      </w:r>
    </w:p>
    <w:p>
      <w:pPr>
        <w:spacing w:after="0" w:line="192" w:lineRule="exact"/>
        <w:rPr>
          <w:rFonts w:ascii="Arial" w:cs="Arial" w:eastAsia="Arial" w:hAnsi="Arial"/>
          <w:sz w:val="22"/>
          <w:szCs w:val="22"/>
          <w:color w:val="auto"/>
        </w:rPr>
      </w:pPr>
    </w:p>
    <w:p>
      <w:pPr>
        <w:jc w:val="both"/>
        <w:ind w:left="540" w:right="539" w:firstLine="725"/>
        <w:spacing w:after="0" w:line="285" w:lineRule="auto"/>
        <w:tabs>
          <w:tab w:leader="none" w:pos="1836" w:val="left"/>
        </w:tabs>
        <w:numPr>
          <w:ilvl w:val="1"/>
          <w:numId w:val="181"/>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the Borrower or any Material Subsidiary a final judgment or order for the payment of money in an aggregate amount exceeding $75,000,000 (to the extent not covered by independent third-party insurance as to which the insurer does not dispute coverage) and (i) enforcement proceedings are commenced by any creditor upon such judgment or order and (ii) there is a period of thirty</w:t>
      </w:r>
    </w:p>
    <w:p>
      <w:pPr>
        <w:spacing w:after="0" w:line="3" w:lineRule="exact"/>
        <w:rPr>
          <w:rFonts w:ascii="Arial" w:cs="Arial" w:eastAsia="Arial" w:hAnsi="Arial"/>
          <w:sz w:val="19"/>
          <w:szCs w:val="19"/>
          <w:color w:val="auto"/>
        </w:rPr>
      </w:pPr>
    </w:p>
    <w:p>
      <w:pPr>
        <w:ind w:left="540" w:right="539"/>
        <w:spacing w:after="0" w:line="246" w:lineRule="auto"/>
        <w:tabs>
          <w:tab w:leader="none" w:pos="1009" w:val="left"/>
        </w:tabs>
        <w:numPr>
          <w:ilvl w:val="0"/>
          <w:numId w:val="182"/>
        </w:numPr>
        <w:rPr>
          <w:rFonts w:ascii="Arial" w:cs="Arial" w:eastAsia="Arial" w:hAnsi="Arial"/>
          <w:sz w:val="22"/>
          <w:szCs w:val="22"/>
          <w:color w:val="auto"/>
        </w:rPr>
      </w:pPr>
      <w:r>
        <w:rPr>
          <w:rFonts w:ascii="Arial" w:cs="Arial" w:eastAsia="Arial" w:hAnsi="Arial"/>
          <w:sz w:val="22"/>
          <w:szCs w:val="22"/>
          <w:color w:val="auto"/>
        </w:rPr>
        <w:t>consecutive days during which execution shall not have been effectively stayed, vacated or bonded pending appeal or otherwise;</w:t>
      </w:r>
    </w:p>
    <w:p>
      <w:pPr>
        <w:spacing w:after="0" w:line="192" w:lineRule="exact"/>
        <w:rPr>
          <w:rFonts w:ascii="Arial" w:cs="Arial" w:eastAsia="Arial" w:hAnsi="Arial"/>
          <w:sz w:val="22"/>
          <w:szCs w:val="22"/>
          <w:color w:val="auto"/>
        </w:rPr>
      </w:pPr>
    </w:p>
    <w:p>
      <w:pPr>
        <w:ind w:left="1840" w:hanging="575"/>
        <w:spacing w:after="0"/>
        <w:tabs>
          <w:tab w:leader="none" w:pos="1840" w:val="left"/>
        </w:tabs>
        <w:numPr>
          <w:ilvl w:val="1"/>
          <w:numId w:val="182"/>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An ERISA Event occurs with respect to a Pension Plan or</w:t>
      </w:r>
    </w:p>
    <w:p>
      <w:pPr>
        <w:spacing w:after="0" w:line="220" w:lineRule="exact"/>
        <w:rPr>
          <w:sz w:val="20"/>
          <w:szCs w:val="20"/>
          <w:color w:val="auto"/>
        </w:rPr>
      </w:pPr>
    </w:p>
    <w:p>
      <w:pPr>
        <w:ind w:left="540" w:right="1059"/>
        <w:spacing w:after="0" w:line="276" w:lineRule="auto"/>
        <w:rPr>
          <w:sz w:val="20"/>
          <w:szCs w:val="20"/>
          <w:color w:val="auto"/>
        </w:rPr>
      </w:pPr>
      <w:r>
        <w:rPr>
          <w:rFonts w:ascii="Arial" w:cs="Arial" w:eastAsia="Arial" w:hAnsi="Arial"/>
          <w:sz w:val="22"/>
          <w:szCs w:val="22"/>
          <w:color w:val="auto"/>
        </w:rPr>
        <w:t>Multiemployer Plan which has resulted or would reasonably be expected to result in a Material Adverse Effect;</w:t>
      </w:r>
    </w:p>
    <w:p>
      <w:pPr>
        <w:spacing w:after="0" w:line="107" w:lineRule="exact"/>
        <w:rPr>
          <w:sz w:val="20"/>
          <w:szCs w:val="20"/>
          <w:color w:val="auto"/>
        </w:rPr>
      </w:pPr>
    </w:p>
    <w:p>
      <w:pPr>
        <w:jc w:val="both"/>
        <w:ind w:left="540" w:right="539" w:firstLine="725"/>
        <w:spacing w:after="0" w:line="292" w:lineRule="auto"/>
        <w:tabs>
          <w:tab w:leader="none" w:pos="1836"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xml:space="preserve">. Any material provision of this Agreement, any other Loan Document or any material Guarantee under the Obligations Guarantee shall, for any reason, cease to be in full force and effect, or any Loan Party shall contest in writing the validity or enforceability of this Agreement, any other Loan Document or any such Guarantee, in each case, other than in accordance with the terms hereof and thereof (including, in the case of a Subsidiary Guarantor, as a result of the release of such Subsidiary Guarantor in accordance with </w:t>
      </w:r>
      <w:r>
        <w:rPr>
          <w:rFonts w:ascii="Arial" w:cs="Arial" w:eastAsia="Arial" w:hAnsi="Arial"/>
          <w:sz w:val="19"/>
          <w:szCs w:val="19"/>
          <w:u w:val="single" w:color="auto"/>
          <w:color w:val="auto"/>
        </w:rPr>
        <w:t>Section 10.10</w:t>
      </w:r>
      <w:r>
        <w:rPr>
          <w:rFonts w:ascii="Arial" w:cs="Arial" w:eastAsia="Arial" w:hAnsi="Arial"/>
          <w:sz w:val="19"/>
          <w:szCs w:val="19"/>
          <w:color w:val="auto"/>
        </w:rPr>
        <w:t>); or</w:t>
      </w:r>
    </w:p>
    <w:p>
      <w:pPr>
        <w:spacing w:after="0" w:line="150" w:lineRule="exact"/>
        <w:rPr>
          <w:rFonts w:ascii="Arial" w:cs="Arial" w:eastAsia="Arial" w:hAnsi="Arial"/>
          <w:sz w:val="19"/>
          <w:szCs w:val="19"/>
          <w:color w:val="auto"/>
        </w:rPr>
      </w:pPr>
    </w:p>
    <w:p>
      <w:pPr>
        <w:ind w:left="1840" w:hanging="575"/>
        <w:spacing w:after="0"/>
        <w:tabs>
          <w:tab w:leader="none" w:pos="184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w:t>
      </w:r>
    </w:p>
    <w:p>
      <w:pPr>
        <w:spacing w:after="0" w:line="220" w:lineRule="exact"/>
        <w:rPr>
          <w:sz w:val="20"/>
          <w:szCs w:val="20"/>
          <w:color w:val="auto"/>
        </w:rPr>
      </w:pPr>
    </w:p>
    <w:p>
      <w:pPr>
        <w:jc w:val="both"/>
        <w:ind w:left="540" w:right="559" w:firstLine="648"/>
        <w:spacing w:after="0" w:line="25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Remedies Upon Event of Default</w:t>
      </w:r>
      <w:r>
        <w:rPr>
          <w:rFonts w:ascii="Arial" w:cs="Arial" w:eastAsia="Arial" w:hAnsi="Arial"/>
          <w:sz w:val="22"/>
          <w:szCs w:val="22"/>
          <w:color w:val="auto"/>
        </w:rPr>
        <w:t>. If any Event of Default occurs and is continuing, the Administrative Agent will at the request of, or may with the consent of, the Required Lenders, take any or all of the following actions from and after the Effective Date:</w:t>
      </w:r>
    </w:p>
    <w:p>
      <w:pPr>
        <w:spacing w:after="0" w:line="188" w:lineRule="exact"/>
        <w:rPr>
          <w:sz w:val="20"/>
          <w:szCs w:val="20"/>
          <w:color w:val="auto"/>
        </w:rPr>
      </w:pPr>
    </w:p>
    <w:p>
      <w:pPr>
        <w:jc w:val="both"/>
        <w:ind w:left="540" w:right="539" w:firstLine="725"/>
        <w:spacing w:after="0" w:line="253" w:lineRule="auto"/>
        <w:tabs>
          <w:tab w:leader="none" w:pos="183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declare the Commitments and any obligation of each L/C Issuer to make L/C Credit Extensions to be terminated, whereupon all the Commitments and all such obligations shall immediately terminate;</w:t>
      </w:r>
    </w:p>
    <w:p>
      <w:pPr>
        <w:spacing w:after="0" w:line="185" w:lineRule="exact"/>
        <w:rPr>
          <w:rFonts w:ascii="Arial" w:cs="Arial" w:eastAsia="Arial" w:hAnsi="Arial"/>
          <w:sz w:val="22"/>
          <w:szCs w:val="22"/>
          <w:color w:val="auto"/>
        </w:rPr>
      </w:pPr>
    </w:p>
    <w:p>
      <w:pPr>
        <w:jc w:val="both"/>
        <w:ind w:left="540" w:right="559" w:firstLine="725"/>
        <w:spacing w:after="0" w:line="312" w:lineRule="auto"/>
        <w:tabs>
          <w:tab w:leader="none" w:pos="183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6603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12" w:name="page213"/>
    <w:bookmarkEnd w:id="212"/>
    <w:p>
      <w:pPr>
        <w:ind w:left="540" w:right="539"/>
        <w:spacing w:after="0" w:line="263" w:lineRule="auto"/>
        <w:rPr>
          <w:sz w:val="20"/>
          <w:szCs w:val="20"/>
          <w:color w:val="auto"/>
        </w:rPr>
      </w:pPr>
      <w:r>
        <w:rPr>
          <w:rFonts w:ascii="Arial" w:cs="Arial" w:eastAsia="Arial" w:hAnsi="Arial"/>
          <w:sz w:val="22"/>
          <w:szCs w:val="22"/>
          <w:color w:val="auto"/>
        </w:rPr>
        <w:t>demand, protest or other notice of any kind, all of which are hereby expressly waived by the Loan Parties;</w:t>
      </w:r>
    </w:p>
    <w:p>
      <w:pPr>
        <w:spacing w:after="0" w:line="175" w:lineRule="exact"/>
        <w:rPr>
          <w:sz w:val="20"/>
          <w:szCs w:val="20"/>
          <w:color w:val="auto"/>
        </w:rPr>
      </w:pPr>
    </w:p>
    <w:p>
      <w:pPr>
        <w:jc w:val="both"/>
        <w:ind w:left="540" w:right="539" w:firstLine="725"/>
        <w:spacing w:after="0" w:line="250" w:lineRule="auto"/>
        <w:tabs>
          <w:tab w:leader="none" w:pos="183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require that the Borrower Cash Collateralize the L/C Obligations (in an amount equal to the then Outstanding Amount thereof), without presentment, demand, protest or other notice of any kind, all of which are hereby expressly waived by the Loan Parties; and</w:t>
      </w:r>
    </w:p>
    <w:p>
      <w:pPr>
        <w:spacing w:after="0" w:line="187" w:lineRule="exact"/>
        <w:rPr>
          <w:rFonts w:ascii="Arial" w:cs="Arial" w:eastAsia="Arial" w:hAnsi="Arial"/>
          <w:sz w:val="22"/>
          <w:szCs w:val="22"/>
          <w:color w:val="auto"/>
        </w:rPr>
      </w:pPr>
    </w:p>
    <w:p>
      <w:pPr>
        <w:jc w:val="both"/>
        <w:ind w:left="540" w:right="539" w:firstLine="725"/>
        <w:spacing w:after="0" w:line="287" w:lineRule="auto"/>
        <w:tabs>
          <w:tab w:leader="none" w:pos="183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exercise on behalf of itself, the Lenders and the L/C Issuers all rights and remedies available to the Administrative Agent, the Lenders and the L/C Issuers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the Borrower under Debtor Relief Laws, all Commitments and all the obligations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any Lender or any L/C Issuer and without presentment, demand, protest or other notice of any kind, all of which are hereby expressly waived by the Loan Parties.</w:t>
      </w:r>
    </w:p>
    <w:p>
      <w:pPr>
        <w:spacing w:after="0" w:line="163" w:lineRule="exact"/>
        <w:rPr>
          <w:sz w:val="20"/>
          <w:szCs w:val="20"/>
          <w:color w:val="auto"/>
        </w:rPr>
      </w:pPr>
    </w:p>
    <w:p>
      <w:pPr>
        <w:jc w:val="both"/>
        <w:ind w:left="540" w:right="559" w:firstLine="648"/>
        <w:spacing w:after="0" w:line="247"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xml:space="preserve">. After the exercise of remedies provided for in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any amounts received on account of the Obligations will, subject to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2.16</w:t>
      </w:r>
      <w:r>
        <w:rPr>
          <w:rFonts w:ascii="Arial" w:cs="Arial" w:eastAsia="Arial" w:hAnsi="Arial"/>
          <w:sz w:val="22"/>
          <w:szCs w:val="22"/>
          <w:color w:val="auto"/>
        </w:rPr>
        <w:t>, be applied by the Administrative Agent in the following order:</w:t>
      </w:r>
    </w:p>
    <w:p>
      <w:pPr>
        <w:spacing w:after="0" w:line="193"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their capacity as such;</w:t>
      </w:r>
    </w:p>
    <w:p>
      <w:pPr>
        <w:spacing w:after="0" w:line="188" w:lineRule="exact"/>
        <w:rPr>
          <w:sz w:val="20"/>
          <w:szCs w:val="20"/>
          <w:color w:val="auto"/>
        </w:rPr>
      </w:pPr>
    </w:p>
    <w:p>
      <w:pPr>
        <w:jc w:val="both"/>
        <w:ind w:left="540" w:right="479" w:firstLine="635"/>
        <w:spacing w:after="0" w:line="297"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reimbursements payable to the Lenders, the L/C Issuers or the Arrangers (including fees, charges and disbursements of counsel to the Lenders, the L/C Issuers or the Arrangers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47" w:lineRule="exact"/>
        <w:rPr>
          <w:sz w:val="20"/>
          <w:szCs w:val="20"/>
          <w:color w:val="auto"/>
        </w:rPr>
      </w:pPr>
    </w:p>
    <w:p>
      <w:pPr>
        <w:jc w:val="both"/>
        <w:ind w:left="540" w:right="479" w:firstLine="635"/>
        <w:spacing w:after="0" w:line="250"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interest on the Loans, the L/C Borrowings and the other Obligations, ratably among the Lenders and the L/C Issuers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8" w:lineRule="exact"/>
        <w:rPr>
          <w:sz w:val="20"/>
          <w:szCs w:val="20"/>
          <w:color w:val="auto"/>
        </w:rPr>
      </w:pPr>
    </w:p>
    <w:p>
      <w:pPr>
        <w:jc w:val="both"/>
        <w:ind w:left="540" w:right="479" w:firstLine="635"/>
        <w:spacing w:after="0" w:line="312"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held by them;</w:t>
      </w:r>
    </w:p>
    <w:p>
      <w:pPr>
        <w:spacing w:after="0" w:line="133" w:lineRule="exact"/>
        <w:rPr>
          <w:sz w:val="20"/>
          <w:szCs w:val="20"/>
          <w:color w:val="auto"/>
        </w:rPr>
      </w:pPr>
    </w:p>
    <w:p>
      <w:pPr>
        <w:jc w:val="both"/>
        <w:ind w:left="540" w:right="479" w:firstLine="635"/>
        <w:spacing w:after="0" w:line="343" w:lineRule="auto"/>
        <w:rPr>
          <w:sz w:val="20"/>
          <w:szCs w:val="20"/>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to the Administrative Agent for the account of each L/C Issuer, to Cash Collateralize that portion of L/C Obligations comprised of the aggregate undrawn amount</w:t>
      </w:r>
    </w:p>
    <w:p>
      <w:pPr>
        <w:sectPr>
          <w:pgSz w:w="11900" w:h="16838" w:orient="portrait"/>
          <w:cols w:equalWidth="0" w:num="1">
            <w:col w:w="9019"/>
          </w:cols>
          <w:pgMar w:left="1440" w:top="928" w:right="1440" w:bottom="1440" w:gutter="0" w:footer="0" w:header="0"/>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3" w:name="page214"/>
    <w:bookmarkEnd w:id="213"/>
    <w:p>
      <w:pPr>
        <w:jc w:val="both"/>
        <w:ind w:left="540" w:right="479"/>
        <w:spacing w:after="0" w:line="263" w:lineRule="auto"/>
        <w:rPr>
          <w:sz w:val="20"/>
          <w:szCs w:val="20"/>
          <w:color w:val="auto"/>
        </w:rPr>
      </w:pPr>
      <w:r>
        <w:rPr>
          <w:rFonts w:ascii="Arial" w:cs="Arial" w:eastAsia="Arial" w:hAnsi="Arial"/>
          <w:sz w:val="22"/>
          <w:szCs w:val="22"/>
          <w:color w:val="auto"/>
        </w:rPr>
        <w:t xml:space="preserve">of Letters of Credit to the extent not otherwise Cash Collateralized by the Borrower pursuant to </w:t>
      </w:r>
      <w:r>
        <w:rPr>
          <w:rFonts w:ascii="Arial" w:cs="Arial" w:eastAsia="Arial" w:hAnsi="Arial"/>
          <w:sz w:val="22"/>
          <w:szCs w:val="22"/>
          <w:u w:val="single" w:color="auto"/>
          <w:color w:val="auto"/>
        </w:rPr>
        <w:t>Sections 2.04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2.15</w:t>
      </w:r>
      <w:r>
        <w:rPr>
          <w:rFonts w:ascii="Arial" w:cs="Arial" w:eastAsia="Arial" w:hAnsi="Arial"/>
          <w:sz w:val="22"/>
          <w:szCs w:val="22"/>
          <w:color w:val="auto"/>
        </w:rPr>
        <w:t>; and</w:t>
      </w:r>
    </w:p>
    <w:p>
      <w:pPr>
        <w:spacing w:after="0" w:line="175" w:lineRule="exact"/>
        <w:rPr>
          <w:sz w:val="20"/>
          <w:szCs w:val="20"/>
          <w:color w:val="auto"/>
        </w:rPr>
      </w:pPr>
    </w:p>
    <w:p>
      <w:pPr>
        <w:jc w:val="both"/>
        <w:ind w:left="540" w:right="479" w:firstLine="635"/>
        <w:spacing w:after="0" w:line="263"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 or as otherwise required by Law.</w:t>
      </w:r>
    </w:p>
    <w:p>
      <w:pPr>
        <w:spacing w:after="0" w:line="175" w:lineRule="exact"/>
        <w:rPr>
          <w:sz w:val="20"/>
          <w:szCs w:val="20"/>
          <w:color w:val="auto"/>
        </w:rPr>
      </w:pPr>
    </w:p>
    <w:p>
      <w:pPr>
        <w:jc w:val="both"/>
        <w:ind w:left="540" w:right="479" w:firstLine="635"/>
        <w:spacing w:after="0" w:line="292"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2.04(c)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amounts used to Cash Collateralize the aggregate undrawn amount of Letters of Credit pursuant to clause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above will be applied to satisfy drawings under such Letters of Credit as they occur. If any amount remains on deposit as Cash Collateral after all Letters of Credit have either been fully drawn or expired (other than Letters of Credit as to which other arrangements satisfactory to the applicable L/C Issuer and the Administrative Agent shall have been made), such remaining amount will be applied to the other Obligations, if any, in the order set forth above.</w:t>
      </w:r>
    </w:p>
    <w:p>
      <w:pPr>
        <w:spacing w:after="0" w:line="151" w:lineRule="exact"/>
        <w:rPr>
          <w:sz w:val="20"/>
          <w:szCs w:val="20"/>
          <w:color w:val="auto"/>
        </w:rPr>
      </w:pPr>
    </w:p>
    <w:p>
      <w:pPr>
        <w:jc w:val="both"/>
        <w:ind w:left="540" w:right="559" w:firstLine="648"/>
        <w:spacing w:after="0" w:line="289"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Cleanup Period</w:t>
      </w:r>
      <w:r>
        <w:rPr>
          <w:rFonts w:ascii="Arial" w:cs="Arial" w:eastAsia="Arial" w:hAnsi="Arial"/>
          <w:sz w:val="19"/>
          <w:szCs w:val="19"/>
          <w:color w:val="auto"/>
        </w:rPr>
        <w:t xml:space="preserve">. Notwithstanding anything to the contrary, if on the date of consummation of any Qualified Acquisition a matter or circumstance exists which constitutes a Default, such matter or circumstance will not constitute (other than for purposes of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 Default on the date of consummation of such Qualified Acquisition and during the five-day period following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matter or circumstance does not constitute (i) a Major Default or (ii) a Default incapable of being cured, (b) reasonable steps are being taken by the Borrower and its Subsidiaries to cure such Default and (c) such Default is cured or otherwise ceases to exist within five days after the date of consummation of such Qualified Acquisition.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GUARANTEE</w:t>
      </w:r>
    </w:p>
    <w:p>
      <w:pPr>
        <w:spacing w:after="0" w:line="220" w:lineRule="exact"/>
        <w:rPr>
          <w:sz w:val="20"/>
          <w:szCs w:val="20"/>
          <w:color w:val="auto"/>
        </w:rPr>
      </w:pPr>
    </w:p>
    <w:p>
      <w:pPr>
        <w:jc w:val="both"/>
        <w:ind w:left="540" w:right="559" w:firstLine="648"/>
        <w:spacing w:after="0" w:line="285"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Guarantee of Obligations</w:t>
      </w:r>
      <w:r>
        <w:rPr>
          <w:rFonts w:ascii="Arial" w:cs="Arial" w:eastAsia="Arial" w:hAnsi="Arial"/>
          <w:sz w:val="19"/>
          <w:szCs w:val="19"/>
          <w:color w:val="auto"/>
        </w:rPr>
        <w:t xml:space="preserve">. Each of the Guarantors hereby, jointly and severally, absolutely, unconditionally and irrevocably, guarantees, as primary obligor and not merely as surety, to the Administrative Agent, for the benefit of the Guaranteed Parties and their respective successors, indorsees, transferees and assigns, the prompt and complete payment and performance by the Borrower and each other Guarantor, when due (whether at the stated maturity, by acceleration or otherwise) of the Obligations. Each Guarantor shall be liable under its guarantee set forth in this </w:t>
      </w:r>
      <w:r>
        <w:rPr>
          <w:rFonts w:ascii="Arial" w:cs="Arial" w:eastAsia="Arial" w:hAnsi="Arial"/>
          <w:sz w:val="19"/>
          <w:szCs w:val="19"/>
          <w:u w:val="single" w:color="auto"/>
          <w:color w:val="auto"/>
        </w:rPr>
        <w:t>Section 9.01</w:t>
      </w:r>
      <w:r>
        <w:rPr>
          <w:rFonts w:ascii="Arial" w:cs="Arial" w:eastAsia="Arial" w:hAnsi="Arial"/>
          <w:sz w:val="19"/>
          <w:szCs w:val="19"/>
          <w:color w:val="auto"/>
        </w:rPr>
        <w:t>, without any limitation as to amount, for all present and future Obligations, including specifically all future increases in the outstanding principal amount of the Loans and other future increases in the Obligations, whether or not any such increase is committed, contemplated or provided for by the Loan Documents on the date hereof. Without limiting the generality of the foregoing, each Guarantor’s liability shall extend to all Obligations (including interest, fees, costs and expenses) that would be owed by any other obligor on the Obligations but for the fact that they are unenforceable or not allowable due to the existence of a proceeding under any Debtor Relief Law involving such other obligor because it is the intention of the Guarantors and the Guaranteed Parties that the Obligations that are guaranteed by the Guarantors pursuant hereto should be determined without regard to any applicable Law or order that may relieve the Borrower or any other Guarantor of any portion of any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14" w:name="page215"/>
    <w:bookmarkEnd w:id="214"/>
    <w:p>
      <w:pPr>
        <w:jc w:val="both"/>
        <w:ind w:left="540" w:right="559" w:firstLine="648"/>
        <w:spacing w:after="0" w:line="286"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Limitation on Obligations Guaranteed</w:t>
      </w:r>
      <w:r>
        <w:rPr>
          <w:rFonts w:ascii="Arial" w:cs="Arial" w:eastAsia="Arial" w:hAnsi="Arial"/>
          <w:sz w:val="19"/>
          <w:szCs w:val="19"/>
          <w:color w:val="auto"/>
        </w:rPr>
        <w:t xml:space="preserve">. (a) Notwithstanding any other provision hereof, the right of recovery against each Guarantor under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shall not exceed $1.00 less than the lowest amount which would render such Guarantor’s obligations under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void or voidable under applicable Law, including the Uniform Fraudulent Conveyance Act, the Uniform Fraudulent Transfer Act or any similar foreign, federal or state law to the extent applicable to the Obligations Guarantee set forth herein and the obligations of such Guarantor hereunder. To effectuate the foregoing, the Administrative Agent and the Guarantors hereby irrevocably agree that the obligations of each Guarantor in respect of the Obligations Guarantee set forth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at any time shall be limited to the maximum amount as will result in the obligations of such Guarantor under the Obligations Guarantee not constituting a fraudulent transfer or conveyance after giving full effect to the liability under the Obligations Guarantee set forth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its related contribution rights but before taking into account any liabilities under any other Guarantee by such Guarantor.</w:t>
      </w:r>
    </w:p>
    <w:p>
      <w:pPr>
        <w:spacing w:after="0" w:line="200" w:lineRule="exact"/>
        <w:rPr>
          <w:sz w:val="20"/>
          <w:szCs w:val="20"/>
          <w:color w:val="auto"/>
        </w:rPr>
      </w:pPr>
    </w:p>
    <w:p>
      <w:pPr>
        <w:spacing w:after="0" w:line="222" w:lineRule="exact"/>
        <w:rPr>
          <w:sz w:val="20"/>
          <w:szCs w:val="20"/>
          <w:color w:val="auto"/>
        </w:rPr>
      </w:pPr>
    </w:p>
    <w:p>
      <w:pPr>
        <w:jc w:val="both"/>
        <w:ind w:left="540" w:right="539" w:firstLine="725"/>
        <w:spacing w:after="0" w:line="302" w:lineRule="auto"/>
        <w:tabs>
          <w:tab w:leader="none" w:pos="183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Each Guarantor agrees that Obligations may at any time and from time to time be incurred or permitted in an amount exceeding the maximum liability of such Guarantor under </w:t>
      </w:r>
      <w:r>
        <w:rPr>
          <w:rFonts w:ascii="Arial" w:cs="Arial" w:eastAsia="Arial" w:hAnsi="Arial"/>
          <w:sz w:val="19"/>
          <w:szCs w:val="19"/>
          <w:u w:val="single" w:color="auto"/>
          <w:color w:val="auto"/>
        </w:rPr>
        <w:t>Section 9.02(a)</w:t>
      </w:r>
      <w:r>
        <w:rPr>
          <w:rFonts w:ascii="Arial" w:cs="Arial" w:eastAsia="Arial" w:hAnsi="Arial"/>
          <w:sz w:val="19"/>
          <w:szCs w:val="19"/>
          <w:color w:val="auto"/>
        </w:rPr>
        <w:t xml:space="preserve"> without impairing the Obligations Guarantee contained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affecting the rights and remedies of any Guaranteed Party hereunder.</w:t>
      </w:r>
    </w:p>
    <w:p>
      <w:pPr>
        <w:spacing w:after="0" w:line="142" w:lineRule="exact"/>
        <w:rPr>
          <w:sz w:val="20"/>
          <w:szCs w:val="20"/>
          <w:color w:val="auto"/>
        </w:rPr>
      </w:pPr>
    </w:p>
    <w:p>
      <w:pPr>
        <w:jc w:val="both"/>
        <w:ind w:left="540" w:right="559" w:firstLine="648"/>
        <w:spacing w:after="0" w:line="288"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Nature of Guarantee; Continuing Guarantee; Waivers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Defenses</w:t>
      </w:r>
      <w:r>
        <w:rPr>
          <w:rFonts w:ascii="Arial" w:cs="Arial" w:eastAsia="Arial" w:hAnsi="Arial"/>
          <w:sz w:val="19"/>
          <w:szCs w:val="19"/>
          <w:color w:val="auto"/>
        </w:rPr>
        <w:t xml:space="preserve">. (a) Each Guarantor understands and agrees that the Obligations Guarantee contained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construed as a continuing guarantee of payment and performance and not merely of collectability. To the extent permitted by applicable Law, each Guarantor waives diligence, presentment, protest, marshaling, demand for payment, notice of dishonor, notice of default and notice of nonpayment to or upon the Borrower or any of the other Guarantors with respect to the Obligations. Without limiting the generality of the foregoing, this Obligations Guarantee and the obligations of the Guarantors hereunder shall be valid and enforceable and shall not be subject to any reduction, limitation, impairment, set-off, defense, counterclaim, discharge or termination for any reason (other than a Discharge of Obligations).</w:t>
      </w:r>
    </w:p>
    <w:p>
      <w:pPr>
        <w:spacing w:after="0" w:line="200" w:lineRule="exact"/>
        <w:rPr>
          <w:sz w:val="20"/>
          <w:szCs w:val="20"/>
          <w:color w:val="auto"/>
        </w:rPr>
      </w:pPr>
    </w:p>
    <w:p>
      <w:pPr>
        <w:spacing w:after="0" w:line="216" w:lineRule="exact"/>
        <w:rPr>
          <w:sz w:val="20"/>
          <w:szCs w:val="20"/>
          <w:color w:val="auto"/>
        </w:rPr>
      </w:pPr>
    </w:p>
    <w:p>
      <w:pPr>
        <w:jc w:val="both"/>
        <w:ind w:left="540" w:right="539" w:firstLine="725"/>
        <w:spacing w:after="0" w:line="285" w:lineRule="auto"/>
        <w:tabs>
          <w:tab w:leader="none" w:pos="183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Each Guarantor agrees that the Obligations Guarantee of each Guarantor hereunder is independent of the Obligations Guarantee of each other Guarantor and of any other guarantee of the Obligations and when making any demand hereunder or otherwise pursuing its rights and remedies hereunder against any Guarantor, any Guaranteed Party may, but shall be under no obligation to, make a similar demand on or otherwise pursue such rights and remedies as it may have against the Borrower and any other Guarantor or any other Person or against any other guarantee for the Obligations or any right of offset with respect thereto, and any failure by any Guaranteed Party to make any such demand, to pursue such other rights or remedies or to collect any payments from the Borrower and any other Guarantor or any other Person or to realize upon any such guarantee or to exercise any such right of offset, or any release of the Borrower and any other Guarantor or any other Person or any such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ectPr>
          <w:pgSz w:w="11900" w:h="16838" w:orient="portrait"/>
          <w:cols w:equalWidth="0" w:num="1">
            <w:col w:w="9019"/>
          </w:cols>
          <w:pgMar w:left="1440" w:top="928"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5" w:name="page216"/>
    <w:bookmarkEnd w:id="215"/>
    <w:p>
      <w:pPr>
        <w:jc w:val="both"/>
        <w:ind w:left="540" w:right="539" w:firstLine="725"/>
        <w:spacing w:after="0" w:line="259" w:lineRule="auto"/>
        <w:tabs>
          <w:tab w:leader="none" w:pos="183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No payment made by the Borrower, any of the other Guarantors, any other guarantor or any other Person or received or collected by any Guaranteed Party from the Borrower and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remain liable for the Obligations until the Discharge of the Obligations.</w:t>
      </w:r>
    </w:p>
    <w:p>
      <w:pPr>
        <w:spacing w:after="0" w:line="183" w:lineRule="exact"/>
        <w:rPr>
          <w:rFonts w:ascii="Arial" w:cs="Arial" w:eastAsia="Arial" w:hAnsi="Arial"/>
          <w:sz w:val="21"/>
          <w:szCs w:val="21"/>
          <w:color w:val="auto"/>
        </w:rPr>
      </w:pPr>
    </w:p>
    <w:p>
      <w:pPr>
        <w:jc w:val="both"/>
        <w:ind w:left="540" w:right="539" w:firstLine="725"/>
        <w:spacing w:after="0" w:line="247" w:lineRule="auto"/>
        <w:tabs>
          <w:tab w:leader="none" w:pos="183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each Guarantor agrees that its obligations under and in respect of the Obligations Guarantee contained in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IX</w:t>
      </w:r>
      <w:r>
        <w:rPr>
          <w:rFonts w:ascii="Arial" w:cs="Arial" w:eastAsia="Arial" w:hAnsi="Arial"/>
          <w:sz w:val="22"/>
          <w:szCs w:val="22"/>
          <w:color w:val="auto"/>
        </w:rPr>
        <w:t xml:space="preserve">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92" w:lineRule="exact"/>
        <w:rPr>
          <w:rFonts w:ascii="Arial" w:cs="Arial" w:eastAsia="Arial" w:hAnsi="Arial"/>
          <w:sz w:val="22"/>
          <w:szCs w:val="22"/>
          <w:color w:val="auto"/>
        </w:rPr>
      </w:pPr>
    </w:p>
    <w:p>
      <w:pPr>
        <w:jc w:val="both"/>
        <w:ind w:left="1180" w:right="539" w:firstLine="656"/>
        <w:spacing w:after="0" w:line="271" w:lineRule="auto"/>
        <w:tabs>
          <w:tab w:leader="none" w:pos="2476" w:val="left"/>
        </w:tabs>
        <w:numPr>
          <w:ilvl w:val="1"/>
          <w:numId w:val="188"/>
        </w:numPr>
        <w:rPr>
          <w:rFonts w:ascii="Arial" w:cs="Arial" w:eastAsia="Arial" w:hAnsi="Arial"/>
          <w:sz w:val="21"/>
          <w:szCs w:val="21"/>
          <w:color w:val="auto"/>
        </w:rPr>
      </w:pPr>
      <w:r>
        <w:rPr>
          <w:rFonts w:ascii="Arial" w:cs="Arial" w:eastAsia="Arial" w:hAnsi="Arial"/>
          <w:sz w:val="21"/>
          <w:szCs w:val="21"/>
          <w:color w:val="auto"/>
        </w:rPr>
        <w:t>the validity or enforceability of this Agreement or any other Loan Document, any of the Obligations or any guarantee or right of offset with respect thereto at any time or from time to time held by any Guaranteed Party;</w:t>
      </w:r>
    </w:p>
    <w:p>
      <w:pPr>
        <w:spacing w:after="0" w:line="167" w:lineRule="exact"/>
        <w:rPr>
          <w:rFonts w:ascii="Arial" w:cs="Arial" w:eastAsia="Arial" w:hAnsi="Arial"/>
          <w:sz w:val="21"/>
          <w:szCs w:val="21"/>
          <w:color w:val="auto"/>
        </w:rPr>
      </w:pPr>
    </w:p>
    <w:p>
      <w:pPr>
        <w:jc w:val="both"/>
        <w:ind w:left="1180" w:right="539" w:firstLine="656"/>
        <w:spacing w:after="0" w:line="271" w:lineRule="auto"/>
        <w:tabs>
          <w:tab w:leader="none" w:pos="2476" w:val="left"/>
        </w:tabs>
        <w:numPr>
          <w:ilvl w:val="1"/>
          <w:numId w:val="188"/>
        </w:numPr>
        <w:rPr>
          <w:rFonts w:ascii="Arial" w:cs="Arial" w:eastAsia="Arial" w:hAnsi="Arial"/>
          <w:sz w:val="21"/>
          <w:szCs w:val="21"/>
          <w:color w:val="auto"/>
        </w:rPr>
      </w:pPr>
      <w:r>
        <w:rPr>
          <w:rFonts w:ascii="Arial" w:cs="Arial" w:eastAsia="Arial" w:hAnsi="Arial"/>
          <w:sz w:val="21"/>
          <w:szCs w:val="21"/>
          <w:color w:val="auto"/>
        </w:rPr>
        <w:t>any renewal, extension or acceleration of, or any increase in the amount of, the Obligations, or any amendment, supplement, modification or waiver of, or any consent to departure from, the Loan Documents;</w:t>
      </w:r>
    </w:p>
    <w:p>
      <w:pPr>
        <w:spacing w:after="0" w:line="167" w:lineRule="exact"/>
        <w:rPr>
          <w:rFonts w:ascii="Arial" w:cs="Arial" w:eastAsia="Arial" w:hAnsi="Arial"/>
          <w:sz w:val="21"/>
          <w:szCs w:val="21"/>
          <w:color w:val="auto"/>
        </w:rPr>
      </w:pPr>
    </w:p>
    <w:p>
      <w:pPr>
        <w:jc w:val="both"/>
        <w:ind w:left="1180" w:right="539" w:firstLine="656"/>
        <w:spacing w:after="0" w:line="260" w:lineRule="auto"/>
        <w:tabs>
          <w:tab w:leader="none" w:pos="2476" w:val="left"/>
        </w:tabs>
        <w:numPr>
          <w:ilvl w:val="1"/>
          <w:numId w:val="188"/>
        </w:numPr>
        <w:rPr>
          <w:rFonts w:ascii="Arial" w:cs="Arial" w:eastAsia="Arial" w:hAnsi="Arial"/>
          <w:sz w:val="21"/>
          <w:szCs w:val="21"/>
          <w:color w:val="auto"/>
        </w:rPr>
      </w:pPr>
      <w:r>
        <w:rPr>
          <w:rFonts w:ascii="Arial" w:cs="Arial" w:eastAsia="Arial" w:hAnsi="Arial"/>
          <w:sz w:val="21"/>
          <w:szCs w:val="21"/>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Documents, at law, in equity or otherwise) with respect to the Obligations or any agreement relating thereto, or with respect to any other guaranty of or security for the payment of the Obligations;</w:t>
      </w:r>
    </w:p>
    <w:p>
      <w:pPr>
        <w:spacing w:after="0" w:line="180" w:lineRule="exact"/>
        <w:rPr>
          <w:rFonts w:ascii="Arial" w:cs="Arial" w:eastAsia="Arial" w:hAnsi="Arial"/>
          <w:sz w:val="21"/>
          <w:szCs w:val="21"/>
          <w:color w:val="auto"/>
        </w:rPr>
      </w:pPr>
    </w:p>
    <w:p>
      <w:pPr>
        <w:jc w:val="both"/>
        <w:ind w:left="1180" w:right="539" w:firstLine="656"/>
        <w:spacing w:after="0" w:line="253" w:lineRule="auto"/>
        <w:tabs>
          <w:tab w:leader="none" w:pos="247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change, reorganization or termination of the corporate structure or existence of any Loan Party or any Subsidiary of any Loan Party and any corresponding restructuring of the Obligations;</w:t>
      </w:r>
    </w:p>
    <w:p>
      <w:pPr>
        <w:spacing w:after="0" w:line="185" w:lineRule="exact"/>
        <w:rPr>
          <w:rFonts w:ascii="Arial" w:cs="Arial" w:eastAsia="Arial" w:hAnsi="Arial"/>
          <w:sz w:val="22"/>
          <w:szCs w:val="22"/>
          <w:color w:val="auto"/>
        </w:rPr>
      </w:pPr>
    </w:p>
    <w:p>
      <w:pPr>
        <w:jc w:val="both"/>
        <w:ind w:left="1180" w:right="539" w:firstLine="656"/>
        <w:spacing w:after="0" w:line="250" w:lineRule="auto"/>
        <w:tabs>
          <w:tab w:leader="none" w:pos="247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settlement, compromise, release, or discharge of, or acceptance or refusal of any offer of payment or performance with respect to, or any substitutions for, the Obligations or any subordination of the Obligations to any other obligations;</w:t>
      </w:r>
    </w:p>
    <w:p>
      <w:pPr>
        <w:spacing w:after="0" w:line="187" w:lineRule="exact"/>
        <w:rPr>
          <w:rFonts w:ascii="Arial" w:cs="Arial" w:eastAsia="Arial" w:hAnsi="Arial"/>
          <w:sz w:val="22"/>
          <w:szCs w:val="22"/>
          <w:color w:val="auto"/>
        </w:rPr>
      </w:pPr>
    </w:p>
    <w:p>
      <w:pPr>
        <w:ind w:left="1180" w:right="539" w:firstLine="656"/>
        <w:spacing w:after="0" w:line="263" w:lineRule="auto"/>
        <w:tabs>
          <w:tab w:leader="none" w:pos="247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Law of any jurisdiction or any other event affecting any term of an Obligation; and</w:t>
      </w:r>
    </w:p>
    <w:p>
      <w:pPr>
        <w:spacing w:after="0" w:line="174" w:lineRule="exact"/>
        <w:rPr>
          <w:rFonts w:ascii="Arial" w:cs="Arial" w:eastAsia="Arial" w:hAnsi="Arial"/>
          <w:sz w:val="22"/>
          <w:szCs w:val="22"/>
          <w:color w:val="auto"/>
        </w:rPr>
      </w:pPr>
    </w:p>
    <w:p>
      <w:pPr>
        <w:jc w:val="both"/>
        <w:ind w:left="1180" w:right="539" w:firstLine="656"/>
        <w:spacing w:after="0" w:line="248" w:lineRule="auto"/>
        <w:tabs>
          <w:tab w:leader="none" w:pos="247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 xml:space="preserve">any other circumstance whatsoever which may or might in any manner or to any extent vary the risk of any Guarantor as an obligor in respect of the Obligations or which constitutes, or might be construed to constitute, an equitable or legal discharge of any Guarantor for the Obligations, or of such Guarantor under this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ectPr>
          <w:pgSz w:w="11900" w:h="16838" w:orient="portrait"/>
          <w:cols w:equalWidth="0" w:num="1">
            <w:col w:w="9019"/>
          </w:cols>
          <w:pgMar w:left="1440" w:top="928"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6" w:name="page217"/>
    <w:bookmarkEnd w:id="216"/>
    <w:p>
      <w:pPr>
        <w:jc w:val="both"/>
        <w:ind w:left="540" w:right="539" w:firstLine="725"/>
        <w:spacing w:after="0" w:line="297" w:lineRule="auto"/>
        <w:tabs>
          <w:tab w:leader="none" w:pos="183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Guaranteed Party, including, without limitation, failure of consideration, breach of warranty, statute of frauds and statute of limitations.</w:t>
      </w:r>
    </w:p>
    <w:p>
      <w:pPr>
        <w:spacing w:after="0" w:line="147" w:lineRule="exact"/>
        <w:rPr>
          <w:sz w:val="20"/>
          <w:szCs w:val="20"/>
          <w:color w:val="auto"/>
        </w:rPr>
      </w:pPr>
    </w:p>
    <w:p>
      <w:pPr>
        <w:jc w:val="both"/>
        <w:ind w:left="540" w:right="539" w:firstLine="648"/>
        <w:spacing w:after="0" w:line="253"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Rights of Reimbursement, Contribution and Subrogation</w:t>
      </w:r>
      <w:r>
        <w:rPr>
          <w:rFonts w:ascii="Arial" w:cs="Arial" w:eastAsia="Arial" w:hAnsi="Arial"/>
          <w:sz w:val="22"/>
          <w:szCs w:val="22"/>
          <w:color w:val="auto"/>
        </w:rPr>
        <w:t>. In case any payment is made on account of the Obligations by any Guarantor or is received or collected on account of the Obligations from any Guarantor:</w:t>
      </w:r>
    </w:p>
    <w:p>
      <w:pPr>
        <w:spacing w:after="0" w:line="185" w:lineRule="exact"/>
        <w:rPr>
          <w:sz w:val="20"/>
          <w:szCs w:val="20"/>
          <w:color w:val="auto"/>
        </w:rPr>
      </w:pPr>
    </w:p>
    <w:p>
      <w:pPr>
        <w:jc w:val="both"/>
        <w:ind w:left="540" w:right="539" w:firstLine="725"/>
        <w:spacing w:after="0" w:line="257" w:lineRule="auto"/>
        <w:tabs>
          <w:tab w:leader="none" w:pos="1836"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If such payment is made by a Guarantor in respect of the Obligations of another Guarantor, such Guarantor shall be entitled, subject to and upon (but not before) a Discharge of the Obligations (and each Guarantor hereby waives its right to exercise such rights until a Discharge of the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w:t>
      </w:r>
    </w:p>
    <w:p>
      <w:pPr>
        <w:spacing w:after="0" w:line="186" w:lineRule="exact"/>
        <w:rPr>
          <w:rFonts w:ascii="Arial" w:cs="Arial" w:eastAsia="Arial" w:hAnsi="Arial"/>
          <w:sz w:val="21"/>
          <w:szCs w:val="21"/>
          <w:color w:val="auto"/>
        </w:rPr>
      </w:pPr>
    </w:p>
    <w:p>
      <w:pPr>
        <w:jc w:val="both"/>
        <w:ind w:left="540" w:right="539" w:firstLine="725"/>
        <w:spacing w:after="0" w:line="284" w:lineRule="auto"/>
        <w:tabs>
          <w:tab w:leader="none" w:pos="183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If and whenever any right of reimbursement or contribution becomes enforceable by any Guarantor against the Borrower or other Guarantor whether under </w:t>
      </w:r>
      <w:r>
        <w:rPr>
          <w:rFonts w:ascii="Arial" w:cs="Arial" w:eastAsia="Arial" w:hAnsi="Arial"/>
          <w:sz w:val="19"/>
          <w:szCs w:val="19"/>
          <w:u w:val="single" w:color="auto"/>
          <w:color w:val="auto"/>
        </w:rPr>
        <w:t>Section 9.04(a)</w:t>
      </w:r>
      <w:r>
        <w:rPr>
          <w:rFonts w:ascii="Arial" w:cs="Arial" w:eastAsia="Arial" w:hAnsi="Arial"/>
          <w:sz w:val="19"/>
          <w:szCs w:val="19"/>
          <w:color w:val="auto"/>
        </w:rPr>
        <w:t xml:space="preserve"> or otherwise, such Guarantor shall be entitled, subject to and upon (but not before) a Discharge of the Obligations (and each Guarantor hereby waives its right to subrogation until a Discharge of the Obligations), to be subrogated (equally and ratably with all other Guarantors entitled to reimbursement or contribution from any other Guarantor as set forth in this Section 9.04). Any right of subrogation of any Guarantor shall be enforceable solely after a Discharge of the Obligations and solely against the Borrower or the other Guarantors, and not against the Guaranteed Parties, and neither the Administrative Agent nor any other Guaranteed Party shall have any duty whatsoever to warrant, ensure or protect any such right of subrogation or to obtain, perfect, maintain, hold, enforce or retain any collateral securing or purporting to secure any of the Obligations for any purpose related to any such right of subrogation. Without limiting any other rights of contribution or subrogation then available to a Guarantor under applicable law, if subrogation is demanded by any Guarantor, then, after Discharge of the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Obligations that may then exist that was not previously released or disposed of or acquired by the Administrative Agent.</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7" w:name="page218"/>
    <w:bookmarkEnd w:id="217"/>
    <w:p>
      <w:pPr>
        <w:jc w:val="both"/>
        <w:ind w:left="540" w:right="539" w:firstLine="725"/>
        <w:spacing w:after="0" w:line="288" w:lineRule="auto"/>
        <w:tabs>
          <w:tab w:leader="none" w:pos="1836"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The obligations of the Guarantors under this Obligations Guarantee and the other Loan Documents, including their liability for the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otherwise. The invalidity, insufficiency, unenforceability or uncollectability of any such right shall not in any respect diminish, affect or impair any such obligation or any other claim, interest, right or remedy at any time held by any Guaranteed Party against any Guarantor. The Guaranteed Parties make no representations or warranties in respect of any such right and shall have no duty to assure, protect, enforce or ensure any such right or otherwise relating to any such right.</w:t>
      </w:r>
    </w:p>
    <w:p>
      <w:pPr>
        <w:spacing w:after="0" w:line="159" w:lineRule="exact"/>
        <w:rPr>
          <w:sz w:val="20"/>
          <w:szCs w:val="20"/>
          <w:color w:val="auto"/>
        </w:rPr>
      </w:pPr>
    </w:p>
    <w:p>
      <w:pPr>
        <w:jc w:val="both"/>
        <w:ind w:left="540" w:right="559" w:firstLine="648"/>
        <w:spacing w:after="0" w:line="265"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Payments</w:t>
      </w:r>
      <w:r>
        <w:rPr>
          <w:rFonts w:ascii="Arial" w:cs="Arial" w:eastAsia="Arial" w:hAnsi="Arial"/>
          <w:sz w:val="21"/>
          <w:szCs w:val="21"/>
          <w:color w:val="auto"/>
        </w:rPr>
        <w:t>. Each Guarantor hereby guarantees that payments hereunder will be paid to the Administrative Agent, for the account of the applicable Guaranteed Parties to which such payment is owed, to such account as may be specified by the Administrative Agent, in US Dollars and in Same Day Funds.</w:t>
      </w:r>
    </w:p>
    <w:p>
      <w:pPr>
        <w:spacing w:after="0" w:line="175"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Subordination of Other Obligations</w:t>
      </w:r>
      <w:r>
        <w:rPr>
          <w:rFonts w:ascii="Arial" w:cs="Arial" w:eastAsia="Arial" w:hAnsi="Arial"/>
          <w:sz w:val="19"/>
          <w:szCs w:val="19"/>
          <w:color w:val="auto"/>
        </w:rPr>
        <w:t>. If the Administrative Agent so requests while an Event of Default is then continuing, then the payment of all obligations and Indebtedness of the Borrower or any other Guarantor owing to such Guarantor, whether now existing or hereafter arising, including but not limited to any such obligation to such Guarantor as subrogee of the Guaranteed Parties or resulting from such Guarantor’s performance under this Obligations Guarantee, shall be subrogated to the indefeasible payment in full in cash of all Obligations. If the Administrative Agent so requests, any such obligation or Indebtedness of the Borrower or any other Guarantor to such Guarantor shall be enforced and performance received by such Guarantor as trustee for the Guaranteed Parties and the proceeds thereof shall be paid over to the Administrative Agent on account of the Obligations, but without reducing or affecting in any manner the liability of such Guarantor under this Obligations Guarantee.</w:t>
      </w:r>
    </w:p>
    <w:p>
      <w:pPr>
        <w:spacing w:after="0" w:line="159" w:lineRule="exact"/>
        <w:rPr>
          <w:sz w:val="20"/>
          <w:szCs w:val="20"/>
          <w:color w:val="auto"/>
        </w:rPr>
      </w:pPr>
    </w:p>
    <w:p>
      <w:pPr>
        <w:jc w:val="both"/>
        <w:ind w:left="540" w:right="559" w:firstLine="648"/>
        <w:spacing w:after="0" w:line="286"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Financial Condition of the Borrower and other Guarantors</w:t>
      </w:r>
      <w:r>
        <w:rPr>
          <w:rFonts w:ascii="Arial" w:cs="Arial" w:eastAsia="Arial" w:hAnsi="Arial"/>
          <w:sz w:val="19"/>
          <w:szCs w:val="19"/>
          <w:color w:val="auto"/>
        </w:rPr>
        <w:t>. Any extension of credit may be made to the Borrower or continued from time to time, without notice to or authorization from any Guarantor regardless of the financial or other condition of the Borrower or any other Guarantor at the time of any such grant or continuation. No Guaranteed Party shall have any obligation to disclose or discuss with any Guarantor its assessment, or any Guarantor’s assessment, of the financial condition of the Borrower or any other Guarantor. Each Guarantor has adequate means to obtain information from the Borrower and each other Guarantor on a continuing basis concerning the financial condition of the Borrower and each other Guarantor and its ability to perform its obligations under the Loan Documents, and each Guarantor assumes the responsibility for being and keeping informed of the financial condition of the Borrower and each other Loan Party and each other Guarantor and of all circumstances bearing upon the risk of nonpayment of the Obligations. Each Guarantor hereby waives and relinquishes any duty on the part of any Guaranteed Party to disclose any matter, fact or thing relating to the business, operations or condition of the Borrower or any other Guarantor now known or hereafter known by any Guaranteed Party.</w:t>
      </w:r>
    </w:p>
    <w:p>
      <w:pPr>
        <w:spacing w:after="0" w:line="200" w:lineRule="exact"/>
        <w:rPr>
          <w:sz w:val="20"/>
          <w:szCs w:val="20"/>
          <w:color w:val="auto"/>
        </w:rPr>
      </w:pPr>
    </w:p>
    <w:p>
      <w:pPr>
        <w:spacing w:after="0" w:line="215" w:lineRule="exact"/>
        <w:rPr>
          <w:sz w:val="20"/>
          <w:szCs w:val="20"/>
          <w:color w:val="auto"/>
        </w:rPr>
      </w:pPr>
    </w:p>
    <w:p>
      <w:pPr>
        <w:jc w:val="both"/>
        <w:ind w:left="540" w:right="559" w:firstLine="648"/>
        <w:spacing w:after="0" w:line="343"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Bankruptcy, Etc</w:t>
      </w:r>
      <w:r>
        <w:rPr>
          <w:rFonts w:ascii="Arial" w:cs="Arial" w:eastAsia="Arial" w:hAnsi="Arial"/>
          <w:sz w:val="19"/>
          <w:szCs w:val="19"/>
          <w:color w:val="auto"/>
        </w:rPr>
        <w:t>. Until a Discharge of the Obligations, no Guarantor shall, without the prior written consent of the Administrative Agent, commence</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8" w:name="page219"/>
    <w:bookmarkEnd w:id="218"/>
    <w:p>
      <w:pPr>
        <w:jc w:val="both"/>
        <w:ind w:left="540" w:right="479"/>
        <w:spacing w:after="0" w:line="257" w:lineRule="auto"/>
        <w:rPr>
          <w:sz w:val="20"/>
          <w:szCs w:val="20"/>
          <w:color w:val="auto"/>
        </w:rPr>
      </w:pPr>
      <w:r>
        <w:rPr>
          <w:rFonts w:ascii="Arial" w:cs="Arial" w:eastAsia="Arial" w:hAnsi="Arial"/>
          <w:sz w:val="21"/>
          <w:szCs w:val="21"/>
          <w:color w:val="auto"/>
        </w:rPr>
        <w:t>or join with any other Person in commencing any proceeding under any Debtor Relief Law against the Borrower or any other Guarantor. The obligations of the Guarantors hereunder shall not be reduced, limited, impaired, discharged, deferred, suspended or terminated by any case or proceeding under any Debtor Relief Law, voluntary or involuntary, involving the Borrower or any other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Obligations accruing or arising after the date on which such case or proceeding is commenced.</w:t>
      </w:r>
    </w:p>
    <w:p>
      <w:pPr>
        <w:spacing w:after="0" w:line="191" w:lineRule="exact"/>
        <w:rPr>
          <w:sz w:val="20"/>
          <w:szCs w:val="20"/>
          <w:color w:val="auto"/>
        </w:rPr>
      </w:pPr>
    </w:p>
    <w:p>
      <w:pPr>
        <w:jc w:val="both"/>
        <w:ind w:left="540" w:right="559" w:firstLine="648"/>
        <w:spacing w:after="0" w:line="253" w:lineRule="auto"/>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Duration of Guarantee</w:t>
      </w:r>
      <w:r>
        <w:rPr>
          <w:rFonts w:ascii="Arial" w:cs="Arial" w:eastAsia="Arial" w:hAnsi="Arial"/>
          <w:sz w:val="22"/>
          <w:szCs w:val="22"/>
          <w:color w:val="auto"/>
        </w:rPr>
        <w:t xml:space="preserve">. The Obligations Guarantee contained in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shall remain in full force and effect until the Discharge of the Obligations.</w:t>
      </w:r>
    </w:p>
    <w:p>
      <w:pPr>
        <w:spacing w:after="0" w:line="185" w:lineRule="exact"/>
        <w:rPr>
          <w:sz w:val="20"/>
          <w:szCs w:val="20"/>
          <w:color w:val="auto"/>
        </w:rPr>
      </w:pPr>
    </w:p>
    <w:p>
      <w:pPr>
        <w:jc w:val="both"/>
        <w:ind w:left="540" w:right="559" w:firstLine="648"/>
        <w:spacing w:after="0" w:line="285"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Reinstatement</w:t>
      </w:r>
      <w:r>
        <w:rPr>
          <w:rFonts w:ascii="Arial" w:cs="Arial" w:eastAsia="Arial" w:hAnsi="Arial"/>
          <w:sz w:val="19"/>
          <w:szCs w:val="19"/>
          <w:color w:val="auto"/>
        </w:rPr>
        <w:t>. If at any time payment of any of the Obligations or any portion thereof is rescinded, disgorged or must otherwise be restored or returned by any Guaranteed Party upon the insolvency, bankruptcy, dissolution, liquidation, examinership or reorganization of the Borrower or any Guarantor, or upon or as a result of the appointment of a receiver, intervenor or conservator of, or trustee or similar officer for, the Borrower or any other Guarantor or any substantial part of its property, or otherwise, or if any Guaranteed Party repays, restores, or returns, in whole or in part, any payment or property previously paid or transferred to the Guaranteed Party in full or partial satisfaction of any Obligation, because the payment or transfer or the incurrence of the obligation is so satisfied, is declared to be void, voidable, or otherwise recoverable under any state or federal law (collectively, a “</w:t>
      </w:r>
      <w:r>
        <w:rPr>
          <w:rFonts w:ascii="Arial" w:cs="Arial" w:eastAsia="Arial" w:hAnsi="Arial"/>
          <w:sz w:val="19"/>
          <w:szCs w:val="19"/>
          <w:u w:val="single" w:color="auto"/>
          <w:color w:val="auto"/>
        </w:rPr>
        <w:t>Voidable Transfer</w:t>
      </w:r>
      <w:r>
        <w:rPr>
          <w:rFonts w:ascii="Arial" w:cs="Arial" w:eastAsia="Arial" w:hAnsi="Arial"/>
          <w:sz w:val="19"/>
          <w:szCs w:val="19"/>
          <w:color w:val="auto"/>
        </w:rPr>
        <w:t xml:space="preserve">”), or because such Guaranteed Party elects to do so on the reasonable advice of its counsel in connection with an assertion that the payment, transfer, or incurrence is a Voidable Transfer, then, as to any such Voidable Transfer, and, subject to </w:t>
      </w:r>
      <w:r>
        <w:rPr>
          <w:rFonts w:ascii="Arial" w:cs="Arial" w:eastAsia="Arial" w:hAnsi="Arial"/>
          <w:sz w:val="19"/>
          <w:szCs w:val="19"/>
          <w:u w:val="single" w:color="auto"/>
          <w:color w:val="auto"/>
        </w:rPr>
        <w:t>Section 11.04</w:t>
      </w:r>
      <w:r>
        <w:rPr>
          <w:rFonts w:ascii="Arial" w:cs="Arial" w:eastAsia="Arial" w:hAnsi="Arial"/>
          <w:sz w:val="19"/>
          <w:szCs w:val="19"/>
          <w:color w:val="auto"/>
        </w:rPr>
        <w:t>, as to all reasonable costs, expenses and attorney’s fees of the Guaranteed Party related thereto, the liability of each Guarantor hereunder will automatically and immediately be revived, reinstated, and restored and will exist as though the Voidable Transfer had never been made.</w:t>
      </w:r>
    </w:p>
    <w:p>
      <w:pPr>
        <w:spacing w:after="0" w:line="166"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Additional Guarantors</w:t>
      </w:r>
      <w:r>
        <w:rPr>
          <w:rFonts w:ascii="Arial" w:cs="Arial" w:eastAsia="Arial" w:hAnsi="Arial"/>
          <w:sz w:val="19"/>
          <w:szCs w:val="19"/>
          <w:color w:val="auto"/>
        </w:rPr>
        <w:t xml:space="preserve">. (i) As promptly as possible but in any event within forty-five (45) days (or such later date as may be agreed upon by the Administrative Agent) after any Person becomes a Material Subsidiary, (ii) as promptly as possible but in any event within forty-five (45) days (or such later date as may be agreed upon by the Administrative Agent) after the end of the calendar quarter during which any Subsidiary so qualifies as a Material Subsidiary pursuant to the definition of “Material Subsidiary” or (iii) at the time that Borrower either elects to cause any of its Subsidiaries to become a Guarantor or is required to cause any of its Subsidiaries to become a Guarantor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Borrower shall deliver or shall cause the applicable Subsidiary to deliver, as the case may be, to the Administrative Agent (a) a duly executed Guarantor Counterpart pursuant to which Borrower or such Subsidiary, as the case may be, agrees to be bound by the terms and provisions of the Obligations Guarantee and such Guarantor</w:t>
      </w:r>
    </w:p>
    <w:p>
      <w:pPr>
        <w:sectPr>
          <w:pgSz w:w="11900" w:h="16838" w:orient="portrait"/>
          <w:cols w:equalWidth="0" w:num="1">
            <w:col w:w="9019"/>
          </w:cols>
          <w:pgMar w:left="1440" w:top="928"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19" w:name="page220"/>
    <w:bookmarkEnd w:id="219"/>
    <w:p>
      <w:pPr>
        <w:ind w:left="540" w:right="479"/>
        <w:spacing w:after="0" w:line="263" w:lineRule="auto"/>
        <w:rPr>
          <w:sz w:val="20"/>
          <w:szCs w:val="20"/>
          <w:color w:val="auto"/>
        </w:rPr>
      </w:pPr>
      <w:r>
        <w:rPr>
          <w:rFonts w:ascii="Arial" w:cs="Arial" w:eastAsia="Arial" w:hAnsi="Arial"/>
          <w:sz w:val="22"/>
          <w:szCs w:val="22"/>
          <w:color w:val="auto"/>
        </w:rPr>
        <w:t xml:space="preserve">Counterpart and (b) the documents and opinions of the types referred to in </w:t>
      </w:r>
      <w:r>
        <w:rPr>
          <w:rFonts w:ascii="Arial" w:cs="Arial" w:eastAsia="Arial" w:hAnsi="Arial"/>
          <w:sz w:val="22"/>
          <w:szCs w:val="22"/>
          <w:u w:val="single" w:color="auto"/>
          <w:color w:val="auto"/>
        </w:rPr>
        <w:t>Sections 4.01(b)</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4.01(b)(iii)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4.01(d)</w:t>
      </w:r>
      <w:r>
        <w:rPr>
          <w:rFonts w:ascii="Arial" w:cs="Arial" w:eastAsia="Arial" w:hAnsi="Arial"/>
          <w:sz w:val="22"/>
          <w:szCs w:val="22"/>
          <w:color w:val="auto"/>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Administrative Agent</w:t>
      </w:r>
    </w:p>
    <w:p>
      <w:pPr>
        <w:spacing w:after="0" w:line="202"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Authorization and Action</w:t>
      </w:r>
      <w:r>
        <w:rPr>
          <w:rFonts w:ascii="Arial" w:cs="Arial" w:eastAsia="Arial" w:hAnsi="Arial"/>
          <w:sz w:val="19"/>
          <w:szCs w:val="19"/>
          <w:color w:val="auto"/>
        </w:rPr>
        <w:t>. (a)Each Lender and each L/C Issuer hereby irrevocably appoints the entity named as Administrative Agent in the heading of this Agreement and its successors and assigns to serve as the administrative agent under the Loan Documents and each Lender and each L/C Issuer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L/C Issuer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200" w:lineRule="exact"/>
        <w:rPr>
          <w:sz w:val="20"/>
          <w:szCs w:val="20"/>
          <w:color w:val="auto"/>
        </w:rPr>
      </w:pPr>
    </w:p>
    <w:p>
      <w:pPr>
        <w:spacing w:after="0" w:line="220" w:lineRule="exact"/>
        <w:rPr>
          <w:sz w:val="20"/>
          <w:szCs w:val="20"/>
          <w:color w:val="auto"/>
        </w:rPr>
      </w:pPr>
    </w:p>
    <w:p>
      <w:pPr>
        <w:jc w:val="both"/>
        <w:ind w:left="540" w:right="539" w:firstLine="725"/>
        <w:spacing w:after="0" w:line="284" w:lineRule="auto"/>
        <w:tabs>
          <w:tab w:leader="none" w:pos="183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left="540" w:right="539" w:firstLine="725"/>
        <w:spacing w:after="0" w:line="343" w:lineRule="auto"/>
        <w:tabs>
          <w:tab w:leader="none" w:pos="183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In performing its functions and duties hereunder and under the other Loan Documents, the Administrative Agent is acting solely on behalf of the Lenders and the L/C</w:t>
      </w:r>
    </w:p>
    <w:p>
      <w:pPr>
        <w:sectPr>
          <w:pgSz w:w="11900" w:h="16838" w:orient="portrait"/>
          <w:cols w:equalWidth="0" w:num="1">
            <w:col w:w="9019"/>
          </w:cols>
          <w:pgMar w:left="1440" w:top="928" w:right="1440"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0" w:name="page221"/>
    <w:bookmarkEnd w:id="220"/>
    <w:p>
      <w:pPr>
        <w:jc w:val="both"/>
        <w:ind w:left="540" w:right="539"/>
        <w:spacing w:after="0" w:line="253" w:lineRule="auto"/>
        <w:rPr>
          <w:sz w:val="20"/>
          <w:szCs w:val="20"/>
          <w:color w:val="auto"/>
        </w:rPr>
      </w:pPr>
      <w:r>
        <w:rPr>
          <w:rFonts w:ascii="Arial" w:cs="Arial" w:eastAsia="Arial" w:hAnsi="Arial"/>
          <w:sz w:val="22"/>
          <w:szCs w:val="22"/>
          <w:color w:val="auto"/>
        </w:rPr>
        <w:t>Issuers (except in limited circumstances expressly provided for herein relating to the maintenance of the Register), and its duties are entirely mechanical and administrative in nature. Without limiting the generality of the foregoing:</w:t>
      </w:r>
    </w:p>
    <w:p>
      <w:pPr>
        <w:spacing w:after="0" w:line="185" w:lineRule="exact"/>
        <w:rPr>
          <w:sz w:val="20"/>
          <w:szCs w:val="20"/>
          <w:color w:val="auto"/>
        </w:rPr>
      </w:pPr>
    </w:p>
    <w:p>
      <w:pPr>
        <w:jc w:val="both"/>
        <w:ind w:left="1180" w:right="539" w:firstLine="656"/>
        <w:spacing w:after="0" w:line="286" w:lineRule="auto"/>
        <w:tabs>
          <w:tab w:leader="none" w:pos="2476"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or L/C Issuer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1180" w:right="539" w:firstLine="656"/>
        <w:spacing w:after="0" w:line="271" w:lineRule="auto"/>
        <w:tabs>
          <w:tab w:leader="none" w:pos="2476" w:val="left"/>
        </w:tabs>
        <w:numPr>
          <w:ilvl w:val="1"/>
          <w:numId w:val="193"/>
        </w:numPr>
        <w:rPr>
          <w:rFonts w:ascii="Arial" w:cs="Arial" w:eastAsia="Arial" w:hAnsi="Arial"/>
          <w:sz w:val="21"/>
          <w:szCs w:val="21"/>
          <w:color w:val="auto"/>
        </w:rPr>
      </w:pPr>
      <w:r>
        <w:rPr>
          <w:rFonts w:ascii="Arial" w:cs="Arial" w:eastAsia="Arial" w:hAnsi="Arial"/>
          <w:sz w:val="21"/>
          <w:szCs w:val="21"/>
          <w:color w:val="auto"/>
        </w:rPr>
        <w:t>nothing in this Agreement or any Loan Document shall require the Administrative Agent to account to any Lender for any sum or the profit element of any sum received by the Administrative Agent for its own account;</w:t>
      </w:r>
    </w:p>
    <w:p>
      <w:pPr>
        <w:spacing w:after="0" w:line="167" w:lineRule="exact"/>
        <w:rPr>
          <w:rFonts w:ascii="Arial" w:cs="Arial" w:eastAsia="Arial" w:hAnsi="Arial"/>
          <w:sz w:val="21"/>
          <w:szCs w:val="21"/>
          <w:color w:val="auto"/>
        </w:rPr>
      </w:pPr>
    </w:p>
    <w:p>
      <w:pPr>
        <w:jc w:val="both"/>
        <w:ind w:left="540" w:right="539" w:firstLine="725"/>
        <w:spacing w:after="0" w:line="287" w:lineRule="auto"/>
        <w:tabs>
          <w:tab w:leader="none" w:pos="183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3" w:lineRule="exact"/>
        <w:rPr>
          <w:rFonts w:ascii="Arial" w:cs="Arial" w:eastAsia="Arial" w:hAnsi="Arial"/>
          <w:sz w:val="19"/>
          <w:szCs w:val="19"/>
          <w:color w:val="auto"/>
        </w:rPr>
      </w:pPr>
    </w:p>
    <w:p>
      <w:pPr>
        <w:jc w:val="both"/>
        <w:ind w:left="540" w:right="539" w:firstLine="725"/>
        <w:spacing w:after="0" w:line="265" w:lineRule="auto"/>
        <w:tabs>
          <w:tab w:leader="none" w:pos="183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None of any Co-Syndication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5" w:lineRule="exact"/>
        <w:rPr>
          <w:rFonts w:ascii="Arial" w:cs="Arial" w:eastAsia="Arial" w:hAnsi="Arial"/>
          <w:sz w:val="21"/>
          <w:szCs w:val="21"/>
          <w:color w:val="auto"/>
        </w:rPr>
      </w:pPr>
    </w:p>
    <w:p>
      <w:pPr>
        <w:jc w:val="both"/>
        <w:ind w:left="540" w:right="539" w:firstLine="725"/>
        <w:spacing w:after="0" w:line="292" w:lineRule="auto"/>
        <w:tabs>
          <w:tab w:leader="none" w:pos="183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Obligation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21" w:name="page222"/>
    <w:bookmarkEnd w:id="221"/>
    <w:p>
      <w:pPr>
        <w:jc w:val="both"/>
        <w:ind w:left="1180" w:right="539" w:firstLine="656"/>
        <w:spacing w:after="0" w:line="294" w:lineRule="auto"/>
        <w:tabs>
          <w:tab w:leader="none" w:pos="247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L/C Issuers and the Administrative Agent (including any claim under Sections 2.08, 2.09, 3.01, 3.04 or 11.04) allowed in such judicial proceeding; and</w:t>
      </w:r>
    </w:p>
    <w:p>
      <w:pPr>
        <w:spacing w:after="0" w:line="149" w:lineRule="exact"/>
        <w:rPr>
          <w:rFonts w:ascii="Arial" w:cs="Arial" w:eastAsia="Arial" w:hAnsi="Arial"/>
          <w:sz w:val="19"/>
          <w:szCs w:val="19"/>
          <w:color w:val="auto"/>
        </w:rPr>
      </w:pPr>
    </w:p>
    <w:p>
      <w:pPr>
        <w:ind w:left="1180" w:right="559" w:firstLine="656"/>
        <w:spacing w:after="0" w:line="263" w:lineRule="auto"/>
        <w:tabs>
          <w:tab w:leader="none" w:pos="247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75" w:lineRule="exact"/>
        <w:rPr>
          <w:sz w:val="20"/>
          <w:szCs w:val="20"/>
          <w:color w:val="auto"/>
        </w:rPr>
      </w:pPr>
    </w:p>
    <w:p>
      <w:pPr>
        <w:jc w:val="both"/>
        <w:ind w:left="540" w:right="499"/>
        <w:spacing w:after="0" w:line="285"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proceeding is hereby authorized by each Lender, each L/C Issuer to make such payments to the Administrative Agent and, in the event that the Administrative Agent shall consent to the making of such payments directly to the Lenders or the L/C Issuers, to pay to the Administrative Agent any amount due to it, in its capacity as the Administrative Agent, under the Loan Documents (including under Section 11.04).</w:t>
      </w:r>
    </w:p>
    <w:p>
      <w:pPr>
        <w:jc w:val="both"/>
        <w:ind w:left="540" w:right="499" w:firstLine="115"/>
        <w:spacing w:after="0" w:line="292"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51" w:lineRule="exact"/>
        <w:rPr>
          <w:sz w:val="20"/>
          <w:szCs w:val="20"/>
          <w:color w:val="auto"/>
        </w:rPr>
      </w:pPr>
    </w:p>
    <w:p>
      <w:pPr>
        <w:jc w:val="both"/>
        <w:ind w:left="540" w:right="539" w:firstLine="725"/>
        <w:spacing w:after="0" w:line="260" w:lineRule="auto"/>
        <w:tabs>
          <w:tab w:leader="none" w:pos="1836"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The provisions of this Article are solely for the benefit of the Administrative Agent, the Lenders and the L/C Issuers,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party that is a holder of Obligations, whether or not a party hereto, will be deemed to have agreed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w:t>
      </w:r>
    </w:p>
    <w:p>
      <w:pPr>
        <w:spacing w:after="0" w:line="180"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Administrative Agent’s Reliance, Limitation of Liability, Etc</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both"/>
        <w:ind w:left="540" w:right="499" w:firstLine="648"/>
        <w:spacing w:after="0" w:line="286" w:lineRule="auto"/>
        <w:rPr>
          <w:sz w:val="20"/>
          <w:szCs w:val="20"/>
          <w:color w:val="auto"/>
        </w:rPr>
      </w:pPr>
      <w:r>
        <w:rPr>
          <w:rFonts w:ascii="Arial" w:cs="Arial" w:eastAsia="Arial" w:hAnsi="Arial"/>
          <w:sz w:val="19"/>
          <w:szCs w:val="19"/>
          <w:color w:val="auto"/>
        </w:rPr>
        <w:t>(a)Neither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22" w:name="page223"/>
    <w:bookmarkEnd w:id="222"/>
    <w:p>
      <w:pPr>
        <w:jc w:val="both"/>
        <w:ind w:left="540" w:right="499"/>
        <w:spacing w:after="0" w:line="250" w:lineRule="auto"/>
        <w:rPr>
          <w:sz w:val="20"/>
          <w:szCs w:val="20"/>
          <w:color w:val="auto"/>
        </w:rPr>
      </w:pPr>
      <w:r>
        <w:rPr>
          <w:rFonts w:ascii="Arial" w:cs="Arial" w:eastAsia="Arial" w:hAnsi="Arial"/>
          <w:sz w:val="22"/>
          <w:szCs w:val="22"/>
          <w:color w:val="auto"/>
        </w:rPr>
        <w:t>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88" w:lineRule="exact"/>
        <w:rPr>
          <w:sz w:val="20"/>
          <w:szCs w:val="20"/>
          <w:color w:val="auto"/>
        </w:rPr>
      </w:pPr>
    </w:p>
    <w:p>
      <w:pPr>
        <w:jc w:val="both"/>
        <w:ind w:left="540" w:right="539" w:firstLine="725"/>
        <w:spacing w:after="0" w:line="285" w:lineRule="auto"/>
        <w:tabs>
          <w:tab w:leader="none" w:pos="183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Administrative Agent shall be deemed not to have knowledge of any (i) notice of any of the events or circumstances set forth or described in Section 6.02(c)unless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L/C Issuer.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or (E)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59" w:lineRule="exact"/>
        <w:rPr>
          <w:rFonts w:ascii="Arial" w:cs="Arial" w:eastAsia="Arial" w:hAnsi="Arial"/>
          <w:sz w:val="19"/>
          <w:szCs w:val="19"/>
          <w:color w:val="auto"/>
        </w:rPr>
      </w:pPr>
    </w:p>
    <w:p>
      <w:pPr>
        <w:jc w:val="both"/>
        <w:ind w:left="540" w:right="539" w:firstLine="725"/>
        <w:spacing w:after="0" w:line="284" w:lineRule="auto"/>
        <w:tabs>
          <w:tab w:leader="none" w:pos="183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Without limiting the foregoing, the Administrative Agent (i) may treat the payee of any promissory note as its holder until such promissory note has been assigned in accordance with Section 11.06, (ii) may rely on the Register to the extent set forth in Section 11.06(d),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(vi) makes no warranty or representation to any Lender or L/C Issuer and shall not be responsible to any Lender or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3" w:name="page224"/>
    <w:bookmarkEnd w:id="223"/>
    <w:p>
      <w:pPr>
        <w:jc w:val="both"/>
        <w:ind w:left="540" w:right="559" w:firstLine="648"/>
        <w:spacing w:after="0" w:line="247"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Posting of Communications</w:t>
      </w:r>
      <w:r>
        <w:rPr>
          <w:rFonts w:ascii="Arial" w:cs="Arial" w:eastAsia="Arial" w:hAnsi="Arial"/>
          <w:sz w:val="22"/>
          <w:szCs w:val="22"/>
          <w:color w:val="auto"/>
        </w:rPr>
        <w:t>. (a)The Borrower agrees that the Administrative Agent may, but shall not be obligated to, make any Communications available to the Lenders and the L/C Issuers by posting the Communications on IntraLinks™, DebtDomain, SyndTrak, ClearPar or any other electronic platform chosen by the Administrative Agent to be its electronic transmission system (the “</w:t>
      </w:r>
      <w:r>
        <w:rPr>
          <w:rFonts w:ascii="Arial" w:cs="Arial" w:eastAsia="Arial" w:hAnsi="Arial"/>
          <w:sz w:val="22"/>
          <w:szCs w:val="22"/>
          <w:u w:val="single" w:color="auto"/>
          <w:color w:val="auto"/>
        </w:rPr>
        <w:t>Approved</w:t>
      </w:r>
      <w:r>
        <w:rPr>
          <w:rFonts w:ascii="Arial" w:cs="Arial" w:eastAsia="Arial" w:hAnsi="Arial"/>
          <w:sz w:val="22"/>
          <w:szCs w:val="22"/>
          <w:color w:val="auto"/>
        </w:rPr>
        <w:t xml:space="preserve"> </w:t>
      </w:r>
      <w:r>
        <w:rPr>
          <w:rFonts w:ascii="Arial" w:cs="Arial" w:eastAsia="Arial" w:hAnsi="Arial"/>
          <w:sz w:val="22"/>
          <w:szCs w:val="22"/>
          <w:u w:val="single" w:color="auto"/>
          <w:color w:val="auto"/>
        </w:rPr>
        <w:t>Electronic Platform</w:t>
      </w:r>
      <w:r>
        <w:rPr>
          <w:rFonts w:ascii="Arial" w:cs="Arial" w:eastAsia="Arial" w:hAnsi="Arial"/>
          <w:sz w:val="22"/>
          <w:szCs w:val="22"/>
          <w:color w:val="auto"/>
        </w:rPr>
        <w:t>”).</w:t>
      </w:r>
    </w:p>
    <w:p>
      <w:pPr>
        <w:spacing w:after="0" w:line="193" w:lineRule="exact"/>
        <w:rPr>
          <w:sz w:val="20"/>
          <w:szCs w:val="20"/>
          <w:color w:val="auto"/>
        </w:rPr>
      </w:pPr>
    </w:p>
    <w:p>
      <w:pPr>
        <w:jc w:val="both"/>
        <w:ind w:left="540" w:right="539" w:firstLine="725"/>
        <w:spacing w:after="0" w:line="286" w:lineRule="auto"/>
        <w:tabs>
          <w:tab w:leader="none" w:pos="183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L/C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L/C Issuers and the Borrower hereby approves distribution of the Communications through the Approved Electronic Platform and understands and assumes the risks of such distribution.</w:t>
      </w:r>
    </w:p>
    <w:p>
      <w:pPr>
        <w:spacing w:after="0" w:line="165" w:lineRule="exact"/>
        <w:rPr>
          <w:rFonts w:ascii="Arial" w:cs="Arial" w:eastAsia="Arial" w:hAnsi="Arial"/>
          <w:sz w:val="19"/>
          <w:szCs w:val="19"/>
          <w:color w:val="auto"/>
        </w:rPr>
      </w:pPr>
    </w:p>
    <w:p>
      <w:pPr>
        <w:jc w:val="both"/>
        <w:ind w:left="540" w:right="539" w:firstLine="725"/>
        <w:spacing w:after="0" w:line="256" w:lineRule="auto"/>
        <w:tabs>
          <w:tab w:leader="none" w:pos="1836"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OR ANY OF THEIR RESPECTIVE RELATED PARTIES (COLLECTIVELY, “</w:t>
      </w:r>
      <w:r>
        <w:rPr>
          <w:rFonts w:ascii="Arial" w:cs="Arial" w:eastAsia="Arial" w:hAnsi="Arial"/>
          <w:sz w:val="21"/>
          <w:szCs w:val="21"/>
          <w:u w:val="single" w:color="auto"/>
          <w:color w:val="auto"/>
        </w:rPr>
        <w:t>APPLICABLE PARTIES</w:t>
      </w:r>
      <w:r>
        <w:rPr>
          <w:rFonts w:ascii="Arial" w:cs="Arial" w:eastAsia="Arial" w:hAnsi="Arial"/>
          <w:sz w:val="21"/>
          <w:szCs w:val="21"/>
          <w:color w:val="auto"/>
        </w:rPr>
        <w:t>”) HAVE ANY LIABILITY TO ANY LOAN PARTY, ANY LENDER, ANY L/C ISSUER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92" w:lineRule="exact"/>
        <w:rPr>
          <w:rFonts w:ascii="Arial" w:cs="Arial" w:eastAsia="Arial" w:hAnsi="Arial"/>
          <w:sz w:val="21"/>
          <w:szCs w:val="21"/>
          <w:color w:val="auto"/>
        </w:rPr>
      </w:pPr>
    </w:p>
    <w:p>
      <w:pPr>
        <w:jc w:val="both"/>
        <w:ind w:left="540" w:right="539" w:firstLine="725"/>
        <w:spacing w:after="0" w:line="302" w:lineRule="auto"/>
        <w:tabs>
          <w:tab w:leader="none" w:pos="183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Lender and each L/C Issuer agrees that notice to it (as provided in the next sentence) specifying that Communications have been posted to the Approved Electronic Platform shall constitute effective delivery of the Communications to such Lender for purposes of the Loan Documents. Each Lender and L/C Issuer agrees (i) to</w:t>
      </w:r>
    </w:p>
    <w:p>
      <w:pPr>
        <w:sectPr>
          <w:pgSz w:w="11900" w:h="16838" w:orient="portrait"/>
          <w:cols w:equalWidth="0" w:num="1">
            <w:col w:w="9019"/>
          </w:cols>
          <w:pgMar w:left="1440" w:top="928" w:right="1440"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4" w:name="page225"/>
    <w:bookmarkEnd w:id="224"/>
    <w:p>
      <w:pPr>
        <w:jc w:val="both"/>
        <w:ind w:left="540" w:right="539"/>
        <w:spacing w:after="0" w:line="250" w:lineRule="auto"/>
        <w:rPr>
          <w:sz w:val="20"/>
          <w:szCs w:val="20"/>
          <w:color w:val="auto"/>
        </w:rPr>
      </w:pPr>
      <w:r>
        <w:rPr>
          <w:rFonts w:ascii="Arial" w:cs="Arial" w:eastAsia="Arial" w:hAnsi="Arial"/>
          <w:sz w:val="22"/>
          <w:szCs w:val="22"/>
          <w:color w:val="auto"/>
        </w:rPr>
        <w:t>notify the Administrative Agent in writing (which could be in the form of electronic communication) from time to time of such Lender’s or L/C Issuer’s (as applicable) email address to which the foregoing notice may be sent by electronic transmission and (ii) that the foregoing notice may be sent to such email address.</w:t>
      </w:r>
    </w:p>
    <w:p>
      <w:pPr>
        <w:spacing w:after="0" w:line="188" w:lineRule="exact"/>
        <w:rPr>
          <w:sz w:val="20"/>
          <w:szCs w:val="20"/>
          <w:color w:val="auto"/>
        </w:rPr>
      </w:pPr>
    </w:p>
    <w:p>
      <w:pPr>
        <w:jc w:val="both"/>
        <w:ind w:left="540" w:right="539" w:firstLine="725"/>
        <w:spacing w:after="0" w:line="248" w:lineRule="auto"/>
        <w:tabs>
          <w:tab w:leader="none" w:pos="183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Each of the Lenders, each of the L/C Issuers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91" w:lineRule="exact"/>
        <w:rPr>
          <w:rFonts w:ascii="Arial" w:cs="Arial" w:eastAsia="Arial" w:hAnsi="Arial"/>
          <w:sz w:val="22"/>
          <w:szCs w:val="22"/>
          <w:color w:val="auto"/>
        </w:rPr>
      </w:pPr>
    </w:p>
    <w:p>
      <w:pPr>
        <w:jc w:val="both"/>
        <w:ind w:left="540" w:right="539" w:firstLine="725"/>
        <w:spacing w:after="0" w:line="253" w:lineRule="auto"/>
        <w:tabs>
          <w:tab w:leader="none" w:pos="183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Nothing herein shall prejudice the right of the Administrative Agent, any Lender or any L/C Issuer to give any notice or other communication pursuant to any Loan Document in any other manner specified in such Loan Document.</w:t>
      </w:r>
    </w:p>
    <w:p>
      <w:pPr>
        <w:spacing w:after="0" w:line="185" w:lineRule="exact"/>
        <w:rPr>
          <w:sz w:val="20"/>
          <w:szCs w:val="20"/>
          <w:color w:val="auto"/>
        </w:rPr>
      </w:pPr>
    </w:p>
    <w:p>
      <w:pPr>
        <w:jc w:val="both"/>
        <w:ind w:left="540" w:right="559" w:firstLine="648"/>
        <w:spacing w:after="0" w:line="257" w:lineRule="auto"/>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u w:val="single" w:color="auto"/>
          <w:color w:val="auto"/>
        </w:rPr>
        <w:t>The Administrative Agent Individually</w:t>
      </w:r>
      <w:r>
        <w:rPr>
          <w:rFonts w:ascii="Arial" w:cs="Arial" w:eastAsia="Arial" w:hAnsi="Arial"/>
          <w:sz w:val="21"/>
          <w:szCs w:val="21"/>
          <w:color w:val="auto"/>
        </w:rPr>
        <w:t>. With respect to its Commitment,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L/C Issuer, as the case may be. The terms “L/C Issuers”, “Lenders”, “Required Lenders” and any similar terms shall, unless the context clearly otherwise indicates, include the Administrative Agent in its individual capacity as a Lender, L/C Issuer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L/C Issuers.</w:t>
      </w:r>
    </w:p>
    <w:p>
      <w:pPr>
        <w:spacing w:after="0" w:line="187" w:lineRule="exact"/>
        <w:rPr>
          <w:sz w:val="20"/>
          <w:szCs w:val="20"/>
          <w:color w:val="auto"/>
        </w:rPr>
      </w:pPr>
    </w:p>
    <w:p>
      <w:pPr>
        <w:jc w:val="both"/>
        <w:ind w:left="540" w:right="559" w:firstLine="648"/>
        <w:spacing w:after="0" w:line="285"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(a)The Administrative Agent may resign at any time by giving 30 days’ prior written notice thereof to the Lenders, the L/C Issuers and the Borrower, whether or not a successor Administrative Agent has been appointed. Upon receipt of any such notice of resignation, the Required Lenders will have the right, in consultation with the Borrower, to appoint a successor, which will be a bank with an office in the United States or an Affiliate of any such bank.</w:t>
      </w:r>
    </w:p>
    <w:p>
      <w:pPr>
        <w:jc w:val="both"/>
        <w:ind w:left="540" w:right="559"/>
        <w:spacing w:after="0" w:line="285" w:lineRule="auto"/>
        <w:rPr>
          <w:sz w:val="20"/>
          <w:szCs w:val="20"/>
          <w:color w:val="auto"/>
        </w:rPr>
      </w:pPr>
      <w:r>
        <w:rPr>
          <w:rFonts w:ascii="Arial" w:cs="Arial" w:eastAsia="Arial" w:hAnsi="Arial"/>
          <w:sz w:val="19"/>
          <w:szCs w:val="19"/>
          <w:color w:val="auto"/>
        </w:rPr>
        <w:t>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L/C Issuers, appoint a successor Administrative Agent, meeting the qualifications set forth above.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5" w:name="page226"/>
    <w:bookmarkEnd w:id="225"/>
    <w:p>
      <w:pPr>
        <w:jc w:val="both"/>
        <w:ind w:left="540" w:right="499"/>
        <w:spacing w:after="0" w:line="302" w:lineRule="auto"/>
        <w:rPr>
          <w:sz w:val="20"/>
          <w:szCs w:val="20"/>
          <w:color w:val="auto"/>
        </w:rPr>
      </w:pPr>
      <w:r>
        <w:rPr>
          <w:rFonts w:ascii="Arial" w:cs="Arial" w:eastAsia="Arial" w:hAnsi="Arial"/>
          <w:sz w:val="19"/>
          <w:szCs w:val="19"/>
          <w:color w:val="auto"/>
        </w:rPr>
        <w:t>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42" w:lineRule="exact"/>
        <w:rPr>
          <w:sz w:val="20"/>
          <w:szCs w:val="20"/>
          <w:color w:val="auto"/>
        </w:rPr>
      </w:pPr>
    </w:p>
    <w:p>
      <w:pPr>
        <w:jc w:val="both"/>
        <w:ind w:left="540" w:right="539" w:firstLine="725"/>
        <w:spacing w:after="0" w:line="285" w:lineRule="auto"/>
        <w:tabs>
          <w:tab w:leader="none" w:pos="1836"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L/C Issuers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L/C Issuer. Following the effectiveness of the Administrative Agent’s resignation from its capacity as such, the provisions of this Article and Section 11.04,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16" w:lineRule="exact"/>
        <w:rPr>
          <w:sz w:val="20"/>
          <w:szCs w:val="20"/>
          <w:color w:val="auto"/>
        </w:rPr>
      </w:pPr>
    </w:p>
    <w:p>
      <w:pPr>
        <w:jc w:val="both"/>
        <w:ind w:left="540" w:right="459" w:firstLine="635"/>
        <w:spacing w:after="0" w:line="258" w:lineRule="auto"/>
        <w:rPr>
          <w:sz w:val="20"/>
          <w:szCs w:val="20"/>
          <w:color w:val="auto"/>
        </w:rPr>
      </w:pPr>
      <w:r>
        <w:rPr>
          <w:rFonts w:ascii="Arial" w:cs="Arial" w:eastAsia="Arial" w:hAnsi="Arial"/>
          <w:sz w:val="21"/>
          <w:szCs w:val="21"/>
          <w:color w:val="auto"/>
        </w:rPr>
        <w:t xml:space="preserve">Any resignation by JPMCB as Administrative Agent pursuant to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will also constitute its resignation as L/C Issuer. Upon the acceptance of a successor’s appointment as Administrative Agent hereunder, (a) such successor will succeed to and become vested with all of the rights, powers, privileges and duties of the retiring L/C Issuer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successor agrees to act in such capacity), (b) the retiring L/C Issuer will be discharged from all of their respective duties and obligations hereunder or under the other Loan Documents, and (c) the successor L/C Issuer will issue letters of credit in substitution for the Letters of Credit, if any, issued by the retiring L/C Issuer that are outstanding at the time of such succession or make other arrangements reasonably satisfactory to the retiring L/C Issuer to effectively assume the obligations of the retiring L/C Issuer with respect to such Letters of Credit.</w:t>
      </w:r>
    </w:p>
    <w:p>
      <w:pPr>
        <w:spacing w:after="0" w:line="182" w:lineRule="exact"/>
        <w:rPr>
          <w:sz w:val="20"/>
          <w:szCs w:val="20"/>
          <w:color w:val="auto"/>
        </w:rPr>
      </w:pPr>
    </w:p>
    <w:p>
      <w:pPr>
        <w:jc w:val="both"/>
        <w:ind w:left="540" w:right="559" w:firstLine="648"/>
        <w:spacing w:after="0" w:line="288"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Acknowledgements of Lenders and L/C Issuers</w:t>
      </w:r>
      <w:r>
        <w:rPr>
          <w:rFonts w:ascii="Arial" w:cs="Arial" w:eastAsia="Arial" w:hAnsi="Arial"/>
          <w:sz w:val="19"/>
          <w:szCs w:val="19"/>
          <w:color w:val="auto"/>
        </w:rPr>
        <w:t>. (a)Each Lender and each L/C Issuer represents and warrants that (i) the Loan Documents set forth the terms of a commercial lending facility, (ii) it is engaged in making, acquiring or holding commercial loans and in providing other facilities set forth herein as may be applicable to such Lender or L/C Issuer, in each case in the ordinary course of business, and not for the purpose of purchasing, acquiring or holding any other type of financial instrument (and each Lender and each L/C Issuer agrees not to assert a claim in contravention of the foregoing), (iii) it has, independently and without reliance upon the Administrative Agent, any Arranger, any Co-Syndication Agent or any other Lender or L/C Issuer, or any of the Related Parties of any of the foregoing, and based on such documents and information as</w:t>
      </w:r>
    </w:p>
    <w:p>
      <w:pPr>
        <w:sectPr>
          <w:pgSz w:w="11900" w:h="16838" w:orient="portrait"/>
          <w:cols w:equalWidth="0" w:num="1">
            <w:col w:w="9019"/>
          </w:cols>
          <w:pgMar w:left="1440" w:top="928"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6" w:name="page227"/>
    <w:bookmarkEnd w:id="226"/>
    <w:p>
      <w:pPr>
        <w:jc w:val="both"/>
        <w:ind w:left="540" w:right="499"/>
        <w:spacing w:after="0" w:line="286" w:lineRule="auto"/>
        <w:rPr>
          <w:sz w:val="20"/>
          <w:szCs w:val="20"/>
          <w:color w:val="auto"/>
        </w:rPr>
      </w:pPr>
      <w:r>
        <w:rPr>
          <w:rFonts w:ascii="Arial" w:cs="Arial" w:eastAsia="Arial" w:hAnsi="Arial"/>
          <w:sz w:val="19"/>
          <w:szCs w:val="19"/>
          <w:color w:val="auto"/>
        </w:rPr>
        <w:t>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L/C Issuer also acknowledges that it will, independently and without reliance upon the Administrative Agent, any Arranger, any Co-Syndication Agent or any other Lender or L/C Issuer,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jc w:val="both"/>
        <w:ind w:left="540" w:right="539" w:firstLine="725"/>
        <w:spacing w:after="0" w:line="294" w:lineRule="auto"/>
        <w:tabs>
          <w:tab w:leader="none" w:pos="183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w:t>
      </w:r>
    </w:p>
    <w:p>
      <w:pPr>
        <w:spacing w:after="0" w:line="220" w:lineRule="exact"/>
        <w:rPr>
          <w:sz w:val="20"/>
          <w:szCs w:val="20"/>
          <w:color w:val="auto"/>
        </w:rPr>
      </w:pPr>
    </w:p>
    <w:p>
      <w:pPr>
        <w:jc w:val="both"/>
        <w:ind w:left="1180" w:right="539" w:firstLine="656"/>
        <w:spacing w:after="0" w:line="284" w:lineRule="auto"/>
        <w:tabs>
          <w:tab w:leader="none" w:pos="247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9"/>
          <w:szCs w:val="19"/>
          <w:u w:val="single" w:color="auto"/>
          <w:color w:val="auto"/>
        </w:rPr>
        <w:t>Section 10.06(c)</w:t>
      </w:r>
      <w:r>
        <w:rPr>
          <w:rFonts w:ascii="Arial" w:cs="Arial" w:eastAsia="Arial" w:hAnsi="Arial"/>
          <w:sz w:val="19"/>
          <w:szCs w:val="19"/>
          <w:color w:val="auto"/>
        </w:rPr>
        <w:t xml:space="preserve"> shall be conclusive, absent manifest error.</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7" w:name="page228"/>
    <w:bookmarkEnd w:id="227"/>
    <w:p>
      <w:pPr>
        <w:jc w:val="both"/>
        <w:ind w:left="1180" w:right="539" w:firstLine="656"/>
        <w:spacing w:after="0" w:line="285" w:lineRule="auto"/>
        <w:tabs>
          <w:tab w:leader="none" w:pos="247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1180" w:right="539" w:firstLine="656"/>
        <w:spacing w:after="0" w:line="258" w:lineRule="auto"/>
        <w:tabs>
          <w:tab w:leader="none" w:pos="2476"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to the extent such erroneous Payment is, and solely with respect to the amount of such erroneous Payment that is, comprised of funds received by the Administrative Agent from the Borrower or any other Loan Party for the purpose of satisfying an Obligation.</w:t>
      </w:r>
    </w:p>
    <w:p>
      <w:pPr>
        <w:spacing w:after="0" w:line="185" w:lineRule="exact"/>
        <w:rPr>
          <w:rFonts w:ascii="Arial" w:cs="Arial" w:eastAsia="Arial" w:hAnsi="Arial"/>
          <w:sz w:val="21"/>
          <w:szCs w:val="21"/>
          <w:color w:val="auto"/>
        </w:rPr>
      </w:pPr>
    </w:p>
    <w:p>
      <w:pPr>
        <w:jc w:val="both"/>
        <w:ind w:left="1180" w:right="539" w:firstLine="656"/>
        <w:spacing w:after="0" w:line="248" w:lineRule="auto"/>
        <w:tabs>
          <w:tab w:leader="none" w:pos="247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10.06(c)</w:t>
      </w:r>
      <w:r>
        <w:rPr>
          <w:rFonts w:ascii="Arial" w:cs="Arial" w:eastAsia="Arial" w:hAnsi="Arial"/>
          <w:sz w:val="22"/>
          <w:szCs w:val="22"/>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92" w:lineRule="exact"/>
        <w:rPr>
          <w:sz w:val="20"/>
          <w:szCs w:val="20"/>
          <w:color w:val="auto"/>
        </w:rPr>
      </w:pPr>
    </w:p>
    <w:p>
      <w:pPr>
        <w:jc w:val="both"/>
        <w:ind w:left="540" w:right="559" w:firstLine="648"/>
        <w:spacing w:after="0" w:line="246" w:lineRule="auto"/>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 (a)Each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96" w:lineRule="exact"/>
        <w:rPr>
          <w:sz w:val="20"/>
          <w:szCs w:val="20"/>
          <w:color w:val="auto"/>
        </w:rPr>
      </w:pPr>
    </w:p>
    <w:p>
      <w:pPr>
        <w:jc w:val="both"/>
        <w:ind w:left="1180" w:right="539" w:firstLine="656"/>
        <w:spacing w:after="0" w:line="253" w:lineRule="auto"/>
        <w:tabs>
          <w:tab w:leader="none" w:pos="247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the Plan Asset Regulations) of one or more Benefit Plans in connection with the Loans, the Letters of Credit or the Commitments,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28" w:name="page229"/>
    <w:bookmarkEnd w:id="228"/>
    <w:p>
      <w:pPr>
        <w:jc w:val="both"/>
        <w:ind w:left="1180" w:right="539" w:firstLine="656"/>
        <w:spacing w:after="0" w:line="288" w:lineRule="auto"/>
        <w:tabs>
          <w:tab w:leader="none" w:pos="2476"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9" w:lineRule="exact"/>
        <w:rPr>
          <w:rFonts w:ascii="Arial" w:cs="Arial" w:eastAsia="Arial" w:hAnsi="Arial"/>
          <w:sz w:val="19"/>
          <w:szCs w:val="19"/>
          <w:color w:val="auto"/>
        </w:rPr>
      </w:pPr>
    </w:p>
    <w:p>
      <w:pPr>
        <w:jc w:val="both"/>
        <w:ind w:left="1180" w:right="539" w:firstLine="656"/>
        <w:spacing w:after="0" w:line="257" w:lineRule="auto"/>
        <w:tabs>
          <w:tab w:leader="none" w:pos="2476" w:val="left"/>
        </w:tabs>
        <w:numPr>
          <w:ilvl w:val="1"/>
          <w:numId w:val="205"/>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0" w:lineRule="exact"/>
        <w:rPr>
          <w:rFonts w:ascii="Arial" w:cs="Arial" w:eastAsia="Arial" w:hAnsi="Arial"/>
          <w:sz w:val="21"/>
          <w:szCs w:val="21"/>
          <w:color w:val="auto"/>
        </w:rPr>
      </w:pPr>
    </w:p>
    <w:p>
      <w:pPr>
        <w:jc w:val="both"/>
        <w:ind w:left="1180" w:right="539" w:firstLine="656"/>
        <w:spacing w:after="0" w:line="343" w:lineRule="auto"/>
        <w:tabs>
          <w:tab w:leader="none" w:pos="2476" w:val="left"/>
        </w:tabs>
        <w:numPr>
          <w:ilvl w:val="1"/>
          <w:numId w:val="205"/>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04" w:lineRule="exact"/>
        <w:rPr>
          <w:rFonts w:ascii="Arial" w:cs="Arial" w:eastAsia="Arial" w:hAnsi="Arial"/>
          <w:sz w:val="19"/>
          <w:szCs w:val="19"/>
          <w:color w:val="auto"/>
        </w:rPr>
      </w:pPr>
    </w:p>
    <w:p>
      <w:pPr>
        <w:jc w:val="both"/>
        <w:ind w:left="540" w:right="539" w:firstLine="725"/>
        <w:spacing w:after="0" w:line="287" w:lineRule="auto"/>
        <w:tabs>
          <w:tab w:leader="none" w:pos="183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Co-Syndication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58" w:lineRule="exact"/>
        <w:rPr>
          <w:rFonts w:ascii="Arial" w:cs="Arial" w:eastAsia="Arial" w:hAnsi="Arial"/>
          <w:sz w:val="19"/>
          <w:szCs w:val="19"/>
          <w:color w:val="auto"/>
        </w:rPr>
      </w:pPr>
    </w:p>
    <w:p>
      <w:pPr>
        <w:jc w:val="both"/>
        <w:ind w:left="540" w:right="539" w:firstLine="725"/>
        <w:spacing w:after="0" w:line="290" w:lineRule="auto"/>
        <w:tabs>
          <w:tab w:leader="none" w:pos="183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Administrative Agent, and each Arranger and Co-Syndication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w:t>
      </w:r>
    </w:p>
    <w:p>
      <w:pPr>
        <w:sectPr>
          <w:pgSz w:w="11900" w:h="16838" w:orient="portrait"/>
          <w:cols w:equalWidth="0" w:num="1">
            <w:col w:w="9019"/>
          </w:cols>
          <w:pgMar w:left="1440" w:top="928" w:right="1440"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29" w:name="page230"/>
    <w:bookmarkEnd w:id="229"/>
    <w:p>
      <w:pPr>
        <w:jc w:val="both"/>
        <w:ind w:left="540" w:right="539"/>
        <w:spacing w:after="0" w:line="290" w:lineRule="auto"/>
        <w:rPr>
          <w:sz w:val="20"/>
          <w:szCs w:val="20"/>
          <w:color w:val="auto"/>
        </w:rPr>
      </w:pPr>
      <w:r>
        <w:rPr>
          <w:rFonts w:ascii="Arial" w:cs="Arial" w:eastAsia="Arial" w:hAnsi="Arial"/>
          <w:sz w:val="19"/>
          <w:szCs w:val="19"/>
          <w:color w:val="auto"/>
        </w:rPr>
        <w:t>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6" w:lineRule="exact"/>
        <w:rPr>
          <w:sz w:val="20"/>
          <w:szCs w:val="20"/>
          <w:color w:val="auto"/>
        </w:rPr>
      </w:pPr>
    </w:p>
    <w:p>
      <w:pPr>
        <w:jc w:val="both"/>
        <w:ind w:left="540" w:right="559" w:firstLine="648"/>
        <w:spacing w:after="0" w:line="257" w:lineRule="auto"/>
        <w:rPr>
          <w:sz w:val="20"/>
          <w:szCs w:val="20"/>
          <w:color w:val="auto"/>
        </w:rPr>
      </w:pPr>
      <w:r>
        <w:rPr>
          <w:rFonts w:ascii="Arial" w:cs="Arial" w:eastAsia="Arial" w:hAnsi="Arial"/>
          <w:sz w:val="21"/>
          <w:szCs w:val="21"/>
          <w:color w:val="auto"/>
        </w:rPr>
        <w:t xml:space="preserve">SECTION 10.08. </w:t>
      </w:r>
      <w:r>
        <w:rPr>
          <w:rFonts w:ascii="Arial" w:cs="Arial" w:eastAsia="Arial" w:hAnsi="Arial"/>
          <w:sz w:val="21"/>
          <w:szCs w:val="21"/>
          <w:u w:val="single" w:color="auto"/>
          <w:color w:val="auto"/>
        </w:rPr>
        <w:t>Guarantee Matters</w:t>
      </w:r>
      <w:r>
        <w:rPr>
          <w:rFonts w:ascii="Arial" w:cs="Arial" w:eastAsia="Arial" w:hAnsi="Arial"/>
          <w:sz w:val="21"/>
          <w:szCs w:val="21"/>
          <w:color w:val="auto"/>
        </w:rPr>
        <w:t xml:space="preserve">. (a) The Lenders and the L/C Issuers irrevocably authorize the Administrative Agent to release any Subsidiary Guarantor from its obligations under the Obligations Guarantee if (i) such Subsidiary Guarantor after the Effective Date ceases to be a Material Subsidiary of the Borrower as a result of a transaction permitted hereunder or (ii) such Subsidiary Guarantor was voluntarily designated by the Borrower as a Subsidiary Guarantor pursuant to </w:t>
      </w:r>
      <w:r>
        <w:rPr>
          <w:rFonts w:ascii="Arial" w:cs="Arial" w:eastAsia="Arial" w:hAnsi="Arial"/>
          <w:sz w:val="21"/>
          <w:szCs w:val="21"/>
          <w:u w:val="single" w:color="auto"/>
          <w:color w:val="auto"/>
        </w:rPr>
        <w:t>Section 9.11</w:t>
      </w:r>
      <w:r>
        <w:rPr>
          <w:rFonts w:ascii="Arial" w:cs="Arial" w:eastAsia="Arial" w:hAnsi="Arial"/>
          <w:sz w:val="21"/>
          <w:szCs w:val="21"/>
          <w:color w:val="auto"/>
        </w:rPr>
        <w:t xml:space="preserve"> and Borrower requests, in writing, that the Administrative Agent release it from the Obligations Guarantee and certifies that (x) no Event of Default would immediately result from such a release and (y) such Subsidiary is not required to be a Subsidiary Guarantor pursuant to </w:t>
      </w:r>
      <w:r>
        <w:rPr>
          <w:rFonts w:ascii="Arial" w:cs="Arial" w:eastAsia="Arial" w:hAnsi="Arial"/>
          <w:sz w:val="21"/>
          <w:szCs w:val="21"/>
          <w:u w:val="single" w:color="auto"/>
          <w:color w:val="auto"/>
        </w:rPr>
        <w:t>Section 9.11</w:t>
      </w:r>
      <w:r>
        <w:rPr>
          <w:rFonts w:ascii="Arial" w:cs="Arial" w:eastAsia="Arial" w:hAnsi="Arial"/>
          <w:sz w:val="21"/>
          <w:szCs w:val="21"/>
          <w:color w:val="auto"/>
        </w:rPr>
        <w:t xml:space="preserve">. Upon request by the Administrative Agent at any time, the Required Lenders will confirm in writing the Administrative Agent’s authority to release any Subsidiary Guarantor from its obligations under the Obligations Guarantee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10.08</w:t>
      </w:r>
      <w:r>
        <w:rPr>
          <w:rFonts w:ascii="Arial" w:cs="Arial" w:eastAsia="Arial" w:hAnsi="Arial"/>
          <w:sz w:val="21"/>
          <w:szCs w:val="21"/>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left="540" w:right="559" w:firstLine="648"/>
        <w:spacing w:after="0" w:line="283"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Except as expressly provided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(with respect to an Incremental Term Loan Amendment), </w:t>
      </w:r>
      <w:r>
        <w:rPr>
          <w:rFonts w:ascii="Arial" w:cs="Arial" w:eastAsia="Arial" w:hAnsi="Arial"/>
          <w:sz w:val="19"/>
          <w:szCs w:val="19"/>
          <w:u w:val="single" w:color="auto"/>
          <w:color w:val="auto"/>
        </w:rPr>
        <w:t>2.17(b)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2.17(d)</w:t>
      </w:r>
      <w:r>
        <w:rPr>
          <w:rFonts w:ascii="Arial" w:cs="Arial" w:eastAsia="Arial" w:hAnsi="Arial"/>
          <w:sz w:val="19"/>
          <w:szCs w:val="19"/>
          <w:color w:val="auto"/>
        </w:rPr>
        <w:t xml:space="preserve"> and in the definition of “Letter of Credit Commitment”, no amendment or waiver of any provision of this Agreement or any other Loan Document, and no consent to any departure by the Loan Parties therefrom, will be effective unless in writing signed by the Required Lenders and the Borrower (and, if the rights of any other Loan Party shall be affected thereby, such Loan Party), and acknowledged by the Administrative Agent (such acknowledgement not to be unreasonably withheld, conditioned or delayed) and each such waiver or consent will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provision of this Agreement or any other Loan Document may be amended by an agreement in writing entered into by the Borrower and the Administrative Agent to cure any ambiguity, omission, defect or inconsistency so long as, in each case, (x) such amendment does not adversely affect the rights of any Lender or</w:t>
      </w:r>
    </w:p>
    <w:p>
      <w:pPr>
        <w:spacing w:after="0" w:line="3" w:lineRule="exact"/>
        <w:rPr>
          <w:sz w:val="20"/>
          <w:szCs w:val="20"/>
          <w:color w:val="auto"/>
        </w:rPr>
      </w:pPr>
    </w:p>
    <w:p>
      <w:pPr>
        <w:jc w:val="both"/>
        <w:ind w:left="540" w:right="559"/>
        <w:spacing w:after="0" w:line="244" w:lineRule="auto"/>
        <w:tabs>
          <w:tab w:leader="none" w:pos="87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no such amendment, waiver or consent will:</w:t>
      </w:r>
    </w:p>
    <w:p>
      <w:pPr>
        <w:spacing w:after="0" w:line="194" w:lineRule="exact"/>
        <w:rPr>
          <w:rFonts w:ascii="Arial" w:cs="Arial" w:eastAsia="Arial" w:hAnsi="Arial"/>
          <w:sz w:val="22"/>
          <w:szCs w:val="22"/>
          <w:color w:val="auto"/>
        </w:rPr>
      </w:pPr>
    </w:p>
    <w:p>
      <w:pPr>
        <w:jc w:val="both"/>
        <w:ind w:left="540" w:right="539" w:firstLine="725"/>
        <w:spacing w:after="0" w:line="253" w:lineRule="auto"/>
        <w:tabs>
          <w:tab w:leader="none" w:pos="1836" w:val="left"/>
        </w:tabs>
        <w:numPr>
          <w:ilvl w:val="1"/>
          <w:numId w:val="207"/>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(or reinstate any Commitment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without the written consent of such Lender;</w:t>
      </w:r>
    </w:p>
    <w:p>
      <w:pPr>
        <w:sectPr>
          <w:pgSz w:w="11900" w:h="16838" w:orient="portrait"/>
          <w:cols w:equalWidth="0" w:num="1">
            <w:col w:w="9019"/>
          </w:cols>
          <w:pgMar w:left="1440" w:top="928"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0" w:name="page231"/>
    <w:bookmarkEnd w:id="230"/>
    <w:p>
      <w:pPr>
        <w:jc w:val="both"/>
        <w:ind w:left="540" w:right="539" w:firstLine="725"/>
        <w:spacing w:after="0" w:line="248" w:lineRule="auto"/>
        <w:tabs>
          <w:tab w:leader="none" w:pos="1836" w:val="left"/>
        </w:tabs>
        <w:numPr>
          <w:ilvl w:val="0"/>
          <w:numId w:val="208"/>
        </w:numPr>
        <w:rPr>
          <w:rFonts w:ascii="Arial" w:cs="Arial" w:eastAsia="Arial" w:hAnsi="Arial"/>
          <w:sz w:val="22"/>
          <w:szCs w:val="22"/>
          <w:color w:val="auto"/>
        </w:rPr>
      </w:pPr>
      <w:r>
        <w:rPr>
          <w:rFonts w:ascii="Arial" w:cs="Arial" w:eastAsia="Arial" w:hAnsi="Arial"/>
          <w:sz w:val="22"/>
          <w:szCs w:val="22"/>
          <w:color w:val="auto"/>
        </w:rPr>
        <w:t>postpone any date fixed by this Agreement or any other Loan Document for any payment of principal, interest or fees due to any Lender hereunder or under any other Loan Document without the written consent of such Lender, or postpone any date fixed by this Agreement for any payment of an L/C Borrowing without the written consent of each Lender;</w:t>
      </w:r>
    </w:p>
    <w:p>
      <w:pPr>
        <w:spacing w:after="0" w:line="191" w:lineRule="exact"/>
        <w:rPr>
          <w:rFonts w:ascii="Arial" w:cs="Arial" w:eastAsia="Arial" w:hAnsi="Arial"/>
          <w:sz w:val="22"/>
          <w:szCs w:val="22"/>
          <w:color w:val="auto"/>
        </w:rPr>
      </w:pPr>
    </w:p>
    <w:p>
      <w:pPr>
        <w:jc w:val="both"/>
        <w:ind w:left="540" w:right="539" w:firstLine="725"/>
        <w:spacing w:after="0" w:line="259" w:lineRule="auto"/>
        <w:tabs>
          <w:tab w:leader="none" w:pos="183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xml:space="preserve">reduce the principal of, or the rate of interest specified herein on, any Loan or L/C Borrowing, or any fees payable hereunder or under any other Loan Document, without the written consent of each Lender directly affected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only the consent of the Required Lenders will be necessary to waive any obligation of the Borrower to pay interest at the default rate or change the amount of the default rate specified in </w:t>
      </w:r>
      <w:r>
        <w:rPr>
          <w:rFonts w:ascii="Arial" w:cs="Arial" w:eastAsia="Arial" w:hAnsi="Arial"/>
          <w:sz w:val="21"/>
          <w:szCs w:val="21"/>
          <w:u w:val="single" w:color="auto"/>
          <w:color w:val="auto"/>
        </w:rPr>
        <w:t>Section 2.08(b)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amendment or modification of the financial covenant in this Agreement (or defined terms used in the financial covenant in this Agreement) shall constitute a reduction in the rate of interest or fees for purposes of this clause (c);</w:t>
      </w:r>
    </w:p>
    <w:p>
      <w:pPr>
        <w:spacing w:after="0" w:line="179" w:lineRule="exact"/>
        <w:rPr>
          <w:rFonts w:ascii="Arial" w:cs="Arial" w:eastAsia="Arial" w:hAnsi="Arial"/>
          <w:sz w:val="21"/>
          <w:szCs w:val="21"/>
          <w:color w:val="auto"/>
        </w:rPr>
      </w:pPr>
    </w:p>
    <w:p>
      <w:pPr>
        <w:jc w:val="both"/>
        <w:ind w:left="540" w:right="539" w:firstLine="725"/>
        <w:spacing w:after="0" w:line="271" w:lineRule="auto"/>
        <w:tabs>
          <w:tab w:leader="none" w:pos="183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xml:space="preserve">change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in a manner that would alter the ratable reduction of Commitments or the pro rata sharing of payments required thereby without the written consent of each Lender directly affected thereby;</w:t>
      </w:r>
    </w:p>
    <w:p>
      <w:pPr>
        <w:spacing w:after="0" w:line="167" w:lineRule="exact"/>
        <w:rPr>
          <w:rFonts w:ascii="Arial" w:cs="Arial" w:eastAsia="Arial" w:hAnsi="Arial"/>
          <w:sz w:val="21"/>
          <w:szCs w:val="21"/>
          <w:color w:val="auto"/>
        </w:rPr>
      </w:pPr>
    </w:p>
    <w:p>
      <w:pPr>
        <w:ind w:left="540" w:right="559" w:firstLine="725"/>
        <w:spacing w:after="0" w:line="263" w:lineRule="auto"/>
        <w:tabs>
          <w:tab w:leader="none" w:pos="1836"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amend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or the definition of “Alternative Currency” without the written consent of each Lender;</w:t>
      </w:r>
    </w:p>
    <w:p>
      <w:pPr>
        <w:spacing w:after="0" w:line="174" w:lineRule="exact"/>
        <w:rPr>
          <w:rFonts w:ascii="Arial" w:cs="Arial" w:eastAsia="Arial" w:hAnsi="Arial"/>
          <w:sz w:val="22"/>
          <w:szCs w:val="22"/>
          <w:color w:val="auto"/>
        </w:rPr>
      </w:pPr>
    </w:p>
    <w:p>
      <w:pPr>
        <w:jc w:val="both"/>
        <w:ind w:left="540" w:right="539" w:firstLine="725"/>
        <w:spacing w:after="0" w:line="261" w:lineRule="auto"/>
        <w:tabs>
          <w:tab w:leader="none" w:pos="183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xml:space="preserve">release Borrower (if it shall have become a Guarantor) or any of the other Subsidiary Guarantors from the Obligations Guarantee in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(including, in each case, by limiting liability in respect thereof (other than as required by applicable Law)) without the written consent of each Lender, except, in the case of any Subsidiary Guarantor, as permitted pursuant to </w:t>
      </w:r>
      <w:r>
        <w:rPr>
          <w:rFonts w:ascii="Arial" w:cs="Arial" w:eastAsia="Arial" w:hAnsi="Arial"/>
          <w:sz w:val="21"/>
          <w:szCs w:val="21"/>
          <w:u w:val="single" w:color="auto"/>
          <w:color w:val="auto"/>
        </w:rPr>
        <w:t>Section 10.10</w:t>
      </w:r>
      <w:r>
        <w:rPr>
          <w:rFonts w:ascii="Arial" w:cs="Arial" w:eastAsia="Arial" w:hAnsi="Arial"/>
          <w:sz w:val="21"/>
          <w:szCs w:val="21"/>
          <w:color w:val="auto"/>
        </w:rPr>
        <w:t xml:space="preserve"> (in which case such release may be made by the Administrative Agent acting alone); or</w:t>
      </w:r>
    </w:p>
    <w:p>
      <w:pPr>
        <w:spacing w:after="0" w:line="179" w:lineRule="exact"/>
        <w:rPr>
          <w:rFonts w:ascii="Arial" w:cs="Arial" w:eastAsia="Arial" w:hAnsi="Arial"/>
          <w:sz w:val="21"/>
          <w:szCs w:val="21"/>
          <w:color w:val="auto"/>
        </w:rPr>
      </w:pPr>
    </w:p>
    <w:p>
      <w:pPr>
        <w:jc w:val="both"/>
        <w:ind w:left="540" w:right="539" w:firstLine="725"/>
        <w:spacing w:after="0" w:line="285" w:lineRule="auto"/>
        <w:tabs>
          <w:tab w:leader="none" w:pos="183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change any provision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the percentage set forth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(it being understood that, solely with the consent of the parties prescribed by Section 2.14 to be parties to an Incremental Term Loan Amendment, Incremental Term Loans may be included in the determination of Required Lenders on substantially the same basis as the Commitments and the Loans are included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no amendment, waiver or consent will, unless in writing and signed by such L/C Issuer in addition to the Lenders required above, affect the rights or duties of any L/C Issuer under this Agreement or any Issuer Document relating to any Letter of Credit issued or to be issued by it and (ii) no amendment, waiver or consent will, unless in writing and signed by the Administrative Agent in addition to the Lenders required above, affect the rights or duties of the Administrative Agent under this Agreement or any other Loan Document. Notwithstanding anything to the contrary herein, (A)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w:t>
      </w:r>
    </w:p>
    <w:p>
      <w:pPr>
        <w:sectPr>
          <w:pgSz w:w="11900" w:h="16838" w:orient="portrait"/>
          <w:cols w:equalWidth="0" w:num="1">
            <w:col w:w="9019"/>
          </w:cols>
          <w:pgMar w:left="1440" w:top="928"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1" w:name="page232"/>
    <w:bookmarkEnd w:id="231"/>
    <w:p>
      <w:pPr>
        <w:jc w:val="both"/>
        <w:ind w:left="540" w:right="539"/>
        <w:spacing w:after="0" w:line="284" w:lineRule="auto"/>
        <w:rPr>
          <w:sz w:val="20"/>
          <w:szCs w:val="20"/>
          <w:color w:val="auto"/>
        </w:rPr>
      </w:pPr>
      <w:r>
        <w:rPr>
          <w:rFonts w:ascii="Arial" w:cs="Arial" w:eastAsia="Arial" w:hAnsi="Arial"/>
          <w:sz w:val="19"/>
          <w:szCs w:val="19"/>
          <w:color w:val="auto"/>
        </w:rPr>
        <w:t xml:space="preserve">other than Defaulting Lenders), except that (x) any amendment, waiver or consent referred to in clause (a), (b) or (c) above shall require the consent of such Defaulting Lender in the event such Defaulting Lender shall be directly affected thereby and (y) any amendment, waiver or consent requiring the consent of all Lenders or each affected Lender that by its terms affects any Defaulting Lender more adversely than other affected Lenders shall require the consent of such Defaulting Lender and (B) any provision of this Agreement or any other Loan Document may be amended by an agreement in writing entered into by the Borrower, the Administrative Agent (and, if their rights or duties are affected thereby, each L/C Issuer) and the Lenders that will remain parties hereto after giving effect to such amendment if (x) by the terms of such agreement the Commitment of each Lender not consenting to the amendment provided for therein shall terminate upon the effectiveness of such amendment, (y) at the time such amendment becomes effective, each Lender not consenting thereto receives payment in full of the principal of and interest accrued on each Loan made by it and all other amounts owing to it or accrued for its account under this Agreement and (z) after giving effect to such amendment and all contemporaneous repayments of Loans and reductions of Commitments, the Total Outstandings shall not exceed the Aggregate Commitments. The Administrative Agent may, but shall have no obligation to, with the written concurrence of any Lender, execute amendments, waivers or consents on behalf of such Lender. Any amendment, waiver or consent effected in accordance with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shall be binding upon each Person that is at the time thereof a Lender and each Person that subsequently becomes a Lender.</w:t>
      </w:r>
    </w:p>
    <w:p>
      <w:pPr>
        <w:spacing w:after="0" w:line="200" w:lineRule="exact"/>
        <w:rPr>
          <w:sz w:val="20"/>
          <w:szCs w:val="20"/>
          <w:color w:val="auto"/>
        </w:rPr>
      </w:pPr>
    </w:p>
    <w:p>
      <w:pPr>
        <w:spacing w:after="0" w:line="232" w:lineRule="exact"/>
        <w:rPr>
          <w:sz w:val="20"/>
          <w:szCs w:val="20"/>
          <w:color w:val="auto"/>
        </w:rPr>
      </w:pPr>
    </w:p>
    <w:p>
      <w:pPr>
        <w:jc w:val="both"/>
        <w:ind w:left="540" w:right="539" w:firstLine="725"/>
        <w:spacing w:after="0" w:line="258" w:lineRule="auto"/>
        <w:tabs>
          <w:tab w:leader="none" w:pos="183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Loans, Incremental Term Loans and the accrued interest and fees in respect thereof and (y) to include appropriately the Lenders holding such credit facilities in any determination of the Required Lenders and Lenders.</w:t>
      </w:r>
    </w:p>
    <w:p>
      <w:pPr>
        <w:spacing w:after="0" w:line="185" w:lineRule="exact"/>
        <w:rPr>
          <w:rFonts w:ascii="Arial" w:cs="Arial" w:eastAsia="Arial" w:hAnsi="Arial"/>
          <w:sz w:val="21"/>
          <w:szCs w:val="21"/>
          <w:color w:val="auto"/>
        </w:rPr>
      </w:pPr>
    </w:p>
    <w:p>
      <w:pPr>
        <w:jc w:val="both"/>
        <w:ind w:left="540" w:right="539" w:firstLine="725"/>
        <w:spacing w:after="0" w:line="260" w:lineRule="auto"/>
        <w:tabs>
          <w:tab w:leader="none" w:pos="183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Notwithstanding anything to the contrary herein,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0" w:lineRule="exact"/>
        <w:rPr>
          <w:sz w:val="20"/>
          <w:szCs w:val="20"/>
          <w:color w:val="auto"/>
        </w:rPr>
      </w:pPr>
    </w:p>
    <w:p>
      <w:pPr>
        <w:jc w:val="both"/>
        <w:ind w:left="540" w:right="559" w:firstLine="648"/>
        <w:spacing w:after="0" w:line="292"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Notices; Effectiveness; Electronic Communication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Notices Generally</w:t>
      </w:r>
      <w:r>
        <w:rPr>
          <w:rFonts w:ascii="Arial" w:cs="Arial" w:eastAsia="Arial" w:hAnsi="Arial"/>
          <w:sz w:val="19"/>
          <w:szCs w:val="19"/>
          <w:color w:val="auto"/>
        </w:rPr>
        <w:t xml:space="preserve">. Except in the case of notices and other communications expressly permitted to be given by telephone (and except as provided in </w:t>
      </w:r>
      <w:r>
        <w:rPr>
          <w:rFonts w:ascii="Arial" w:cs="Arial" w:eastAsia="Arial" w:hAnsi="Arial"/>
          <w:sz w:val="19"/>
          <w:szCs w:val="19"/>
          <w:u w:val="single" w:color="auto"/>
          <w:color w:val="auto"/>
        </w:rPr>
        <w:t>Section 10.03</w:t>
      </w:r>
      <w:r>
        <w:rPr>
          <w:rFonts w:ascii="Arial" w:cs="Arial" w:eastAsia="Arial" w:hAnsi="Arial"/>
          <w:sz w:val="19"/>
          <w:szCs w:val="19"/>
          <w:color w:val="auto"/>
        </w:rPr>
        <w:t>), all notices and other communications provided for herein will be in writing and will be delivered by hand or overnight courier service, mailed by certified or registered mail or sent by fax or e-mail as follows, and all notices and other communications expressly permitted hereunder to be given by telephone will be made to the applicable telephone number, as follows:</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2" w:name="page233"/>
    <w:bookmarkEnd w:id="232"/>
    <w:p>
      <w:pPr>
        <w:jc w:val="both"/>
        <w:ind w:left="1180" w:right="539" w:firstLine="656"/>
        <w:spacing w:after="0" w:line="253" w:lineRule="auto"/>
        <w:tabs>
          <w:tab w:leader="none" w:pos="247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if to any Loan Party or the Administrative Agent, to the address, fax number, e-mail address or telephone number specified for such Person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11.02</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180" w:right="539" w:firstLine="656"/>
        <w:spacing w:after="0" w:line="343" w:lineRule="auto"/>
        <w:tabs>
          <w:tab w:leader="none" w:pos="247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to any other Lender, to the address, fax number, e-mail address or telephone number specified in its Administrative Questionnaire; and</w:t>
      </w:r>
    </w:p>
    <w:p>
      <w:pPr>
        <w:spacing w:after="0" w:line="104" w:lineRule="exact"/>
        <w:rPr>
          <w:rFonts w:ascii="Arial" w:cs="Arial" w:eastAsia="Arial" w:hAnsi="Arial"/>
          <w:sz w:val="19"/>
          <w:szCs w:val="19"/>
          <w:color w:val="auto"/>
        </w:rPr>
      </w:pPr>
    </w:p>
    <w:p>
      <w:pPr>
        <w:jc w:val="both"/>
        <w:ind w:left="1180" w:right="539" w:firstLine="656"/>
        <w:spacing w:after="0" w:line="247" w:lineRule="auto"/>
        <w:tabs>
          <w:tab w:leader="none" w:pos="247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if to any L/C Issuer, to it at its address, fax number, e-mail address or telephone number most recently specified by it in a notice delivered to the Administrative Agent and the Borrower (or, in the absence of any such notice, to the address, fax number, e-mail address or telephone number set forth in the Administrative Questionnaire of the Lender that is serving as such L/C Issuer or is an Affiliate thereof).</w:t>
      </w:r>
    </w:p>
    <w:p>
      <w:pPr>
        <w:spacing w:after="0" w:line="193" w:lineRule="exact"/>
        <w:rPr>
          <w:sz w:val="20"/>
          <w:szCs w:val="20"/>
          <w:color w:val="auto"/>
        </w:rPr>
      </w:pPr>
    </w:p>
    <w:p>
      <w:pPr>
        <w:jc w:val="both"/>
        <w:ind w:left="540" w:right="539" w:hanging="11"/>
        <w:spacing w:after="0" w:line="292"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will be deemed to have been given when received; notices and other communications sent by fax will be deemed to have been given when sent (except that, if not given during normal business hours for the recipient, will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will be effective as provided in such Section.</w:t>
      </w:r>
    </w:p>
    <w:p>
      <w:pPr>
        <w:spacing w:after="0" w:line="151" w:lineRule="exact"/>
        <w:rPr>
          <w:sz w:val="20"/>
          <w:szCs w:val="20"/>
          <w:color w:val="auto"/>
        </w:rPr>
      </w:pPr>
    </w:p>
    <w:p>
      <w:pPr>
        <w:ind w:left="1840" w:hanging="575"/>
        <w:spacing w:after="0"/>
        <w:tabs>
          <w:tab w:leader="none" w:pos="184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75"/>
        <w:spacing w:after="0"/>
        <w:tabs>
          <w:tab w:leader="none" w:pos="184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540" w:right="539" w:firstLine="725"/>
        <w:spacing w:after="0" w:line="288" w:lineRule="auto"/>
        <w:tabs>
          <w:tab w:leader="none" w:pos="1836"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Loan Parties and the Administrative Agent and any L/C Issuer may change its address, fax number, telephone number or e-mail address for notices and other communications hereunder by notice to the other parties hereto. Each other Lender may change its address, fax number, telephone number or e-mail address for notices and other communications hereunder by notice to the Loan Parties, the Administrative Agent and each L/C Issuer. In addition, each Lender and each L/C Issuer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or such L/C Issuer.</w:t>
      </w:r>
    </w:p>
    <w:p>
      <w:pPr>
        <w:spacing w:after="0" w:line="159" w:lineRule="exact"/>
        <w:rPr>
          <w:rFonts w:ascii="Arial" w:cs="Arial" w:eastAsia="Arial" w:hAnsi="Arial"/>
          <w:sz w:val="19"/>
          <w:szCs w:val="19"/>
          <w:color w:val="auto"/>
        </w:rPr>
      </w:pPr>
    </w:p>
    <w:p>
      <w:pPr>
        <w:jc w:val="both"/>
        <w:ind w:left="540" w:right="539" w:firstLine="725"/>
        <w:spacing w:after="0" w:line="287" w:lineRule="auto"/>
        <w:tabs>
          <w:tab w:leader="none" w:pos="1836"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Reliance by Agent, L/C Issuers and Lenders</w:t>
      </w:r>
      <w:r>
        <w:rPr>
          <w:rFonts w:ascii="Arial" w:cs="Arial" w:eastAsia="Arial" w:hAnsi="Arial"/>
          <w:sz w:val="19"/>
          <w:szCs w:val="19"/>
          <w:color w:val="auto"/>
        </w:rPr>
        <w:t>. The Administrative Agent, the L/C Issuers and the Lenders will be entitled to rely and act upon any notices (including telephonic Committed Loan Notices and Bid Requests) purportedly given by or on behalf of the Borrower or any other Loan Party even if (i) such notices were not made in a manner specified herein, were incomplete or were not preceded or followed by any other form of notice specified herein or (ii) the terms thereof, as understood by the recipient, varied from any confirmation thereof. The Borrower will indemnify the Administrative Agent, each L/C Issuer, each Lender and their respective Related Parties from all losses, costs, expenses and liabilities resulting from the reliance by such Person on any notice purportedly given by or on behalf of the Borrower or any other Loan Party. All telephonic notices to and other telephonic communications with the Administrative Agent may be recorded by the Administrative Agent, and each of the parties hereto hereby consents to such recording.</w:t>
      </w:r>
    </w:p>
    <w:p>
      <w:pPr>
        <w:sectPr>
          <w:pgSz w:w="11900" w:h="16838" w:orient="portrait"/>
          <w:cols w:equalWidth="0" w:num="1">
            <w:col w:w="9019"/>
          </w:cols>
          <w:pgMar w:left="1440" w:top="928"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3" w:name="page234"/>
    <w:bookmarkEnd w:id="233"/>
    <w:p>
      <w:pPr>
        <w:jc w:val="both"/>
        <w:ind w:left="540" w:right="559" w:firstLine="648"/>
        <w:spacing w:after="0" w:line="285"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No Waiver; Cumulative Remedies; Enforcement</w:t>
      </w:r>
      <w:r>
        <w:rPr>
          <w:rFonts w:ascii="Arial" w:cs="Arial" w:eastAsia="Arial" w:hAnsi="Arial"/>
          <w:sz w:val="19"/>
          <w:szCs w:val="19"/>
          <w:color w:val="auto"/>
        </w:rPr>
        <w:t xml:space="preserve">. No failure by any Lender, any L/C Issuer or the Administrative Agent to exercise, and no delay by any such Person in exercising, any right, remedy, power or privilege hereunder or under any other Loan Document will operate as a waiver thereof; nor will any single or partial exercise of any right, remedy, power or privilege hereunder or under any other Loan Document preclude any other or further exercise thereof or the exercise of any other right, remedy, power or privilege. The rights, remedies, powers and privileges of the Administrative Agent, the L/C Issuers and the Lenders provided hereunder or under the other Loan Documents are cumulative and not exclusive of any rights, remedies, powers and privileges that they would otherwise have. No waiver of any provision of any Loan Document or consent to any departure by any Loan Party therefrom shall in any event be effective unless the same shall be permitted by </w:t>
      </w:r>
      <w:r>
        <w:rPr>
          <w:rFonts w:ascii="Arial" w:cs="Arial" w:eastAsia="Arial" w:hAnsi="Arial"/>
          <w:sz w:val="19"/>
          <w:szCs w:val="19"/>
          <w:u w:val="single" w:color="auto"/>
          <w:color w:val="auto"/>
        </w:rPr>
        <w:t>Section 11.01</w:t>
      </w:r>
      <w:r>
        <w:rPr>
          <w:rFonts w:ascii="Arial" w:cs="Arial" w:eastAsia="Arial" w:hAnsi="Arial"/>
          <w:sz w:val="19"/>
          <w:szCs w:val="19"/>
          <w:color w:val="auto"/>
        </w:rPr>
        <w:t>, and then such waiver or consent shall be effective only in the specific instance and for the specific purpose for which given. Without limiting the generality of the foregoing, the execution and delivery of this Agreement or the making of a Credit Extension shall not be construed as a waiver of any Default, regardless of whether the Administrative Agent, any L/C Issuer, any Lender or any Related Party of any of the foregoing may have had notice or knowledge of such Default at the time.</w:t>
      </w:r>
    </w:p>
    <w:p>
      <w:pPr>
        <w:spacing w:after="0" w:line="200" w:lineRule="exact"/>
        <w:rPr>
          <w:sz w:val="20"/>
          <w:szCs w:val="20"/>
          <w:color w:val="auto"/>
        </w:rPr>
      </w:pPr>
    </w:p>
    <w:p>
      <w:pPr>
        <w:spacing w:after="0" w:line="222" w:lineRule="exact"/>
        <w:rPr>
          <w:sz w:val="20"/>
          <w:szCs w:val="20"/>
          <w:color w:val="auto"/>
        </w:rPr>
      </w:pPr>
    </w:p>
    <w:p>
      <w:pPr>
        <w:ind w:left="1180"/>
        <w:spacing w:after="0"/>
        <w:tabs>
          <w:tab w:leader="none" w:pos="3120" w:val="left"/>
          <w:tab w:leader="none" w:pos="7000" w:val="left"/>
          <w:tab w:leader="none" w:pos="752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Costs and</w:t>
      </w:r>
    </w:p>
    <w:p>
      <w:pPr>
        <w:spacing w:after="0" w:line="21" w:lineRule="exact"/>
        <w:rPr>
          <w:sz w:val="20"/>
          <w:szCs w:val="20"/>
          <w:color w:val="auto"/>
        </w:rPr>
      </w:pPr>
    </w:p>
    <w:p>
      <w:pPr>
        <w:jc w:val="both"/>
        <w:ind w:left="540" w:right="559"/>
        <w:spacing w:after="0" w:line="283" w:lineRule="auto"/>
        <w:rPr>
          <w:sz w:val="20"/>
          <w:szCs w:val="20"/>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Borrower and each other Loan Party will pay (i) all reasonable and documented out of pocket expenses incurred by the Administrative Agent, the Arrangers and their respective Affiliates (including the reasonable and documented fees, charges and disbursements of counsel for the Administrative Agent and the Arrangers, which shall be limited to Latham &amp; Watkins LLP and, if deemed reasonably necessary by the Administrative Agent or the Arrangers, each jurisdiction of organization of any other Loan Party), in connection with the structuring, arrangement, syndication, preparation, negotiation, execution, delivery and administration of this Agreement and the other Loan Documents and the credit facility provided for herein and any amendments, modifications or waivers of the provisions hereof or thereof (whether or not the transactions contemplated hereby or thereby shall be consummated), (ii) all reasonable and documented out of pocket expenses incurred by the L/C Issuers in connection with the issuance, amendment, renewal or extension of any Letter of Credit or any demand for payment thereunder and (iii) all reasonable and documented out of pocket expenses incurred by the Administrative Agent, the Arrangers and their respective Affiliates, the L/C Issuers and the Lenders (including the reasonable fees, disbursements and other charges of counsel, which shall be limited to one primary counsel and, if deemed reasonably necessary by the Administrative Agent, the Arrangers, the Lenders or the L/C Issuers, each jurisdiction of organization of any other Loan Party (and, solely in the case of an actual or perceived conflict of interest, one additional counsel (and one additional local counsel in each such jurisdiction) to each group of affected parties that are similarly situated, taken as a whole) in connection with the enforcement or protection of their respective rights in connection with this Agreement and the other Loan Documents and the credit facility provided for herein, including their rights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w:t>
      </w:r>
    </w:p>
    <w:p>
      <w:pPr>
        <w:spacing w:after="0" w:line="200" w:lineRule="exact"/>
        <w:rPr>
          <w:sz w:val="20"/>
          <w:szCs w:val="20"/>
          <w:color w:val="auto"/>
        </w:rPr>
      </w:pPr>
    </w:p>
    <w:p>
      <w:pPr>
        <w:spacing w:after="0" w:line="228" w:lineRule="exact"/>
        <w:rPr>
          <w:sz w:val="20"/>
          <w:szCs w:val="20"/>
          <w:color w:val="auto"/>
        </w:rPr>
      </w:pPr>
    </w:p>
    <w:p>
      <w:pPr>
        <w:jc w:val="both"/>
        <w:ind w:left="540" w:right="539" w:firstLine="725"/>
        <w:spacing w:after="0" w:line="312" w:lineRule="auto"/>
        <w:tabs>
          <w:tab w:leader="none" w:pos="1836"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and the other Loan Parties will indemnify the Administrative Agent (and any sub-agent thereof), each Arranger, each Co-Syndication Agent, each Lender, each L/C Issuer and each Related Party of any of the</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4" w:name="page235"/>
    <w:bookmarkEnd w:id="234"/>
    <w:p>
      <w:pPr>
        <w:jc w:val="both"/>
        <w:ind w:left="540" w:right="539"/>
        <w:spacing w:after="0" w:line="283" w:lineRule="auto"/>
        <w:rPr>
          <w:sz w:val="20"/>
          <w:szCs w:val="20"/>
          <w:color w:val="auto"/>
        </w:rPr>
      </w:pPr>
      <w:r>
        <w:rPr>
          <w:rFonts w:ascii="Arial" w:cs="Arial" w:eastAsia="Arial" w:hAnsi="Arial"/>
          <w:sz w:val="19"/>
          <w:szCs w:val="19"/>
          <w:color w:val="auto"/>
        </w:rPr>
        <w:t>foregoing Persons and the successors and assigns of each of the foregoing (each an “</w:t>
      </w:r>
      <w:r>
        <w:rPr>
          <w:rFonts w:ascii="Arial" w:cs="Arial" w:eastAsia="Arial" w:hAnsi="Arial"/>
          <w:sz w:val="19"/>
          <w:szCs w:val="19"/>
          <w:u w:val="single" w:color="auto"/>
          <w:color w:val="auto"/>
        </w:rPr>
        <w:t>Indemnitee</w:t>
      </w:r>
      <w:r>
        <w:rPr>
          <w:rFonts w:ascii="Arial" w:cs="Arial" w:eastAsia="Arial" w:hAnsi="Arial"/>
          <w:sz w:val="19"/>
          <w:szCs w:val="19"/>
          <w:color w:val="auto"/>
        </w:rPr>
        <w:t>”) from and against, and hold each Indemnitee harmless from, any and all losses, claims, damages, liabilities and related expenses (including the reasonable fees, charges and disbursements of counsel, which shall be limited to one primary counsel, and, if deemed necessary by the Indemnitees, one local counsel in each other appropriate jurisdiction and, solely in the case of an actual or perceived conflict of interest, one additional counsel (and one additional local counsel in each such jurisdiction) to each group of affected Indemnitees that are similarly situated, taken as a whole) arising out of, in connection with, or as a result of (i) the preparation,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w:t>
      </w:r>
    </w:p>
    <w:p>
      <w:pPr>
        <w:spacing w:after="0" w:line="2" w:lineRule="exact"/>
        <w:rPr>
          <w:sz w:val="20"/>
          <w:szCs w:val="20"/>
          <w:color w:val="auto"/>
        </w:rPr>
      </w:pPr>
    </w:p>
    <w:p>
      <w:pPr>
        <w:jc w:val="both"/>
        <w:ind w:left="540" w:right="539"/>
        <w:spacing w:after="0" w:line="283" w:lineRule="auto"/>
        <w:tabs>
          <w:tab w:leader="none" w:pos="886"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any Loan, Commitment,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release of Hazardous Materials on or from any property currently owned or operated by the Borrower or any of its Subsidiaries, or any Environmental Liability arising from any connection with Borrower or any of its Subsidiaries, or (iv) any actual or prospective claim, litigation, investigation or proceeding relating to any of the foregoing, whether based on contract, tort or any other theory, whether brought by a third party or by a Loan Party, or any Affiliate thereof,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will not, as to any Indemnitee, apply to (A) losses, claims, damages, liabilities or related expenses to the extent they (x) are determined by a court of competent jurisdiction by final and nonappealable judgment to have resulted from the gross negligence, willful misconduct or bad faith of such Indemnitee or any of its Related Indemnified Parties or (y) result from a claim brought by a Loan Party against such Indemnitee for a material breach in bad faith of such Indemnitee’s obligations hereunder or under any other Loan Document, but only if such Loan Party has obtained a final and nonappealable judgment in its favor on such claim as determined by a court of competent jurisdiction, or (B) a claim of any Indemnitee solely against one or more Indemnitees (other than a dispute involving a claim against the Administrative Agent, any Co-Syndication Agent, any Arranger or any L/C Issuer) not arising out of or in connection with any act or omission of the Borrower or its Subsidiaries or any of their respective Related Parties. Notwithstanding any of the foregoing provisions to the contrary,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or damages arising from a non-Tax claim.</w:t>
      </w:r>
    </w:p>
    <w:p>
      <w:pPr>
        <w:spacing w:after="0" w:line="170" w:lineRule="exact"/>
        <w:rPr>
          <w:rFonts w:ascii="Arial" w:cs="Arial" w:eastAsia="Arial" w:hAnsi="Arial"/>
          <w:sz w:val="19"/>
          <w:szCs w:val="19"/>
          <w:color w:val="auto"/>
        </w:rPr>
      </w:pPr>
    </w:p>
    <w:p>
      <w:pPr>
        <w:jc w:val="both"/>
        <w:ind w:left="540" w:right="539" w:firstLine="725"/>
        <w:spacing w:after="0" w:line="289" w:lineRule="auto"/>
        <w:tabs>
          <w:tab w:leader="none" w:pos="1836" w:val="left"/>
        </w:tabs>
        <w:numPr>
          <w:ilvl w:val="1"/>
          <w:numId w:val="213"/>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Loan Parties for any reason fail to indefeasibly pay any amount required under </w:t>
      </w:r>
      <w:r>
        <w:rPr>
          <w:rFonts w:ascii="Arial" w:cs="Arial" w:eastAsia="Arial" w:hAnsi="Arial"/>
          <w:sz w:val="19"/>
          <w:szCs w:val="19"/>
          <w:u w:val="single" w:color="auto"/>
          <w:color w:val="auto"/>
        </w:rPr>
        <w:t>Section 11.04(a)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11.04(b)</w:t>
      </w:r>
      <w:r>
        <w:rPr>
          <w:rFonts w:ascii="Arial" w:cs="Arial" w:eastAsia="Arial" w:hAnsi="Arial"/>
          <w:sz w:val="19"/>
          <w:szCs w:val="19"/>
          <w:color w:val="auto"/>
        </w:rPr>
        <w:t xml:space="preserve"> to be paid by them to the Administrative Agent (or any sub-agent thereof), any L/C Issuer or any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each Lender severally agrees to pay to such Agent-Related Person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such Agent-Related Person in its capacity as such,</w:t>
      </w:r>
    </w:p>
    <w:p>
      <w:pPr>
        <w:sectPr>
          <w:pgSz w:w="11900" w:h="16838" w:orient="portrait"/>
          <w:cols w:equalWidth="0" w:num="1">
            <w:col w:w="9019"/>
          </w:cols>
          <w:pgMar w:left="1440" w:top="928"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5" w:name="page236"/>
    <w:bookmarkEnd w:id="235"/>
    <w:p>
      <w:pPr>
        <w:jc w:val="both"/>
        <w:ind w:left="540" w:right="539"/>
        <w:spacing w:after="0" w:line="253" w:lineRule="auto"/>
        <w:rPr>
          <w:sz w:val="20"/>
          <w:szCs w:val="20"/>
          <w:color w:val="auto"/>
        </w:rPr>
      </w:pPr>
      <w:r>
        <w:rPr>
          <w:rFonts w:ascii="Arial" w:cs="Arial" w:eastAsia="Arial" w:hAnsi="Arial"/>
          <w:sz w:val="22"/>
          <w:szCs w:val="22"/>
          <w:color w:val="auto"/>
        </w:rPr>
        <w:t xml:space="preserve">or against any Related Party of any of the foregoing acting for such Agent-Related Person in connection with such capacity. The obligations of the Lenders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11.04(c)</w:t>
      </w:r>
      <w:r>
        <w:rPr>
          <w:rFonts w:ascii="Arial" w:cs="Arial" w:eastAsia="Arial" w:hAnsi="Arial"/>
          <w:sz w:val="22"/>
          <w:szCs w:val="22"/>
          <w:color w:val="auto"/>
        </w:rPr>
        <w:t xml:space="preserve"> are subject to the provisions of </w:t>
      </w:r>
      <w:r>
        <w:rPr>
          <w:rFonts w:ascii="Arial" w:cs="Arial" w:eastAsia="Arial" w:hAnsi="Arial"/>
          <w:sz w:val="22"/>
          <w:szCs w:val="22"/>
          <w:u w:val="single" w:color="auto"/>
          <w:color w:val="auto"/>
        </w:rPr>
        <w:t>Section 2.12(d)</w:t>
      </w:r>
      <w:r>
        <w:rPr>
          <w:rFonts w:ascii="Arial" w:cs="Arial" w:eastAsia="Arial" w:hAnsi="Arial"/>
          <w:sz w:val="22"/>
          <w:szCs w:val="22"/>
          <w:color w:val="auto"/>
        </w:rPr>
        <w:t>.</w:t>
      </w:r>
    </w:p>
    <w:p>
      <w:pPr>
        <w:spacing w:after="0" w:line="185" w:lineRule="exact"/>
        <w:rPr>
          <w:sz w:val="20"/>
          <w:szCs w:val="20"/>
          <w:color w:val="auto"/>
        </w:rPr>
      </w:pPr>
    </w:p>
    <w:p>
      <w:pPr>
        <w:jc w:val="both"/>
        <w:ind w:left="540" w:right="539" w:firstLine="725"/>
        <w:spacing w:after="0" w:line="284" w:lineRule="auto"/>
        <w:tabs>
          <w:tab w:leader="none" w:pos="1836"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(i) the Borrower and any Loan Party shall not assert, and the Borrower and each Loan Party hereby waives, any claim against the Administrative Agent, any Arranger, any Co-Syndication Agent, any L/C Issuer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 except to the extent that such damages are determined by a court of competent jurisdiction by a final and nonappealable judgment to have resulted from the gross negligence or willful misconduct of such Lender-Related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will any Lender-Related Person have any liability for indirect, special, incidental, consequential or punitive damages (as opposed to direct or actual damages) and (ii) none of the parties to this Agreement shall assert, and each party hereto hereby any waives, losses, claims (including intraparty claims), demands, damages or liabilities of any kind against any other party hereto, on any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11.04(d)</w:t>
      </w:r>
      <w:r>
        <w:rPr>
          <w:rFonts w:ascii="Arial" w:cs="Arial" w:eastAsia="Arial" w:hAnsi="Arial"/>
          <w:sz w:val="19"/>
          <w:szCs w:val="19"/>
          <w:color w:val="auto"/>
        </w:rPr>
        <w:t xml:space="preserve"> relieve the Borrower or any other Loan Party of any obligation it may have to indemnify an Indemnitee, as provided in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against any special, indirect, consequential or punitive damages asserted against such Indemnitee by a third party. Nothing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11.04(d)</w:t>
      </w:r>
      <w:r>
        <w:rPr>
          <w:rFonts w:ascii="Arial" w:cs="Arial" w:eastAsia="Arial" w:hAnsi="Arial"/>
          <w:sz w:val="19"/>
          <w:szCs w:val="19"/>
          <w:color w:val="auto"/>
        </w:rPr>
        <w:t xml:space="preserve"> shall abrogate, modify or diminish the obligations of the Administrative Agent, the Lenders and the L/C Issuers to keep certain information confidential in the manner and to the extent provided in </w:t>
      </w:r>
      <w:r>
        <w:rPr>
          <w:rFonts w:ascii="Arial" w:cs="Arial" w:eastAsia="Arial" w:hAnsi="Arial"/>
          <w:sz w:val="19"/>
          <w:szCs w:val="19"/>
          <w:u w:val="single" w:color="auto"/>
          <w:color w:val="auto"/>
        </w:rPr>
        <w:t>Section 11.07</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540" w:right="559" w:firstLine="725"/>
        <w:spacing w:after="0" w:line="263" w:lineRule="auto"/>
        <w:tabs>
          <w:tab w:leader="none" w:pos="1836"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All amounts due under this </w:t>
      </w:r>
      <w:r>
        <w:rPr>
          <w:rFonts w:ascii="Arial" w:cs="Arial" w:eastAsia="Arial" w:hAnsi="Arial"/>
          <w:sz w:val="22"/>
          <w:szCs w:val="22"/>
          <w:u w:val="single" w:color="auto"/>
          <w:color w:val="auto"/>
        </w:rPr>
        <w:t>Section 11.04</w:t>
      </w:r>
      <w:r>
        <w:rPr>
          <w:rFonts w:ascii="Arial" w:cs="Arial" w:eastAsia="Arial" w:hAnsi="Arial"/>
          <w:sz w:val="22"/>
          <w:szCs w:val="22"/>
          <w:color w:val="auto"/>
        </w:rPr>
        <w:t xml:space="preserve"> will be payable not later than ten (10) Business Days after demand therefor.</w:t>
      </w:r>
    </w:p>
    <w:p>
      <w:pPr>
        <w:spacing w:after="0" w:line="174" w:lineRule="exact"/>
        <w:rPr>
          <w:rFonts w:ascii="Arial" w:cs="Arial" w:eastAsia="Arial" w:hAnsi="Arial"/>
          <w:sz w:val="22"/>
          <w:szCs w:val="22"/>
          <w:color w:val="auto"/>
        </w:rPr>
      </w:pPr>
    </w:p>
    <w:p>
      <w:pPr>
        <w:jc w:val="both"/>
        <w:ind w:left="540" w:right="539" w:firstLine="725"/>
        <w:spacing w:after="0" w:line="250" w:lineRule="auto"/>
        <w:tabs>
          <w:tab w:leader="none" w:pos="1836"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agreements in this </w:t>
      </w:r>
      <w:r>
        <w:rPr>
          <w:rFonts w:ascii="Arial" w:cs="Arial" w:eastAsia="Arial" w:hAnsi="Arial"/>
          <w:sz w:val="22"/>
          <w:szCs w:val="22"/>
          <w:u w:val="single" w:color="auto"/>
          <w:color w:val="auto"/>
        </w:rPr>
        <w:t>Section 11.04</w:t>
      </w:r>
      <w:r>
        <w:rPr>
          <w:rFonts w:ascii="Arial" w:cs="Arial" w:eastAsia="Arial" w:hAnsi="Arial"/>
          <w:sz w:val="22"/>
          <w:szCs w:val="22"/>
          <w:color w:val="auto"/>
        </w:rPr>
        <w:t xml:space="preserve"> will survive the resignation of the Administrative Agent or any L/C Issuer, the replacement of any Lender, the termination of the Aggregate Commitments and the repayment, satisfaction or discharge of any and all of the Obligations.</w:t>
      </w:r>
    </w:p>
    <w:p>
      <w:pPr>
        <w:spacing w:after="0" w:line="188" w:lineRule="exact"/>
        <w:rPr>
          <w:sz w:val="20"/>
          <w:szCs w:val="20"/>
          <w:color w:val="auto"/>
        </w:rPr>
      </w:pPr>
    </w:p>
    <w:p>
      <w:pPr>
        <w:jc w:val="both"/>
        <w:ind w:left="540" w:right="559" w:firstLine="648"/>
        <w:spacing w:after="0" w:line="290" w:lineRule="auto"/>
        <w:rPr>
          <w:sz w:val="20"/>
          <w:szCs w:val="20"/>
          <w:color w:val="auto"/>
        </w:rPr>
      </w:pPr>
      <w:r>
        <w:rPr>
          <w:rFonts w:ascii="Arial" w:cs="Arial" w:eastAsia="Arial" w:hAnsi="Arial"/>
          <w:sz w:val="19"/>
          <w:szCs w:val="19"/>
          <w:color w:val="auto"/>
        </w:rPr>
        <w:t xml:space="preserve">SECTION 11.05.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w:t>
      </w:r>
    </w:p>
    <w:p>
      <w:pPr>
        <w:sectPr>
          <w:pgSz w:w="11900" w:h="16838" w:orient="portrait"/>
          <w:cols w:equalWidth="0" w:num="1">
            <w:col w:w="9019"/>
          </w:cols>
          <w:pgMar w:left="1440" w:top="928" w:right="1440"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6" w:name="page237"/>
    <w:bookmarkEnd w:id="236"/>
    <w:p>
      <w:pPr>
        <w:jc w:val="both"/>
        <w:ind w:left="540" w:right="479"/>
        <w:spacing w:after="0" w:line="288" w:lineRule="auto"/>
        <w:rPr>
          <w:sz w:val="20"/>
          <w:szCs w:val="20"/>
          <w:color w:val="auto"/>
        </w:rPr>
      </w:pPr>
      <w:r>
        <w:rPr>
          <w:rFonts w:ascii="Arial" w:cs="Arial" w:eastAsia="Arial" w:hAnsi="Arial"/>
          <w:sz w:val="19"/>
          <w:szCs w:val="19"/>
          <w:color w:val="auto"/>
        </w:rPr>
        <w:t>extent of such recovery, the obligation or part thereof originally intended to be satisfied will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will survive the payment in full of the Obligations and the termination of this Agreement.</w:t>
      </w:r>
    </w:p>
    <w:p>
      <w:pPr>
        <w:spacing w:after="0" w:line="159" w:lineRule="exact"/>
        <w:rPr>
          <w:sz w:val="20"/>
          <w:szCs w:val="20"/>
          <w:color w:val="auto"/>
        </w:rPr>
      </w:pPr>
    </w:p>
    <w:p>
      <w:pPr>
        <w:ind w:left="1180"/>
        <w:spacing w:after="0"/>
        <w:tabs>
          <w:tab w:leader="none" w:pos="3120" w:val="left"/>
          <w:tab w:leader="none" w:pos="5680" w:val="left"/>
          <w:tab w:leader="none" w:pos="620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Successors  and  Assigns</w:t>
      </w:r>
    </w:p>
    <w:p>
      <w:pPr>
        <w:spacing w:after="0" w:line="21"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(including any Affiliate of any L/C Issuer that issues any Letter of Credit), except that neither the Borrower nor any other Loan Party may assign or otherwise transfer any of its rights or obligations hereunder without the prior written consent of the Administrative Agent and each Lender (except in connection with any merger or consolidation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11.06(e)</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11.06(g)</w:t>
      </w:r>
      <w:r>
        <w:rPr>
          <w:rFonts w:ascii="Arial" w:cs="Arial" w:eastAsia="Arial" w:hAnsi="Arial"/>
          <w:sz w:val="19"/>
          <w:szCs w:val="19"/>
          <w:color w:val="auto"/>
        </w:rPr>
        <w:t xml:space="preserve"> (and any other attempted assignment or transfer by any such party hereto shall be null and void). Nothing in this Agreement, expressed or implied, shall be construed to confer upon any Person (other than the parties hereto, their respective successors and assigns permitted hereby (including any Affiliate of any L/C Issuer that issues any Letter of Credit), Participants to the extent provided in </w:t>
      </w:r>
      <w:r>
        <w:rPr>
          <w:rFonts w:ascii="Arial" w:cs="Arial" w:eastAsia="Arial" w:hAnsi="Arial"/>
          <w:sz w:val="19"/>
          <w:szCs w:val="19"/>
          <w:u w:val="single" w:color="auto"/>
          <w:color w:val="auto"/>
        </w:rPr>
        <w:t>Section 11.06(e)</w:t>
      </w:r>
      <w:r>
        <w:rPr>
          <w:rFonts w:ascii="Arial" w:cs="Arial" w:eastAsia="Arial" w:hAnsi="Arial"/>
          <w:sz w:val="19"/>
          <w:szCs w:val="19"/>
          <w:color w:val="auto"/>
        </w:rPr>
        <w:t>, the Arrangers, the Co-Syndication Agent, the Indemnitees and, to the extent expressly contemplated hereby, the sub-Agent of the Administrative Agent and the Related Parties of any of the Administrative Agent, the Arrangers, any Co-Syndication Agent, the L/C Issuers and the Lenders) any legal or equitable right, remedy or claim under or by reason of this Agreement.</w:t>
      </w:r>
    </w:p>
    <w:p>
      <w:pPr>
        <w:spacing w:after="0" w:line="200" w:lineRule="exact"/>
        <w:rPr>
          <w:sz w:val="20"/>
          <w:szCs w:val="20"/>
          <w:color w:val="auto"/>
        </w:rPr>
      </w:pPr>
    </w:p>
    <w:p>
      <w:pPr>
        <w:spacing w:after="0" w:line="216" w:lineRule="exact"/>
        <w:rPr>
          <w:sz w:val="20"/>
          <w:szCs w:val="20"/>
          <w:color w:val="auto"/>
        </w:rPr>
      </w:pPr>
    </w:p>
    <w:p>
      <w:pPr>
        <w:jc w:val="both"/>
        <w:ind w:left="540" w:right="539" w:firstLine="725"/>
        <w:spacing w:after="0" w:line="265" w:lineRule="auto"/>
        <w:tabs>
          <w:tab w:leader="none" w:pos="1836"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assignment shall be subject to the following conditions:</w:t>
      </w:r>
    </w:p>
    <w:p>
      <w:pPr>
        <w:spacing w:after="0" w:line="175" w:lineRule="exact"/>
        <w:rPr>
          <w:rFonts w:ascii="Arial" w:cs="Arial" w:eastAsia="Arial" w:hAnsi="Arial"/>
          <w:sz w:val="21"/>
          <w:szCs w:val="21"/>
          <w:color w:val="auto"/>
        </w:rPr>
      </w:pPr>
    </w:p>
    <w:p>
      <w:pPr>
        <w:ind w:left="2480" w:hanging="644"/>
        <w:spacing w:after="0"/>
        <w:tabs>
          <w:tab w:leader="none" w:pos="248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Minimum Amounts.</w:t>
      </w:r>
    </w:p>
    <w:p>
      <w:pPr>
        <w:spacing w:after="0" w:line="219" w:lineRule="exact"/>
        <w:rPr>
          <w:rFonts w:ascii="Arial" w:cs="Arial" w:eastAsia="Arial" w:hAnsi="Arial"/>
          <w:sz w:val="22"/>
          <w:szCs w:val="22"/>
          <w:color w:val="auto"/>
        </w:rPr>
      </w:pPr>
    </w:p>
    <w:p>
      <w:pPr>
        <w:jc w:val="both"/>
        <w:ind w:left="1840" w:right="559" w:firstLine="644"/>
        <w:spacing w:after="0" w:line="250" w:lineRule="auto"/>
        <w:tabs>
          <w:tab w:leader="none" w:pos="3136" w:val="left"/>
        </w:tabs>
        <w:numPr>
          <w:ilvl w:val="2"/>
          <w:numId w:val="215"/>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or Loans or in the case of an assignment to a Lender, an Affiliate of a Lender or an Approved Fund, no minimum amount need be assigned; and</w:t>
      </w:r>
    </w:p>
    <w:p>
      <w:pPr>
        <w:spacing w:after="0" w:line="187" w:lineRule="exact"/>
        <w:rPr>
          <w:rFonts w:ascii="Arial" w:cs="Arial" w:eastAsia="Arial" w:hAnsi="Arial"/>
          <w:sz w:val="22"/>
          <w:szCs w:val="22"/>
          <w:color w:val="auto"/>
        </w:rPr>
      </w:pPr>
    </w:p>
    <w:p>
      <w:pPr>
        <w:jc w:val="both"/>
        <w:ind w:left="1840" w:right="539" w:firstLine="653"/>
        <w:spacing w:after="0" w:line="312" w:lineRule="auto"/>
        <w:tabs>
          <w:tab w:leader="none" w:pos="3127" w:val="left"/>
        </w:tabs>
        <w:numPr>
          <w:ilvl w:val="2"/>
          <w:numId w:val="215"/>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Section 11.06(b)(i)(A)</w:t>
      </w:r>
      <w:r>
        <w:rPr>
          <w:rFonts w:ascii="Arial" w:cs="Arial" w:eastAsia="Arial" w:hAnsi="Arial"/>
          <w:sz w:val="19"/>
          <w:szCs w:val="19"/>
          <w:color w:val="auto"/>
        </w:rPr>
        <w:t>, the aggregate amount of the Commitment or, if the Commitment is not then in effect, the principal outstanding balance of the Loans of the assigning</w:t>
      </w:r>
    </w:p>
    <w:p>
      <w:pPr>
        <w:sectPr>
          <w:pgSz w:w="11900" w:h="16838" w:orient="portrait"/>
          <w:cols w:equalWidth="0" w:num="1">
            <w:col w:w="9019"/>
          </w:cols>
          <w:pgMar w:left="1440" w:top="928"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7" w:name="page238"/>
    <w:bookmarkEnd w:id="237"/>
    <w:p>
      <w:pPr>
        <w:jc w:val="both"/>
        <w:ind w:left="1840" w:right="539"/>
        <w:spacing w:after="0" w:line="285" w:lineRule="auto"/>
        <w:rPr>
          <w:sz w:val="20"/>
          <w:szCs w:val="20"/>
          <w:color w:val="auto"/>
        </w:rPr>
      </w:pPr>
      <w:r>
        <w:rPr>
          <w:rFonts w:ascii="Arial" w:cs="Arial" w:eastAsia="Arial" w:hAnsi="Arial"/>
          <w:sz w:val="19"/>
          <w:szCs w:val="19"/>
          <w:color w:val="auto"/>
        </w:rPr>
        <w:t xml:space="preserve">Lender subject to each such assignment, determined as of the date the Assignment and Assumption (or an agreement incorporating by reference a form of Assignment and Assumption posted on the Approved Electronic Platform) with respect to such assignment is delivered to the Administrative Agent or, if a “Trade Date” is specified in the Assignment and Assumption (or such an agreement), as of the Trade Date, shall not be less than $5,000,000 (or the US Dollar Equivalent thereof in the case of any Loan denominated in an Alternative Currency or a Discretionary Alternative Currency) unless each of the Administrative Agent and, so long as no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8.01(f)</w:t>
      </w:r>
      <w:r>
        <w:rPr>
          <w:rFonts w:ascii="Arial" w:cs="Arial" w:eastAsia="Arial" w:hAnsi="Arial"/>
          <w:sz w:val="19"/>
          <w:szCs w:val="19"/>
          <w:color w:val="auto"/>
        </w:rPr>
        <w:t xml:space="preserve"> has occurred and is continuing,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shall be deemed to have consented thereto unless it shall object thereto by written notice to the Administrative Agent within ten (10) Business Days after having received notice thereof;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0" w:lineRule="exact"/>
        <w:rPr>
          <w:sz w:val="20"/>
          <w:szCs w:val="20"/>
          <w:color w:val="auto"/>
        </w:rPr>
      </w:pPr>
    </w:p>
    <w:p>
      <w:pPr>
        <w:jc w:val="both"/>
        <w:ind w:left="1180" w:right="539" w:firstLine="656"/>
        <w:spacing w:after="0" w:line="248" w:lineRule="auto"/>
        <w:tabs>
          <w:tab w:leader="none" w:pos="2476"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or the Commitment so assigned, except that this clause (ii) shall not apply to rights and obligations in respect of Bid Loans.</w:t>
      </w:r>
    </w:p>
    <w:p>
      <w:pPr>
        <w:spacing w:after="0" w:line="191" w:lineRule="exact"/>
        <w:rPr>
          <w:rFonts w:ascii="Arial" w:cs="Arial" w:eastAsia="Arial" w:hAnsi="Arial"/>
          <w:sz w:val="22"/>
          <w:szCs w:val="22"/>
          <w:color w:val="auto"/>
        </w:rPr>
      </w:pPr>
    </w:p>
    <w:p>
      <w:pPr>
        <w:ind w:left="1180" w:right="539" w:firstLine="656"/>
        <w:spacing w:after="0" w:line="343" w:lineRule="auto"/>
        <w:tabs>
          <w:tab w:leader="none" w:pos="2476"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xml:space="preserve">. No consent shall be required for any assignment except to the extent required by </w:t>
      </w:r>
      <w:r>
        <w:rPr>
          <w:rFonts w:ascii="Arial" w:cs="Arial" w:eastAsia="Arial" w:hAnsi="Arial"/>
          <w:sz w:val="19"/>
          <w:szCs w:val="19"/>
          <w:u w:val="single" w:color="auto"/>
          <w:color w:val="auto"/>
        </w:rPr>
        <w:t>Section 11.06(b)(i)(B)</w:t>
      </w:r>
      <w:r>
        <w:rPr>
          <w:rFonts w:ascii="Arial" w:cs="Arial" w:eastAsia="Arial" w:hAnsi="Arial"/>
          <w:sz w:val="19"/>
          <w:szCs w:val="19"/>
          <w:color w:val="auto"/>
        </w:rPr>
        <w:t xml:space="preserve"> and in addition:</w:t>
      </w:r>
    </w:p>
    <w:p>
      <w:pPr>
        <w:spacing w:after="0" w:line="104" w:lineRule="exact"/>
        <w:rPr>
          <w:rFonts w:ascii="Arial" w:cs="Arial" w:eastAsia="Arial" w:hAnsi="Arial"/>
          <w:sz w:val="19"/>
          <w:szCs w:val="19"/>
          <w:color w:val="auto"/>
        </w:rPr>
      </w:pPr>
    </w:p>
    <w:p>
      <w:pPr>
        <w:jc w:val="both"/>
        <w:ind w:left="1840" w:right="559" w:firstLine="644"/>
        <w:spacing w:after="0" w:line="289" w:lineRule="auto"/>
        <w:tabs>
          <w:tab w:leader="none" w:pos="313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conditioned or delayed) shall be required unless (1)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8.01(f)</w:t>
      </w:r>
      <w:r>
        <w:rPr>
          <w:rFonts w:ascii="Arial" w:cs="Arial" w:eastAsia="Arial" w:hAnsi="Arial"/>
          <w:sz w:val="19"/>
          <w:szCs w:val="19"/>
          <w:color w:val="auto"/>
        </w:rPr>
        <w:t xml:space="preserve"> has occurred and is continuing at the time of such assignment or (2) such assignment is to a Lender, an Affiliate of a Lender or an Approved Fund, in each case that is not a Non-Qualifying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shall be deemed to have consented to any such assignment unless it shall object thereto by written notice to the Administrative Agent within ten (10) Business Days after having received notice thereof;</w:t>
      </w:r>
    </w:p>
    <w:p>
      <w:pPr>
        <w:spacing w:after="0" w:line="156" w:lineRule="exact"/>
        <w:rPr>
          <w:rFonts w:ascii="Arial" w:cs="Arial" w:eastAsia="Arial" w:hAnsi="Arial"/>
          <w:sz w:val="19"/>
          <w:szCs w:val="19"/>
          <w:color w:val="auto"/>
        </w:rPr>
      </w:pPr>
    </w:p>
    <w:p>
      <w:pPr>
        <w:jc w:val="both"/>
        <w:ind w:left="1840" w:right="559" w:firstLine="644"/>
        <w:spacing w:after="0" w:line="250" w:lineRule="auto"/>
        <w:tabs>
          <w:tab w:leader="none" w:pos="313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consent of the Administrative Agent (such consent not to be unreasonably withheld, conditioned or delayed) shall be required if such assignment is to a Person that is not a Lender, an Affiliate of such Lender or an Approved Fund; and</w:t>
      </w:r>
    </w:p>
    <w:p>
      <w:pPr>
        <w:spacing w:after="0" w:line="187" w:lineRule="exact"/>
        <w:rPr>
          <w:rFonts w:ascii="Arial" w:cs="Arial" w:eastAsia="Arial" w:hAnsi="Arial"/>
          <w:sz w:val="22"/>
          <w:szCs w:val="22"/>
          <w:color w:val="auto"/>
        </w:rPr>
      </w:pPr>
    </w:p>
    <w:p>
      <w:pPr>
        <w:jc w:val="both"/>
        <w:ind w:left="1840" w:right="559" w:firstLine="644"/>
        <w:spacing w:after="0" w:line="250" w:lineRule="auto"/>
        <w:tabs>
          <w:tab w:leader="none" w:pos="313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consent of each L/C Issuer (such consent not to be unreasonably withheld, conditioned or delayed) shall be required for any assignment of a Commitment or any L/C Obligation or participations therein.</w:t>
      </w:r>
    </w:p>
    <w:p>
      <w:pPr>
        <w:sectPr>
          <w:pgSz w:w="11900" w:h="16838" w:orient="portrait"/>
          <w:cols w:equalWidth="0" w:num="1">
            <w:col w:w="9019"/>
          </w:cols>
          <w:pgMar w:left="1440" w:top="928"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38" w:name="page239"/>
    <w:bookmarkEnd w:id="238"/>
    <w:p>
      <w:pPr>
        <w:jc w:val="both"/>
        <w:ind w:left="1840" w:right="539" w:hanging="12"/>
        <w:spacing w:after="0" w:line="287" w:lineRule="auto"/>
        <w:rPr>
          <w:sz w:val="20"/>
          <w:szCs w:val="20"/>
          <w:color w:val="auto"/>
        </w:rPr>
      </w:pPr>
      <w:r>
        <w:rPr>
          <w:rFonts w:ascii="Arial" w:cs="Arial" w:eastAsia="Arial" w:hAnsi="Arial"/>
          <w:sz w:val="19"/>
          <w:szCs w:val="19"/>
          <w:color w:val="auto"/>
        </w:rPr>
        <w:t>The parties hereto acknowledge and agree that (x) the Administrative Agent shall have no duty or obligation to ascertain whether any Lender is a Non-Qualifying Lender or with respect to obtaining (or confirming the receipt) of any written consent of the Borrower to any assignment to a Non-Qualifying Lender, any such duty and obligation being solely with the assigning Lender and the assignee, and (y) the Administrative Agent may rely upon, and shall incur no liability therefor, any determination by the Borrower, any Lender or any prospective Lender as to whether any Person is a Non-Qualifying Lender (and, in connection with any proposed assignment, may require confirmation by the Borrower as to Borrower’s determination whether the proposed assignee is a Non-Qualifying Lender prior to accepting any such assignment for recordation in the Register).</w:t>
      </w:r>
    </w:p>
    <w:p>
      <w:pPr>
        <w:spacing w:after="0" w:line="145" w:lineRule="exact"/>
        <w:rPr>
          <w:sz w:val="20"/>
          <w:szCs w:val="20"/>
          <w:color w:val="auto"/>
        </w:rPr>
      </w:pPr>
    </w:p>
    <w:p>
      <w:pPr>
        <w:jc w:val="both"/>
        <w:ind w:left="1180" w:right="539" w:firstLine="656"/>
        <w:spacing w:after="0" w:line="290" w:lineRule="auto"/>
        <w:tabs>
          <w:tab w:leader="none" w:pos="2476"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(or an agreement incorporating by reference a form of Assignment and Assumption posted on the Approved Electronic Platform), together with a processing and recordation fee in the amount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55" w:lineRule="exact"/>
        <w:rPr>
          <w:rFonts w:ascii="Arial" w:cs="Arial" w:eastAsia="Arial" w:hAnsi="Arial"/>
          <w:sz w:val="19"/>
          <w:szCs w:val="19"/>
          <w:color w:val="auto"/>
        </w:rPr>
      </w:pPr>
    </w:p>
    <w:p>
      <w:pPr>
        <w:ind w:left="1180" w:right="539" w:firstLine="656"/>
        <w:spacing w:after="0" w:line="263" w:lineRule="auto"/>
        <w:tabs>
          <w:tab w:leader="none" w:pos="2476"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No such assignment shall be made to an Ineligible Institution.</w:t>
      </w:r>
    </w:p>
    <w:p>
      <w:pPr>
        <w:spacing w:after="0" w:line="175" w:lineRule="exact"/>
        <w:rPr>
          <w:sz w:val="20"/>
          <w:szCs w:val="20"/>
          <w:color w:val="auto"/>
        </w:rPr>
      </w:pPr>
    </w:p>
    <w:p>
      <w:pPr>
        <w:ind w:left="1180" w:right="499"/>
        <w:spacing w:after="0" w:line="300"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from and after the effective date specified in each Assignment and Assumption (or an agreement incorporating by reference a form of Assignment and Assumption posted on the Approved Electronic Platform), the assignee thereunder shall be a party to this Agreement and shall,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If any Assignment and Assumption is executed by any Lender holding any Note, the assigning Lender shall, upon the effectiveness of such Assignment and Assumption or as promptly thereafter as practicable, surrender such Note to the Borrower for cancellation.</w:t>
      </w:r>
    </w:p>
    <w:p>
      <w:pPr>
        <w:spacing w:after="0" w:line="369" w:lineRule="exact"/>
        <w:rPr>
          <w:sz w:val="20"/>
          <w:szCs w:val="20"/>
          <w:color w:val="auto"/>
        </w:rPr>
      </w:pPr>
    </w:p>
    <w:p>
      <w:pPr>
        <w:jc w:val="both"/>
        <w:ind w:left="1200" w:right="539" w:hanging="12"/>
        <w:spacing w:after="0" w:line="312" w:lineRule="auto"/>
        <w:rPr>
          <w:sz w:val="20"/>
          <w:szCs w:val="20"/>
          <w:color w:val="auto"/>
        </w:rPr>
      </w:pPr>
      <w:r>
        <w:rPr>
          <w:rFonts w:ascii="Arial" w:cs="Arial" w:eastAsia="Arial" w:hAnsi="Arial"/>
          <w:sz w:val="19"/>
          <w:szCs w:val="19"/>
          <w:color w:val="auto"/>
        </w:rPr>
        <w:t xml:space="preserve">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shall be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6603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39" w:name="page240"/>
    <w:bookmarkEnd w:id="239"/>
    <w:p>
      <w:pPr>
        <w:ind w:left="1200" w:right="559"/>
        <w:spacing w:after="0" w:line="343" w:lineRule="auto"/>
        <w:rPr>
          <w:sz w:val="20"/>
          <w:szCs w:val="20"/>
          <w:color w:val="auto"/>
        </w:rPr>
      </w:pPr>
      <w:r>
        <w:rPr>
          <w:rFonts w:ascii="Arial" w:cs="Arial" w:eastAsia="Arial" w:hAnsi="Arial"/>
          <w:sz w:val="19"/>
          <w:szCs w:val="19"/>
          <w:color w:val="auto"/>
        </w:rPr>
        <w:t xml:space="preserve">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11.06(e)</w:t>
      </w:r>
      <w:r>
        <w:rPr>
          <w:rFonts w:ascii="Arial" w:cs="Arial" w:eastAsia="Arial" w:hAnsi="Arial"/>
          <w:sz w:val="19"/>
          <w:szCs w:val="19"/>
          <w:color w:val="auto"/>
        </w:rPr>
        <w:t>.</w:t>
      </w:r>
    </w:p>
    <w:p>
      <w:pPr>
        <w:spacing w:after="0" w:line="104" w:lineRule="exact"/>
        <w:rPr>
          <w:sz w:val="20"/>
          <w:szCs w:val="20"/>
          <w:color w:val="auto"/>
        </w:rPr>
      </w:pPr>
    </w:p>
    <w:p>
      <w:pPr>
        <w:jc w:val="both"/>
        <w:ind w:left="540" w:right="539" w:firstLine="725"/>
        <w:spacing w:after="0" w:line="285" w:lineRule="auto"/>
        <w:tabs>
          <w:tab w:leader="none" w:pos="1836"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9"/>
          <w:szCs w:val="19"/>
          <w:u w:val="single" w:color="auto"/>
          <w:color w:val="auto"/>
        </w:rPr>
        <w:t>Section 11.06(c)</w:t>
      </w:r>
      <w:r>
        <w:rPr>
          <w:rFonts w:ascii="Arial" w:cs="Arial" w:eastAsia="Arial" w:hAnsi="Arial"/>
          <w:sz w:val="19"/>
          <w:szCs w:val="19"/>
          <w:color w:val="auto"/>
        </w:rPr>
        <w:t>, then the assignee of such interest shall be deemed to be a Defaulting Lender for all purposes of this Agreement until such compliance occurs.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540" w:right="539" w:firstLine="725"/>
        <w:spacing w:after="0" w:line="285" w:lineRule="auto"/>
        <w:tabs>
          <w:tab w:leader="none" w:pos="1836"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(i) The Administrative Agent, acting solely for this purpose as a non-fiduciary agent of the Loan Parties (and such agency being solely for Tax purposes), shall maintain at one of its offices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Loan Parties, the Administrative Agent, the Lenders and the L/C Issuers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Loan Parties and, solely with respect to the Commitments of, and principal amounts (and stated interest) of the Loans or L/C Obligations owing to, any Lender, such Lender or such L/C Issuer, in each case at any reasonable time and from time to time upon reasonable prior notice.</w:t>
      </w:r>
    </w:p>
    <w:p>
      <w:pPr>
        <w:spacing w:after="0" w:line="168" w:lineRule="exact"/>
        <w:rPr>
          <w:rFonts w:ascii="Arial" w:cs="Arial" w:eastAsia="Arial" w:hAnsi="Arial"/>
          <w:sz w:val="19"/>
          <w:szCs w:val="19"/>
          <w:color w:val="auto"/>
        </w:rPr>
      </w:pPr>
    </w:p>
    <w:p>
      <w:pPr>
        <w:jc w:val="both"/>
        <w:ind w:left="1180" w:right="539" w:firstLine="656"/>
        <w:spacing w:after="0" w:line="289" w:lineRule="auto"/>
        <w:tabs>
          <w:tab w:leader="none" w:pos="2476"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Upon receipt by the Administrative Agent of an Assignment and Assumption (or an agreement incorporating by reference a form of Assignment and Assumption posted on an Approved Electronic Platform) executed by an assigning Lender and an assignee, the assignee’s completed Administrative Questionnaire (unless the assignee shall already be a Lender hereunder) and the processing and recordation fee referred to above,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accept such Assignment and Assumption or so record the information contained therein if</w:t>
      </w:r>
    </w:p>
    <w:p>
      <w:pPr>
        <w:sectPr>
          <w:pgSz w:w="11900" w:h="16838" w:orient="portrait"/>
          <w:cols w:equalWidth="0" w:num="1">
            <w:col w:w="9019"/>
          </w:cols>
          <w:pgMar w:left="1440" w:top="928"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0" w:name="page241"/>
    <w:bookmarkEnd w:id="240"/>
    <w:p>
      <w:pPr>
        <w:jc w:val="both"/>
        <w:ind w:left="1180" w:right="539"/>
        <w:spacing w:after="0" w:line="287" w:lineRule="auto"/>
        <w:rPr>
          <w:sz w:val="20"/>
          <w:szCs w:val="20"/>
          <w:color w:val="auto"/>
        </w:rPr>
      </w:pPr>
      <w:r>
        <w:rPr>
          <w:rFonts w:ascii="Arial" w:cs="Arial" w:eastAsia="Arial" w:hAnsi="Arial"/>
          <w:sz w:val="19"/>
          <w:szCs w:val="19"/>
          <w:color w:val="auto"/>
        </w:rPr>
        <w:t xml:space="preserve">the Administrative Agent reasonably believes that such Assignment and Assumption lacks any written consent required by this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w:t>
      </w:r>
      <w:r>
        <w:rPr>
          <w:rFonts w:ascii="Arial" w:cs="Arial" w:eastAsia="Arial" w:hAnsi="Arial"/>
          <w:sz w:val="19"/>
          <w:szCs w:val="19"/>
          <w:u w:val="single" w:color="auto"/>
          <w:color w:val="auto"/>
        </w:rPr>
        <w:t>Section 11.06(d)(ii)</w:t>
      </w:r>
      <w:r>
        <w:rPr>
          <w:rFonts w:ascii="Arial" w:cs="Arial" w:eastAsia="Arial" w:hAnsi="Arial"/>
          <w:sz w:val="19"/>
          <w:szCs w:val="19"/>
          <w:color w:val="auto"/>
        </w:rPr>
        <w:t xml:space="preserve">. Each assignee, by its execution and delivery of an Assignment and Assumption, shall be deemed to have represented to the assigning Lender and the Administrative Agent that such assignee is not a Person made ineligible under </w:t>
      </w:r>
      <w:r>
        <w:rPr>
          <w:rFonts w:ascii="Arial" w:cs="Arial" w:eastAsia="Arial" w:hAnsi="Arial"/>
          <w:sz w:val="19"/>
          <w:szCs w:val="19"/>
          <w:u w:val="single" w:color="auto"/>
          <w:color w:val="auto"/>
        </w:rPr>
        <w:t>Section 11.06(b)(v)</w:t>
      </w:r>
      <w:r>
        <w:rPr>
          <w:rFonts w:ascii="Arial" w:cs="Arial" w:eastAsia="Arial" w:hAnsi="Arial"/>
          <w:sz w:val="19"/>
          <w:szCs w:val="19"/>
          <w:color w:val="auto"/>
        </w:rPr>
        <w:t>.</w:t>
      </w:r>
    </w:p>
    <w:p>
      <w:pPr>
        <w:spacing w:after="0" w:line="159" w:lineRule="exact"/>
        <w:rPr>
          <w:sz w:val="20"/>
          <w:szCs w:val="20"/>
          <w:color w:val="auto"/>
        </w:rPr>
      </w:pPr>
    </w:p>
    <w:p>
      <w:pPr>
        <w:jc w:val="both"/>
        <w:ind w:left="540" w:right="539" w:firstLine="725"/>
        <w:spacing w:after="0" w:line="284" w:lineRule="auto"/>
        <w:tabs>
          <w:tab w:leader="none" w:pos="1836"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the Administrative Agent or any L/C Issuer, sell participations to any Person (other than an Ineligible Institution)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Each Lender that sells a participation shall, acting solely for this purpose as a non-fiduciary agent of the Loan Parties,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Commitment, Loan, Letter of Credit or other obligation is in registered form under Section 5f.103-1(c) or Proposed Section 1.163-5(b) (or, in each case, any amended or successor sections) of the United States Treasury Regulations. For the avoidance of doubt, no Agent (in its capacity as the Administrative Agent) shall have any responsibility for maintaining a Participant Register.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21" w:lineRule="exact"/>
        <w:rPr>
          <w:sz w:val="20"/>
          <w:szCs w:val="20"/>
          <w:color w:val="auto"/>
        </w:rPr>
      </w:pPr>
    </w:p>
    <w:p>
      <w:pPr>
        <w:jc w:val="both"/>
        <w:ind w:left="540" w:right="479" w:firstLine="635"/>
        <w:spacing w:after="0" w:line="290"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second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Section 11.06(f)</w:t>
      </w:r>
      <w:r>
        <w:rPr>
          <w:rFonts w:ascii="Arial" w:cs="Arial" w:eastAsia="Arial" w:hAnsi="Arial"/>
          <w:sz w:val="19"/>
          <w:szCs w:val="19"/>
          <w:color w:val="auto"/>
        </w:rPr>
        <w:t xml:space="preserve">, the Borrower and the other Loan Parties agree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(subject to the requirements and</w:t>
      </w:r>
    </w:p>
    <w:p>
      <w:pPr>
        <w:sectPr>
          <w:pgSz w:w="11900" w:h="16838" w:orient="portrait"/>
          <w:cols w:equalWidth="0" w:num="1">
            <w:col w:w="9019"/>
          </w:cols>
          <w:pgMar w:left="1440" w:top="928"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1" w:name="page242"/>
    <w:bookmarkEnd w:id="241"/>
    <w:p>
      <w:pPr>
        <w:jc w:val="both"/>
        <w:ind w:left="540" w:right="479"/>
        <w:spacing w:after="0" w:line="292" w:lineRule="auto"/>
        <w:rPr>
          <w:sz w:val="20"/>
          <w:szCs w:val="20"/>
          <w:color w:val="auto"/>
        </w:rPr>
      </w:pPr>
      <w:r>
        <w:rPr>
          <w:rFonts w:ascii="Arial" w:cs="Arial" w:eastAsia="Arial" w:hAnsi="Arial"/>
          <w:sz w:val="19"/>
          <w:szCs w:val="19"/>
          <w:color w:val="auto"/>
        </w:rPr>
        <w:t xml:space="preserve">limitations therein) to the same extent as if it were a Lender and had acquired its interest by assignment pursuant to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(it being understood that any documentation required under Section 3.01 shall be delivered to the participating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the provisions of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as if it were a Lender.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as though it were a Lender.</w:t>
      </w:r>
    </w:p>
    <w:p>
      <w:pPr>
        <w:spacing w:after="0" w:line="151" w:lineRule="exact"/>
        <w:rPr>
          <w:sz w:val="20"/>
          <w:szCs w:val="20"/>
          <w:color w:val="auto"/>
        </w:rPr>
      </w:pPr>
    </w:p>
    <w:p>
      <w:pPr>
        <w:jc w:val="both"/>
        <w:ind w:left="540" w:right="479" w:firstLine="635"/>
        <w:spacing w:after="0" w:line="286" w:lineRule="auto"/>
        <w:rPr>
          <w:sz w:val="20"/>
          <w:szCs w:val="20"/>
          <w:color w:val="auto"/>
        </w:rPr>
      </w:pPr>
      <w:r>
        <w:rPr>
          <w:rFonts w:ascii="Arial" w:cs="Arial" w:eastAsia="Arial" w:hAnsi="Arial"/>
          <w:sz w:val="19"/>
          <w:szCs w:val="19"/>
          <w:color w:val="auto"/>
        </w:rPr>
        <w:t>The Borrower may from time to time request any Lender to disclose whether or not such Lender has sold a participation in all or any portion of such Lender's rights and/or obligations under this Agreement (including all or a portion of its Commitment and/or the Loans owing to it); provided that (i) no Lender shall be required to respond to any such request by the Borrower, (ii) any failure by any Lender to respond to such inquiry, and any inaccuracy in the response by any Lender that elects in its sole discretion to respond to such inquiry, in each case shall not cause such Lender to be in breach, default, violation or other noncompliance of this Agreement, (iii) any Lender that fails to respond to such inquiry, and any Lender that elects in its sole discretion to respond to such inquiry, in each case shall not have any liability of any kind to the Borrower or any other Person as a result of such failure to respond or any inaccuracy in any such response and (iv) any failure by such Lender to respond to such inquiry, and any inaccuracy in any response provided by such Lender in its sole discretion, in each case shall not affect the legality, validity or enforceability of any participation sold by such Lender.</w:t>
      </w:r>
    </w:p>
    <w:p>
      <w:pPr>
        <w:spacing w:after="0" w:line="162" w:lineRule="exact"/>
        <w:rPr>
          <w:sz w:val="20"/>
          <w:szCs w:val="20"/>
          <w:color w:val="auto"/>
        </w:rPr>
      </w:pPr>
    </w:p>
    <w:p>
      <w:pPr>
        <w:jc w:val="both"/>
        <w:ind w:left="540" w:right="539" w:firstLine="725"/>
        <w:spacing w:after="0" w:line="259" w:lineRule="auto"/>
        <w:tabs>
          <w:tab w:leader="none" w:pos="1836"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Limitations upon Participant Rights</w:t>
      </w:r>
      <w:r>
        <w:rPr>
          <w:rFonts w:ascii="Arial" w:cs="Arial" w:eastAsia="Arial" w:hAnsi="Arial"/>
          <w:sz w:val="21"/>
          <w:szCs w:val="21"/>
          <w:color w:val="auto"/>
        </w:rPr>
        <w:t xml:space="preserve">. A Participant shall not be entitled to receive any greater payment under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than the applicable Lender would have been entitled to receive with respect to the participation sold to such Participant, unless the sale of the participation to such Participant is made with the Borrower’s prior written consent. Participant agrees, for the benefit of the Borrower, to comply with </w:t>
      </w:r>
      <w:r>
        <w:rPr>
          <w:rFonts w:ascii="Arial" w:cs="Arial" w:eastAsia="Arial" w:hAnsi="Arial"/>
          <w:sz w:val="21"/>
          <w:szCs w:val="21"/>
          <w:u w:val="single" w:color="auto"/>
          <w:color w:val="auto"/>
        </w:rPr>
        <w:t>Sections 3.01(e)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3.01(g)</w:t>
      </w:r>
      <w:r>
        <w:rPr>
          <w:rFonts w:ascii="Arial" w:cs="Arial" w:eastAsia="Arial" w:hAnsi="Arial"/>
          <w:sz w:val="21"/>
          <w:szCs w:val="21"/>
          <w:color w:val="auto"/>
        </w:rPr>
        <w:t xml:space="preserve"> as though it were a Lender (it being understood that any documentation required under Section 3.01 shall be delivered by the Participant to the participating Lender).</w:t>
      </w:r>
    </w:p>
    <w:p>
      <w:pPr>
        <w:spacing w:after="0" w:line="183" w:lineRule="exact"/>
        <w:rPr>
          <w:rFonts w:ascii="Arial" w:cs="Arial" w:eastAsia="Arial" w:hAnsi="Arial"/>
          <w:sz w:val="21"/>
          <w:szCs w:val="21"/>
          <w:color w:val="auto"/>
        </w:rPr>
      </w:pPr>
    </w:p>
    <w:p>
      <w:pPr>
        <w:jc w:val="both"/>
        <w:ind w:left="540" w:right="539" w:firstLine="725"/>
        <w:spacing w:after="0" w:line="259" w:lineRule="auto"/>
        <w:tabs>
          <w:tab w:leader="none" w:pos="1836"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Certain Pledges</w:t>
      </w:r>
      <w:r>
        <w:rPr>
          <w:rFonts w:ascii="Arial" w:cs="Arial" w:eastAsia="Arial" w:hAnsi="Arial"/>
          <w:sz w:val="21"/>
          <w:szCs w:val="21"/>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having jurisdiction over such Lender, and this </w:t>
      </w:r>
      <w:r>
        <w:rPr>
          <w:rFonts w:ascii="Arial" w:cs="Arial" w:eastAsia="Arial" w:hAnsi="Arial"/>
          <w:sz w:val="21"/>
          <w:szCs w:val="21"/>
          <w:u w:val="single" w:color="auto"/>
          <w:color w:val="auto"/>
        </w:rPr>
        <w:t>Section 11.06</w:t>
      </w:r>
      <w:r>
        <w:rPr>
          <w:rFonts w:ascii="Arial" w:cs="Arial" w:eastAsia="Arial" w:hAnsi="Arial"/>
          <w:sz w:val="21"/>
          <w:szCs w:val="21"/>
          <w:color w:val="auto"/>
        </w:rPr>
        <w:t xml:space="preserve"> shall not apply to any such pledge or assignment to secure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83" w:lineRule="exact"/>
        <w:rPr>
          <w:rFonts w:ascii="Arial" w:cs="Arial" w:eastAsia="Arial" w:hAnsi="Arial"/>
          <w:sz w:val="21"/>
          <w:szCs w:val="21"/>
          <w:color w:val="auto"/>
        </w:rPr>
      </w:pPr>
    </w:p>
    <w:p>
      <w:pPr>
        <w:ind w:left="1840" w:hanging="575"/>
        <w:spacing w:after="0"/>
        <w:tabs>
          <w:tab w:leader="none" w:pos="1840"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Disqualified Competitors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180" w:right="539" w:firstLine="656"/>
        <w:spacing w:after="0" w:line="297" w:lineRule="auto"/>
        <w:tabs>
          <w:tab w:leader="none" w:pos="2476" w:val="left"/>
        </w:tabs>
        <w:numPr>
          <w:ilvl w:val="1"/>
          <w:numId w:val="220"/>
        </w:numPr>
        <w:rPr>
          <w:rFonts w:ascii="Arial" w:cs="Arial" w:eastAsia="Arial" w:hAnsi="Arial"/>
          <w:sz w:val="19"/>
          <w:szCs w:val="19"/>
          <w:color w:val="auto"/>
        </w:rPr>
      </w:pPr>
      <w:r>
        <w:rPr>
          <w:rFonts w:ascii="Arial" w:cs="Arial" w:eastAsia="Arial" w:hAnsi="Arial"/>
          <w:sz w:val="19"/>
          <w:szCs w:val="19"/>
          <w:color w:val="auto"/>
        </w:rPr>
        <w:t>No assignment or participation shall be made to any Person that was a Disqualified Competitor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on which the assigning Lender entered into a binding agreement to sell and assign or grant a participation in all or a portion of its rights and obligations under this Agreement to such Person (unless the Borrower has consented to such assignment or participation in writing</w:t>
      </w:r>
    </w:p>
    <w:p>
      <w:pPr>
        <w:sectPr>
          <w:pgSz w:w="11900" w:h="16838" w:orient="portrait"/>
          <w:cols w:equalWidth="0" w:num="1">
            <w:col w:w="9019"/>
          </w:cols>
          <w:pgMar w:left="1440" w:top="928" w:right="1440"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2" w:name="page243"/>
    <w:bookmarkEnd w:id="242"/>
    <w:p>
      <w:pPr>
        <w:jc w:val="both"/>
        <w:ind w:left="1180" w:right="539"/>
        <w:spacing w:after="0" w:line="284" w:lineRule="auto"/>
        <w:rPr>
          <w:sz w:val="20"/>
          <w:szCs w:val="20"/>
          <w:color w:val="auto"/>
        </w:rPr>
      </w:pPr>
      <w:r>
        <w:rPr>
          <w:rFonts w:ascii="Arial" w:cs="Arial" w:eastAsia="Arial" w:hAnsi="Arial"/>
          <w:sz w:val="19"/>
          <w:szCs w:val="19"/>
          <w:color w:val="auto"/>
        </w:rPr>
        <w:t>in its sole and absolute discretion, in which case such Person will not be considered a Disqualified Competitor for the purpose of such assignment or participation). For the avoidance of doubt, with respect to any assignee or Participant that becomes a Disqualified Competitor after the applicable Trade Date (including as a result of the delivery of a written supplement to the list of “Disqualified Competitors” referred to in, the definition of “Disqualified Competitor”), (x) such assignee or Participant shall not retroactively be disqualified from becoming a Lender or Participant and</w:t>
      </w:r>
    </w:p>
    <w:p>
      <w:pPr>
        <w:spacing w:after="0" w:line="4" w:lineRule="exact"/>
        <w:rPr>
          <w:sz w:val="20"/>
          <w:szCs w:val="20"/>
          <w:color w:val="auto"/>
        </w:rPr>
      </w:pPr>
    </w:p>
    <w:p>
      <w:pPr>
        <w:jc w:val="both"/>
        <w:ind w:left="1180" w:right="539" w:firstLine="8"/>
        <w:spacing w:after="0" w:line="295" w:lineRule="auto"/>
        <w:tabs>
          <w:tab w:leader="none" w:pos="1503"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execution by the Borrower of an Assignment and Assumption with respect to such assignee will not by itself result in such assignee no longer being considered a Disqualified Competitor. Any assignment or participation in violation of this clause (h)(i) shall not be void, but the other provisions of this clause (h) shall apply.</w:t>
      </w:r>
    </w:p>
    <w:p>
      <w:pPr>
        <w:spacing w:after="0" w:line="149" w:lineRule="exact"/>
        <w:rPr>
          <w:rFonts w:ascii="Arial" w:cs="Arial" w:eastAsia="Arial" w:hAnsi="Arial"/>
          <w:sz w:val="19"/>
          <w:szCs w:val="19"/>
          <w:color w:val="auto"/>
        </w:rPr>
      </w:pPr>
    </w:p>
    <w:p>
      <w:pPr>
        <w:jc w:val="both"/>
        <w:ind w:left="1180" w:right="539" w:firstLine="656"/>
        <w:spacing w:after="0" w:line="287" w:lineRule="auto"/>
        <w:tabs>
          <w:tab w:leader="none" w:pos="247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 xml:space="preserve">If any assignment or participation is made to any Disqualified Competitor without the Borrower’s prior written consent in violation of clause (i) above, or if any Person becomes a Disqualified Competitor after the applicable Trade Date, the Borrower may, at its sole expense and effort, upon notice to the applicable Disqualified Competitor and the Administrative Agent, require such Disqualified Competitor to assign, without recourse (in accordance with and subject to the restrictions contained in this </w:t>
      </w:r>
      <w:r>
        <w:rPr>
          <w:rFonts w:ascii="Arial" w:cs="Arial" w:eastAsia="Arial" w:hAnsi="Arial"/>
          <w:sz w:val="19"/>
          <w:szCs w:val="19"/>
          <w:u w:val="single" w:color="auto"/>
          <w:color w:val="auto"/>
        </w:rPr>
        <w:t>Section 11.06</w:t>
      </w:r>
      <w:r>
        <w:rPr>
          <w:rFonts w:ascii="Arial" w:cs="Arial" w:eastAsia="Arial" w:hAnsi="Arial"/>
          <w:sz w:val="19"/>
          <w:szCs w:val="19"/>
          <w:color w:val="auto"/>
        </w:rPr>
        <w:t>), all of its interest, rights and obligations under this Agreement to one or more Persons (other than an Ineligible Institution) at the lesser of (x) the principal amount thereof and (y) the amount that such Disqualified Competitor paid to acquire such interests, rights and obligations in each case plus accrued interest, accrued fees and all other amounts (other than principal amounts) payable to it hereunder.</w:t>
      </w:r>
    </w:p>
    <w:p>
      <w:pPr>
        <w:spacing w:after="0" w:line="158" w:lineRule="exact"/>
        <w:rPr>
          <w:rFonts w:ascii="Arial" w:cs="Arial" w:eastAsia="Arial" w:hAnsi="Arial"/>
          <w:sz w:val="19"/>
          <w:szCs w:val="19"/>
          <w:color w:val="auto"/>
        </w:rPr>
      </w:pPr>
    </w:p>
    <w:p>
      <w:pPr>
        <w:jc w:val="both"/>
        <w:ind w:left="1180" w:right="539" w:firstLine="656"/>
        <w:spacing w:after="0" w:line="284" w:lineRule="auto"/>
        <w:tabs>
          <w:tab w:leader="none" w:pos="2476" w:val="left"/>
        </w:tabs>
        <w:numPr>
          <w:ilvl w:val="1"/>
          <w:numId w:val="22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Competitors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Competitor will be deemed to have consented in the same proportion as the Lenders that are not Disqualified Competitors consented to such matter and (y) for purposes of voting on any plan of reorganization, each Disqualified Competitor party hereto hereby agrees (1) not to vote on such plan of reorganization, (2) if such Disqualified Competitor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3" w:name="page244"/>
    <w:bookmarkEnd w:id="243"/>
    <w:p>
      <w:pPr>
        <w:ind w:left="1180" w:right="539"/>
        <w:spacing w:after="0" w:line="263" w:lineRule="auto"/>
        <w:rPr>
          <w:sz w:val="20"/>
          <w:szCs w:val="20"/>
          <w:color w:val="auto"/>
        </w:rPr>
      </w:pPr>
      <w:r>
        <w:rPr>
          <w:rFonts w:ascii="Arial" w:cs="Arial" w:eastAsia="Arial" w:hAnsi="Arial"/>
          <w:sz w:val="22"/>
          <w:szCs w:val="22"/>
          <w:color w:val="auto"/>
        </w:rPr>
        <w:t>any party for a determination by the Bankruptcy Court (or other applicable court of competent jurisdiction) effectuating the foregoing clause (2).</w:t>
      </w:r>
    </w:p>
    <w:p>
      <w:pPr>
        <w:spacing w:after="0" w:line="175" w:lineRule="exact"/>
        <w:rPr>
          <w:sz w:val="20"/>
          <w:szCs w:val="20"/>
          <w:color w:val="auto"/>
        </w:rPr>
      </w:pPr>
    </w:p>
    <w:p>
      <w:pPr>
        <w:jc w:val="both"/>
        <w:ind w:left="1180" w:right="539" w:firstLine="656"/>
        <w:spacing w:after="0" w:line="261" w:lineRule="auto"/>
        <w:tabs>
          <w:tab w:leader="none" w:pos="2476" w:val="left"/>
        </w:tabs>
        <w:numPr>
          <w:ilvl w:val="1"/>
          <w:numId w:val="222"/>
        </w:numPr>
        <w:rPr>
          <w:rFonts w:ascii="Arial" w:cs="Arial" w:eastAsia="Arial" w:hAnsi="Arial"/>
          <w:sz w:val="21"/>
          <w:szCs w:val="21"/>
          <w:color w:val="auto"/>
        </w:rPr>
      </w:pPr>
      <w:r>
        <w:rPr>
          <w:rFonts w:ascii="Arial" w:cs="Arial" w:eastAsia="Arial" w:hAnsi="Arial"/>
          <w:sz w:val="21"/>
          <w:szCs w:val="21"/>
          <w:color w:val="auto"/>
        </w:rPr>
        <w:t>The Administrative Agent shall have the right, and the Borrower hereby expressly authorizes the Administrative Agent, to (A) post the list of Disqualified Competitors provided by the Borrower and any updates thereto from time to time (collectively, the “</w:t>
      </w:r>
      <w:r>
        <w:rPr>
          <w:rFonts w:ascii="Arial" w:cs="Arial" w:eastAsia="Arial" w:hAnsi="Arial"/>
          <w:sz w:val="21"/>
          <w:szCs w:val="21"/>
          <w:u w:val="single" w:color="auto"/>
          <w:color w:val="auto"/>
        </w:rPr>
        <w:t>DQ List</w:t>
      </w:r>
      <w:r>
        <w:rPr>
          <w:rFonts w:ascii="Arial" w:cs="Arial" w:eastAsia="Arial" w:hAnsi="Arial"/>
          <w:sz w:val="21"/>
          <w:szCs w:val="21"/>
          <w:color w:val="auto"/>
        </w:rPr>
        <w:t>”) on a Platform, including that portion of such Platform that is designated for “public side” Lenders and/or (B) provide the DQ List to each Lender or potential Lender requesting the same.</w:t>
      </w:r>
    </w:p>
    <w:p>
      <w:pPr>
        <w:spacing w:after="0" w:line="179" w:lineRule="exact"/>
        <w:rPr>
          <w:rFonts w:ascii="Arial" w:cs="Arial" w:eastAsia="Arial" w:hAnsi="Arial"/>
          <w:sz w:val="21"/>
          <w:szCs w:val="21"/>
          <w:color w:val="auto"/>
        </w:rPr>
      </w:pPr>
    </w:p>
    <w:p>
      <w:pPr>
        <w:jc w:val="both"/>
        <w:ind w:left="1180" w:right="539" w:firstLine="656"/>
        <w:spacing w:after="0" w:line="289" w:lineRule="auto"/>
        <w:tabs>
          <w:tab w:leader="none" w:pos="2476"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 Administrative Agent and the Lenders shall not be responsible or have any liability for, or have any duty to ascertain, inquire into, monitor or enforce, compliance with the provisions hereof relating to Disqualified Competitors. Without limiting the generality of the foregoing, neither the Administrative Agent nor any Lender shall (x) be obligated to ascertain, monitor or inquire as to whether any other Lender or Participant or prospective Lender or Participant is a Disqualified Competitor or (y) have any liability with respect to or arising out of any assignment or participation of Loans, or disclosure of confidential information, by any other Person to any Disqualified Competitor.</w:t>
      </w:r>
    </w:p>
    <w:p>
      <w:pPr>
        <w:spacing w:after="0" w:line="156" w:lineRule="exact"/>
        <w:rPr>
          <w:rFonts w:ascii="Arial" w:cs="Arial" w:eastAsia="Arial" w:hAnsi="Arial"/>
          <w:sz w:val="19"/>
          <w:szCs w:val="19"/>
          <w:color w:val="auto"/>
        </w:rPr>
      </w:pPr>
    </w:p>
    <w:p>
      <w:pPr>
        <w:jc w:val="both"/>
        <w:ind w:left="540" w:right="539" w:firstLine="725"/>
        <w:spacing w:after="0" w:line="285" w:lineRule="auto"/>
        <w:tabs>
          <w:tab w:leader="none" w:pos="183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Resignation as L/C Issuer after Assignment. Notwithstanding anything to the contrary contained herein, if at any time any Lender that is also an L/C Issuer assigns all of its Commitment and Loans pursuant to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such Lender may, upon 30 days’ notice to the Borrower and the Lenders, resign as L/C Issuer. In the event of any such resignation as an L/C Issuer, the Borrower shall be entitled to appoint from among the Lenders consenting to act in such capacity a successor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failure by the Borrower to appoint any such successor nor such successor’s acceptance of such appointment shall affect the resignation of such Lender as an L/C Issuer. If a Lender resigns as L/C Issuer, it shall retain all the rights, powers, privileges and duties of the L/C Issuer hereunder with respect to all Letters of Credit outstanding as of the effective date of its resignation as an L/C Issuer and all L/C Obligations with respect thereto (including the right to require the Lenders to make Base Rate Committed Loans or fund risk participations in Unreimbursed Amounts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 successor L/C Issuer, and such successor’s acceptance of such appointment, such successor shall succeed to and become vested with all of the rights, powers, privileges and duties of an L/C Issuer.</w:t>
      </w:r>
    </w:p>
    <w:p>
      <w:pPr>
        <w:spacing w:after="0" w:line="169"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Administrative Agent, the Lenders and the L/C Issuers agrees to maintain the confidentiality of the Information (as defined below), except that Information may be disclosed (a) to its Affiliates and to its and its Affiliates’ respective directors, officers, employees, Agent,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(d) to any other party hereto, (e) in connection with the</w:t>
      </w:r>
    </w:p>
    <w:p>
      <w:pPr>
        <w:sectPr>
          <w:pgSz w:w="11900" w:h="16838" w:orient="portrait"/>
          <w:cols w:equalWidth="0" w:num="1">
            <w:col w:w="9019"/>
          </w:cols>
          <w:pgMar w:left="1440" w:top="928"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4" w:name="page245"/>
    <w:bookmarkEnd w:id="244"/>
    <w:p>
      <w:pPr>
        <w:jc w:val="both"/>
        <w:ind w:left="540" w:right="479"/>
        <w:spacing w:after="0" w:line="283" w:lineRule="auto"/>
        <w:rPr>
          <w:sz w:val="20"/>
          <w:szCs w:val="20"/>
          <w:color w:val="auto"/>
        </w:rPr>
      </w:pPr>
      <w:r>
        <w:rPr>
          <w:rFonts w:ascii="Arial" w:cs="Arial" w:eastAsia="Arial" w:hAnsi="Arial"/>
          <w:sz w:val="19"/>
          <w:szCs w:val="19"/>
          <w:color w:val="auto"/>
        </w:rPr>
        <w:t xml:space="preserve">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9"/>
          <w:szCs w:val="19"/>
          <w:u w:val="single" w:color="auto"/>
          <w:color w:val="auto"/>
        </w:rPr>
        <w:t>Section 11.07</w:t>
      </w:r>
      <w:r>
        <w:rPr>
          <w:rFonts w:ascii="Arial" w:cs="Arial" w:eastAsia="Arial" w:hAnsi="Arial"/>
          <w:sz w:val="19"/>
          <w:szCs w:val="19"/>
          <w:color w:val="auto"/>
        </w:rPr>
        <w:t xml:space="preserve">, to (i) any assignee of or Participant (or its advisors) in, or any prospective assignee of or Participant (or its advisors) in, any of its rights or obligations under this Agreement (it being understood that the DQ List may be disclosed to any assignee or Participant, or prospective assignee or Participant, in reliance on this clause (f)) or any Eligible Assignee invited to be a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2.15(c)</w:t>
      </w:r>
      <w:r>
        <w:rPr>
          <w:rFonts w:ascii="Arial" w:cs="Arial" w:eastAsia="Arial" w:hAnsi="Arial"/>
          <w:sz w:val="19"/>
          <w:szCs w:val="19"/>
          <w:color w:val="auto"/>
        </w:rPr>
        <w:t xml:space="preserve"> or (ii) any actual or prospective counterparty (or its advisors) to any swap or derivative transaction relating to the Borrower or any other Subsidiary and its obligations,</w:t>
      </w:r>
    </w:p>
    <w:p>
      <w:pPr>
        <w:spacing w:after="0" w:line="7" w:lineRule="exact"/>
        <w:rPr>
          <w:sz w:val="20"/>
          <w:szCs w:val="20"/>
          <w:color w:val="auto"/>
        </w:rPr>
      </w:pPr>
    </w:p>
    <w:p>
      <w:pPr>
        <w:jc w:val="both"/>
        <w:ind w:left="540" w:right="479"/>
        <w:spacing w:after="0" w:line="285" w:lineRule="auto"/>
        <w:tabs>
          <w:tab w:leader="none" w:pos="847"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with the consent of the Borrower, (h) to the extent such Information (i) becomes publicly available other than as a result of a breach of this </w:t>
      </w:r>
      <w:r>
        <w:rPr>
          <w:rFonts w:ascii="Arial" w:cs="Arial" w:eastAsia="Arial" w:hAnsi="Arial"/>
          <w:sz w:val="19"/>
          <w:szCs w:val="19"/>
          <w:u w:val="single" w:color="auto"/>
          <w:color w:val="auto"/>
        </w:rPr>
        <w:t>Section 11.07</w:t>
      </w:r>
      <w:r>
        <w:rPr>
          <w:rFonts w:ascii="Arial" w:cs="Arial" w:eastAsia="Arial" w:hAnsi="Arial"/>
          <w:sz w:val="19"/>
          <w:szCs w:val="19"/>
          <w:color w:val="auto"/>
        </w:rPr>
        <w:t xml:space="preserve">, (ii) becomes available to the Administrative Agent, any Lender, any L/C Issuer or any of their respective Affiliates on a nonconfidential basis from a third party that is not to the knowledge of the Administrative Agent, any Lender or any L/C Issuer subject to confidentiality obligations to the Borrower with respect to such Information, (i) to market data collectors or similar service providers, including league table providers, to the lending industry, in each case, limited to information regarding the closing, size and type of facilities hereunder and the purpose of and parties to this Agreement or (j) on a confidential basis to any rating agency. It is agreed that, notwithstanding the restrictions of any prior confidentiality agreement with Borrower or any Subsidiary binding on the Administrative Agent, any Arranger or any Co-Syndication Agent, or any of their respective Affiliates, such Persons (and their respective Affiliates) may disclose Information as provided in this </w:t>
      </w:r>
      <w:r>
        <w:rPr>
          <w:rFonts w:ascii="Arial" w:cs="Arial" w:eastAsia="Arial" w:hAnsi="Arial"/>
          <w:sz w:val="19"/>
          <w:szCs w:val="19"/>
          <w:u w:val="single" w:color="auto"/>
          <w:color w:val="auto"/>
        </w:rPr>
        <w:t>Section 11.07</w:t>
      </w:r>
      <w:r>
        <w:rPr>
          <w:rFonts w:ascii="Arial" w:cs="Arial" w:eastAsia="Arial" w:hAnsi="Arial"/>
          <w:sz w:val="19"/>
          <w:szCs w:val="19"/>
          <w:color w:val="auto"/>
        </w:rPr>
        <w:t>.</w:t>
      </w:r>
    </w:p>
    <w:p>
      <w:pPr>
        <w:spacing w:after="0" w:line="160" w:lineRule="exact"/>
        <w:rPr>
          <w:sz w:val="20"/>
          <w:szCs w:val="20"/>
          <w:color w:val="auto"/>
        </w:rPr>
      </w:pPr>
    </w:p>
    <w:p>
      <w:pPr>
        <w:jc w:val="both"/>
        <w:ind w:left="540" w:right="479" w:firstLine="635"/>
        <w:spacing w:after="0" w:line="258"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11.07</w:t>
      </w:r>
      <w:r>
        <w:rPr>
          <w:rFonts w:ascii="Arial" w:cs="Arial" w:eastAsia="Arial" w:hAnsi="Arial"/>
          <w:sz w:val="21"/>
          <w:szCs w:val="21"/>
          <w:color w:val="auto"/>
        </w:rPr>
        <w:t>,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means all information received from Borrower or any Subsidiary relating to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Borrower or any Subsidiary after the Effective Date, such information is clearly identified at the time of delivery as confidential. Any Person required to maintain the confidentiality of Information as provided in this </w:t>
      </w:r>
      <w:r>
        <w:rPr>
          <w:rFonts w:ascii="Arial" w:cs="Arial" w:eastAsia="Arial" w:hAnsi="Arial"/>
          <w:sz w:val="21"/>
          <w:szCs w:val="21"/>
          <w:u w:val="single" w:color="auto"/>
          <w:color w:val="auto"/>
        </w:rPr>
        <w:t>Section 11.07</w:t>
      </w:r>
      <w:r>
        <w:rPr>
          <w:rFonts w:ascii="Arial" w:cs="Arial" w:eastAsia="Arial" w:hAnsi="Arial"/>
          <w:sz w:val="21"/>
          <w:szCs w:val="21"/>
          <w:color w:val="auto"/>
        </w:rPr>
        <w:t xml:space="preserve"> will be considered to have complied with its obligation to do so if such Person has exercised the same degree of care to maintain the confidentiality of such Information as such Person would accord to its own confidential information.</w:t>
      </w:r>
    </w:p>
    <w:p>
      <w:pPr>
        <w:spacing w:after="0" w:line="182" w:lineRule="exact"/>
        <w:rPr>
          <w:sz w:val="20"/>
          <w:szCs w:val="20"/>
          <w:color w:val="auto"/>
        </w:rPr>
      </w:pPr>
    </w:p>
    <w:p>
      <w:pPr>
        <w:jc w:val="both"/>
        <w:ind w:left="540" w:right="479" w:firstLine="635"/>
        <w:spacing w:after="0" w:line="302" w:lineRule="auto"/>
        <w:rPr>
          <w:sz w:val="20"/>
          <w:szCs w:val="20"/>
          <w:color w:val="auto"/>
        </w:rPr>
      </w:pPr>
      <w:r>
        <w:rPr>
          <w:rFonts w:ascii="Arial" w:cs="Arial" w:eastAsia="Arial" w:hAnsi="Arial"/>
          <w:sz w:val="19"/>
          <w:szCs w:val="19"/>
          <w:color w:val="auto"/>
        </w:rPr>
        <w:t>Each of the Administrative Agent, the Lenders and the L/C Issuers acknowledges that (a) the Information may include MNPI, (b) it has developed compliance procedures regarding the use of MNPI and (c) it will handle all MNPI in accordance with applicable Law, including United States federal and state and applicable foreign securities Laws.</w:t>
      </w:r>
    </w:p>
    <w:p>
      <w:pPr>
        <w:spacing w:after="0" w:line="142" w:lineRule="exact"/>
        <w:rPr>
          <w:sz w:val="20"/>
          <w:szCs w:val="20"/>
          <w:color w:val="auto"/>
        </w:rPr>
      </w:pPr>
    </w:p>
    <w:p>
      <w:pPr>
        <w:jc w:val="both"/>
        <w:ind w:left="540" w:right="479" w:firstLine="635"/>
        <w:spacing w:after="0" w:line="292" w:lineRule="auto"/>
        <w:rPr>
          <w:sz w:val="20"/>
          <w:szCs w:val="20"/>
          <w:color w:val="auto"/>
        </w:rPr>
      </w:pPr>
      <w:r>
        <w:rPr>
          <w:rFonts w:ascii="Arial" w:cs="Arial" w:eastAsia="Arial" w:hAnsi="Arial"/>
          <w:sz w:val="19"/>
          <w:szCs w:val="19"/>
          <w:color w:val="auto"/>
        </w:rPr>
        <w:t>Subject to any applicable requirements of United State federal, state or local or applicable foreign Laws or regulations, including securities Laws or regulations, none of the Administrative Agent, the Lenders or the L/C Issuers will make or cause to be made, whether orally, in writing or otherwise, any public announcement or statement that is intended for the general public and not targeted primarily to reach audiences in the banking industry and the banking industry’s customers with respect to the transactions contemplated by this Agreement, or any of the provisions of this Agreement, without the prior written</w:t>
      </w:r>
    </w:p>
    <w:p>
      <w:pPr>
        <w:sectPr>
          <w:pgSz w:w="11900" w:h="16838" w:orient="portrait"/>
          <w:cols w:equalWidth="0" w:num="1">
            <w:col w:w="9019"/>
          </w:cols>
          <w:pgMar w:left="1440" w:top="928"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5" w:name="page246"/>
    <w:bookmarkEnd w:id="245"/>
    <w:p>
      <w:pPr>
        <w:ind w:left="540" w:right="479"/>
        <w:spacing w:after="0" w:line="287" w:lineRule="auto"/>
        <w:rPr>
          <w:sz w:val="20"/>
          <w:szCs w:val="20"/>
          <w:color w:val="auto"/>
        </w:rPr>
      </w:pPr>
      <w:r>
        <w:rPr>
          <w:rFonts w:ascii="Arial" w:cs="Arial" w:eastAsia="Arial" w:hAnsi="Arial"/>
          <w:sz w:val="21"/>
          <w:szCs w:val="21"/>
          <w:color w:val="auto"/>
        </w:rPr>
        <w:t>approval of the Borrower as to the form, content and timing of such announcement or disclosure, which approval may be given or withheld in Borrower’s sole discretion.</w:t>
      </w:r>
    </w:p>
    <w:p>
      <w:pPr>
        <w:spacing w:after="0" w:line="151" w:lineRule="exact"/>
        <w:rPr>
          <w:sz w:val="20"/>
          <w:szCs w:val="20"/>
          <w:color w:val="auto"/>
        </w:rPr>
      </w:pPr>
    </w:p>
    <w:p>
      <w:pPr>
        <w:jc w:val="both"/>
        <w:ind w:left="540" w:right="559" w:firstLine="648"/>
        <w:spacing w:after="0" w:line="283" w:lineRule="auto"/>
        <w:rPr>
          <w:sz w:val="20"/>
          <w:szCs w:val="20"/>
          <w:color w:val="auto"/>
        </w:rPr>
      </w:pPr>
      <w:r>
        <w:rPr>
          <w:rFonts w:ascii="Arial" w:cs="Arial" w:eastAsia="Arial" w:hAnsi="Arial"/>
          <w:sz w:val="19"/>
          <w:szCs w:val="19"/>
          <w:color w:val="auto"/>
        </w:rPr>
        <w:t xml:space="preserve">SECTION 11.08.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will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Loan Party against any and all of its obligations now or hereafter existing under this Agreement or any other Loan Document to such Lender or such L/C Issuer, irrespective of whether or not such Lender or such L/C Issuer will have made any demand under this Agreement or any other Loan Document and although such obligations of such Loan Party may be contingent or unmatured or are owed to a branch or office of such Lender or such L/C Issuer different from the branch or office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Lenders and the L/C Issuers, and (b) the Defaulting Lender shall provide promptly to the Administrative Agent a statement describing in reasonable detail the Obligations owing to such Defaulting Lender as to which it exercised such right of setoff. The rights of each Lender, each L/C Issuer and its Affiliates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11.08</w:t>
      </w:r>
      <w:r>
        <w:rPr>
          <w:rFonts w:ascii="Arial" w:cs="Arial" w:eastAsia="Arial" w:hAnsi="Arial"/>
          <w:sz w:val="19"/>
          <w:szCs w:val="19"/>
          <w:color w:val="auto"/>
        </w:rPr>
        <w:t xml:space="preserve"> are in addition to other rights and remedies (including other rights of setoff) that such Lender, such L/C Issuer or its Affiliates may have. Each Lender and each L/C Issuer agrees to notify the Loan Parties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will not affect the validity of such setoff and application. Notwithstanding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11.08</w:t>
      </w:r>
      <w:r>
        <w:rPr>
          <w:rFonts w:ascii="Arial" w:cs="Arial" w:eastAsia="Arial" w:hAnsi="Arial"/>
          <w:sz w:val="19"/>
          <w:szCs w:val="19"/>
          <w:color w:val="auto"/>
        </w:rPr>
        <w:t>, if at any time any Lender, any L/C Issuer or any of their respective Affiliates maintains one or more deposit accounts for the Borrower or any other Loan Party into which Medicare and/or Medicaid receivables are deposited, such Person shall waive the right of setoff set forth herein.</w:t>
      </w:r>
    </w:p>
    <w:p>
      <w:pPr>
        <w:spacing w:after="0" w:line="200" w:lineRule="exact"/>
        <w:rPr>
          <w:sz w:val="20"/>
          <w:szCs w:val="20"/>
          <w:color w:val="auto"/>
        </w:rPr>
      </w:pPr>
    </w:p>
    <w:p>
      <w:pPr>
        <w:spacing w:after="0" w:line="240"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will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will receive interest in an amount that exceeds the Maximum Rate, the excess interest will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46" w:name="page247"/>
    <w:bookmarkEnd w:id="246"/>
    <w:p>
      <w:pPr>
        <w:ind w:left="1180"/>
        <w:spacing w:after="0"/>
        <w:tabs>
          <w:tab w:leader="none" w:pos="3120" w:val="left"/>
          <w:tab w:leader="none" w:pos="4720" w:val="left"/>
          <w:tab w:leader="none" w:pos="6180" w:val="left"/>
          <w:tab w:leader="none" w:pos="7500" w:val="left"/>
        </w:tabs>
        <w:rPr>
          <w:sz w:val="20"/>
          <w:szCs w:val="20"/>
          <w:color w:val="auto"/>
        </w:rPr>
      </w:pPr>
      <w:r>
        <w:rPr>
          <w:rFonts w:ascii="Arial" w:cs="Arial" w:eastAsia="Arial" w:hAnsi="Arial"/>
          <w:sz w:val="22"/>
          <w:szCs w:val="22"/>
          <w:color w:val="auto"/>
        </w:rPr>
        <w:t>SECTION 11.10.</w:t>
      </w:r>
      <w:r>
        <w:rPr>
          <w:sz w:val="20"/>
          <w:szCs w:val="20"/>
          <w:color w:val="auto"/>
        </w:rPr>
        <w:tab/>
      </w:r>
      <w:r>
        <w:rPr>
          <w:rFonts w:ascii="Arial" w:cs="Arial" w:eastAsia="Arial" w:hAnsi="Arial"/>
          <w:sz w:val="22"/>
          <w:szCs w:val="22"/>
          <w:color w:val="auto"/>
        </w:rPr>
        <w:t>Counterparts;</w:t>
      </w:r>
      <w:r>
        <w:rPr>
          <w:sz w:val="20"/>
          <w:szCs w:val="20"/>
          <w:color w:val="auto"/>
        </w:rPr>
        <w:tab/>
      </w:r>
      <w:r>
        <w:rPr>
          <w:rFonts w:ascii="Arial" w:cs="Arial" w:eastAsia="Arial" w:hAnsi="Arial"/>
          <w:sz w:val="22"/>
          <w:szCs w:val="22"/>
          <w:color w:val="auto"/>
        </w:rPr>
        <w:t>Integration;</w:t>
      </w:r>
      <w:r>
        <w:rPr>
          <w:sz w:val="20"/>
          <w:szCs w:val="20"/>
          <w:color w:val="auto"/>
        </w:rPr>
        <w:tab/>
      </w:r>
      <w:r>
        <w:rPr>
          <w:rFonts w:ascii="Arial" w:cs="Arial" w:eastAsia="Arial" w:hAnsi="Arial"/>
          <w:sz w:val="22"/>
          <w:szCs w:val="22"/>
          <w:color w:val="auto"/>
        </w:rPr>
        <w:t>Electronic</w:t>
      </w:r>
      <w:r>
        <w:rPr>
          <w:sz w:val="20"/>
          <w:szCs w:val="20"/>
          <w:color w:val="auto"/>
        </w:rPr>
        <w:tab/>
      </w:r>
      <w:r>
        <w:rPr>
          <w:rFonts w:ascii="Arial" w:cs="Arial" w:eastAsia="Arial" w:hAnsi="Arial"/>
          <w:sz w:val="19"/>
          <w:szCs w:val="19"/>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-17780</wp:posOffset>
            </wp:positionV>
            <wp:extent cx="33845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84550" cy="8255"/>
                    </a:xfrm>
                    <a:prstGeom prst="rect">
                      <a:avLst/>
                    </a:prstGeom>
                    <a:noFill/>
                  </pic:spPr>
                </pic:pic>
              </a:graphicData>
            </a:graphic>
          </wp:anchor>
        </w:drawing>
      </w:r>
    </w:p>
    <w:p>
      <w:pPr>
        <w:spacing w:after="0" w:line="1" w:lineRule="exact"/>
        <w:rPr>
          <w:sz w:val="20"/>
          <w:szCs w:val="20"/>
          <w:color w:val="auto"/>
        </w:rPr>
      </w:pPr>
    </w:p>
    <w:p>
      <w:pPr>
        <w:jc w:val="both"/>
        <w:ind w:left="540" w:right="559"/>
        <w:spacing w:after="0" w:line="282" w:lineRule="auto"/>
        <w:rPr>
          <w:sz w:val="20"/>
          <w:szCs w:val="20"/>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This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w:t>
      </w:r>
    </w:p>
    <w:p>
      <w:pPr>
        <w:sectPr>
          <w:pgSz w:w="11900" w:h="16838" w:orient="portrait"/>
          <w:cols w:equalWidth="0" w:num="1">
            <w:col w:w="9019"/>
          </w:cols>
          <w:pgMar w:left="1440" w:top="9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7" w:name="page248"/>
    <w:bookmarkEnd w:id="247"/>
    <w:p>
      <w:pPr>
        <w:jc w:val="both"/>
        <w:ind w:left="540" w:right="479"/>
        <w:spacing w:after="0" w:line="286" w:lineRule="auto"/>
        <w:rPr>
          <w:sz w:val="20"/>
          <w:szCs w:val="20"/>
          <w:color w:val="auto"/>
        </w:rPr>
      </w:pPr>
      <w:r>
        <w:rPr>
          <w:rFonts w:ascii="Arial" w:cs="Arial" w:eastAsia="Arial" w:hAnsi="Arial"/>
          <w:sz w:val="19"/>
          <w:szCs w:val="19"/>
          <w:color w:val="auto"/>
        </w:rPr>
        <w:t>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162" w:lineRule="exact"/>
        <w:rPr>
          <w:sz w:val="20"/>
          <w:szCs w:val="20"/>
          <w:color w:val="auto"/>
        </w:rPr>
      </w:pPr>
    </w:p>
    <w:p>
      <w:pPr>
        <w:jc w:val="both"/>
        <w:ind w:left="540" w:right="539" w:firstLine="648"/>
        <w:spacing w:after="0" w:line="287"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hereunder and in any other Loan Document or other document delivered pursuant hereto or thereto or in connection herewith or therewith will survive the execution and delivery hereof and thereof. Such representations and warranties have been or will be relied upon by the Administrative Agent, each L/C Issuer and each Lender, regardless of any investigation made by or on behalf of the Administrative Agent, any L/C Issuer or any Lender or any of their respective Affiliates and notwithstanding that the Administrative Agent, any L/C Issuer or any Lender or any of their respective Affiliates may have had notice or knowledge of any Default on the Effective Date or at the time of any Credit Extension, and will continue in full force and effect as long as any Loan or any other Obligation hereunder will remain unpaid or unsatisfied or any Letter of Credit will remain outstanding.</w:t>
      </w:r>
    </w:p>
    <w:p>
      <w:pPr>
        <w:spacing w:after="0" w:line="200" w:lineRule="exact"/>
        <w:rPr>
          <w:sz w:val="20"/>
          <w:szCs w:val="20"/>
          <w:color w:val="auto"/>
        </w:rPr>
      </w:pPr>
    </w:p>
    <w:p>
      <w:pPr>
        <w:spacing w:after="0" w:line="220" w:lineRule="exact"/>
        <w:rPr>
          <w:sz w:val="20"/>
          <w:szCs w:val="20"/>
          <w:color w:val="auto"/>
        </w:rPr>
      </w:pPr>
    </w:p>
    <w:p>
      <w:pPr>
        <w:jc w:val="both"/>
        <w:ind w:left="540" w:right="559" w:firstLine="648"/>
        <w:spacing w:after="0" w:line="257" w:lineRule="auto"/>
        <w:rPr>
          <w:sz w:val="20"/>
          <w:szCs w:val="20"/>
          <w:color w:val="auto"/>
        </w:rPr>
      </w:pPr>
      <w:r>
        <w:rPr>
          <w:rFonts w:ascii="Arial" w:cs="Arial" w:eastAsia="Arial" w:hAnsi="Arial"/>
          <w:sz w:val="21"/>
          <w:szCs w:val="21"/>
          <w:color w:val="auto"/>
        </w:rPr>
        <w:t xml:space="preserve">SECTION 11.12.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provision of this Agreement or the other Loan Documents is held to be illegal, invalid or unenforceable, (a) the legality, validity and enforceability of the remaining provisions of this Agreement and the other Loan Documents will not be affected or impaired thereby and (b) the parties will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will not invalidate or render unenforceable such provision in any other jurisdiction. Without limiting the foregoing provisions of this </w:t>
      </w:r>
      <w:r>
        <w:rPr>
          <w:rFonts w:ascii="Arial" w:cs="Arial" w:eastAsia="Arial" w:hAnsi="Arial"/>
          <w:sz w:val="21"/>
          <w:szCs w:val="21"/>
          <w:u w:val="single" w:color="auto"/>
          <w:color w:val="auto"/>
        </w:rPr>
        <w:t>Section 11.12</w:t>
      </w:r>
      <w:r>
        <w:rPr>
          <w:rFonts w:ascii="Arial" w:cs="Arial" w:eastAsia="Arial" w:hAnsi="Arial"/>
          <w:sz w:val="21"/>
          <w:szCs w:val="21"/>
          <w:color w:val="auto"/>
        </w:rPr>
        <w:t>, if and to the extent that the enforceability of any provisions in this Agreement relating to Defaulting Lenders shall be limited by Debtor Relief Laws, as applicable, then such provisions shall be deemed to be in effect only to the extent not so limited.</w:t>
      </w:r>
    </w:p>
    <w:p>
      <w:pPr>
        <w:spacing w:after="0" w:line="191" w:lineRule="exact"/>
        <w:rPr>
          <w:sz w:val="20"/>
          <w:szCs w:val="20"/>
          <w:color w:val="auto"/>
        </w:rPr>
      </w:pPr>
    </w:p>
    <w:p>
      <w:pPr>
        <w:jc w:val="both"/>
        <w:ind w:left="540" w:right="559" w:firstLine="648"/>
        <w:spacing w:after="0" w:line="292" w:lineRule="auto"/>
        <w:rPr>
          <w:sz w:val="20"/>
          <w:szCs w:val="20"/>
          <w:color w:val="auto"/>
        </w:rPr>
      </w:pPr>
      <w:r>
        <w:rPr>
          <w:rFonts w:ascii="Arial" w:cs="Arial" w:eastAsia="Arial" w:hAnsi="Arial"/>
          <w:sz w:val="19"/>
          <w:szCs w:val="19"/>
          <w:color w:val="auto"/>
        </w:rPr>
        <w:t xml:space="preserve">SECTION 11.13. </w:t>
      </w: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In the event (a)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(b) the Loan Parties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(c) any Lender becomes a Defaulting Lender or (d) any Lender refuses to consent to any amendment, waiver or other modification of this Agreement or any other Loan Document requested by a Loan Party that requires the consent of all the Lenders (or all the affected Lenders) and such amendment, waiver or</w:t>
      </w:r>
    </w:p>
    <w:p>
      <w:pPr>
        <w:sectPr>
          <w:pgSz w:w="11900" w:h="16838" w:orient="portrait"/>
          <w:cols w:equalWidth="0" w:num="1">
            <w:col w:w="9019"/>
          </w:cols>
          <w:pgMar w:left="1440" w:top="928"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8" w:name="page249"/>
    <w:bookmarkEnd w:id="248"/>
    <w:p>
      <w:pPr>
        <w:jc w:val="both"/>
        <w:ind w:left="540" w:right="479"/>
        <w:spacing w:after="0" w:line="259" w:lineRule="auto"/>
        <w:rPr>
          <w:sz w:val="20"/>
          <w:szCs w:val="20"/>
          <w:color w:val="auto"/>
        </w:rPr>
      </w:pPr>
      <w:r>
        <w:rPr>
          <w:rFonts w:ascii="Arial" w:cs="Arial" w:eastAsia="Arial" w:hAnsi="Arial"/>
          <w:sz w:val="21"/>
          <w:szCs w:val="21"/>
          <w:color w:val="auto"/>
        </w:rPr>
        <w:t xml:space="preserve">other modification is consented to by the Required Lenders,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11.06</w:t>
      </w:r>
      <w:r>
        <w:rPr>
          <w:rFonts w:ascii="Arial" w:cs="Arial" w:eastAsia="Arial" w:hAnsi="Arial"/>
          <w:sz w:val="21"/>
          <w:szCs w:val="21"/>
          <w:color w:val="auto"/>
        </w:rPr>
        <w:t xml:space="preserve">), all of its interests, rights (other than its existing rights to payments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and obligations under this Agreement and the other Loan Documents to an assignee that will assume such obligations (which assignee may be another Lender, if a Lender accepts such assignment and delegation);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3" w:lineRule="exact"/>
        <w:rPr>
          <w:sz w:val="20"/>
          <w:szCs w:val="20"/>
          <w:color w:val="auto"/>
        </w:rPr>
      </w:pPr>
    </w:p>
    <w:p>
      <w:pPr>
        <w:ind w:left="540" w:right="539" w:firstLine="725"/>
        <w:spacing w:after="0" w:line="263" w:lineRule="auto"/>
        <w:tabs>
          <w:tab w:leader="none" w:pos="183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the Borrower will have paid to the Administrative Agent the assignment fee specified in </w:t>
      </w:r>
      <w:r>
        <w:rPr>
          <w:rFonts w:ascii="Arial" w:cs="Arial" w:eastAsia="Arial" w:hAnsi="Arial"/>
          <w:sz w:val="22"/>
          <w:szCs w:val="22"/>
          <w:u w:val="single" w:color="auto"/>
          <w:color w:val="auto"/>
        </w:rPr>
        <w:t>Section 11.06(b)</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540" w:right="539" w:firstLine="725"/>
        <w:spacing w:after="0" w:line="247" w:lineRule="auto"/>
        <w:tabs>
          <w:tab w:leader="none" w:pos="183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such Lender will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2"/>
          <w:szCs w:val="22"/>
          <w:u w:val="single" w:color="auto"/>
          <w:color w:val="auto"/>
        </w:rPr>
        <w:t>Section 3.05</w:t>
      </w:r>
      <w:r>
        <w:rPr>
          <w:rFonts w:ascii="Arial" w:cs="Arial" w:eastAsia="Arial" w:hAnsi="Arial"/>
          <w:sz w:val="22"/>
          <w:szCs w:val="22"/>
          <w:color w:val="auto"/>
        </w:rPr>
        <w:t>) from the assignee (to the extent of such outstanding principal and accrued interest and fees) or the Borrower (in the case of all other amounts);</w:t>
      </w:r>
    </w:p>
    <w:p>
      <w:pPr>
        <w:spacing w:after="0" w:line="192" w:lineRule="exact"/>
        <w:rPr>
          <w:rFonts w:ascii="Arial" w:cs="Arial" w:eastAsia="Arial" w:hAnsi="Arial"/>
          <w:sz w:val="22"/>
          <w:szCs w:val="22"/>
          <w:color w:val="auto"/>
        </w:rPr>
      </w:pPr>
    </w:p>
    <w:p>
      <w:pPr>
        <w:jc w:val="both"/>
        <w:ind w:left="540" w:right="539" w:firstLine="725"/>
        <w:spacing w:after="0" w:line="312" w:lineRule="auto"/>
        <w:tabs>
          <w:tab w:leader="none" w:pos="1836"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 and</w:t>
      </w:r>
    </w:p>
    <w:p>
      <w:pPr>
        <w:spacing w:after="0" w:line="133" w:lineRule="exact"/>
        <w:rPr>
          <w:rFonts w:ascii="Arial" w:cs="Arial" w:eastAsia="Arial" w:hAnsi="Arial"/>
          <w:sz w:val="19"/>
          <w:szCs w:val="19"/>
          <w:color w:val="auto"/>
        </w:rPr>
      </w:pPr>
    </w:p>
    <w:p>
      <w:pPr>
        <w:ind w:left="1840" w:hanging="575"/>
        <w:spacing w:after="0"/>
        <w:tabs>
          <w:tab w:leader="none" w:pos="184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w:t>
      </w:r>
    </w:p>
    <w:p>
      <w:pPr>
        <w:spacing w:after="0" w:line="220" w:lineRule="exact"/>
        <w:rPr>
          <w:sz w:val="20"/>
          <w:szCs w:val="20"/>
          <w:color w:val="auto"/>
        </w:rPr>
      </w:pPr>
    </w:p>
    <w:p>
      <w:pPr>
        <w:jc w:val="both"/>
        <w:ind w:left="540" w:right="559" w:firstLine="648"/>
        <w:spacing w:after="0" w:line="292" w:lineRule="auto"/>
        <w:rPr>
          <w:sz w:val="20"/>
          <w:szCs w:val="20"/>
          <w:color w:val="auto"/>
        </w:rPr>
      </w:pPr>
      <w:r>
        <w:rPr>
          <w:rFonts w:ascii="Arial" w:cs="Arial" w:eastAsia="Arial" w:hAnsi="Arial"/>
          <w:sz w:val="19"/>
          <w:szCs w:val="19"/>
          <w:color w:val="auto"/>
        </w:rPr>
        <w:t xml:space="preserve">A Lender will not be required to make any such assignment or delegation if, prior thereto, as a result of a waiver by such Lender or otherwise, the circumstances entitling the applicable Loan Party to require such assignment and delegation cease to apply. Each party hereto agrees that an assignment and delegation required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11.13</w:t>
      </w:r>
      <w:r>
        <w:rPr>
          <w:rFonts w:ascii="Arial" w:cs="Arial" w:eastAsia="Arial" w:hAnsi="Arial"/>
          <w:sz w:val="19"/>
          <w:szCs w:val="19"/>
          <w:color w:val="auto"/>
        </w:rPr>
        <w:t xml:space="preserve"> may be effected pursuant to an Assignment and Assumption executed by the Borrower, the Administrative Agent and the assignee and that the Lender required to make such assignment and delegation need not be a party thereto.</w:t>
      </w:r>
    </w:p>
    <w:p>
      <w:pPr>
        <w:spacing w:after="0" w:line="151"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11.14.</w:t>
      </w:r>
      <w:r>
        <w:rPr>
          <w:sz w:val="20"/>
          <w:szCs w:val="20"/>
          <w:color w:val="auto"/>
        </w:rPr>
        <w:tab/>
      </w:r>
      <w:r>
        <w:rPr>
          <w:rFonts w:ascii="Arial" w:cs="Arial" w:eastAsia="Arial" w:hAnsi="Arial"/>
          <w:sz w:val="21"/>
          <w:szCs w:val="21"/>
          <w:u w:val="single" w:color="auto"/>
          <w:color w:val="auto"/>
        </w:rPr>
        <w:t>Governing Law; Jurisdiction; Etc</w:t>
      </w:r>
      <w:r>
        <w:rPr>
          <w:rFonts w:ascii="Arial" w:cs="Arial" w:eastAsia="Arial" w:hAnsi="Arial"/>
          <w:sz w:val="21"/>
          <w:szCs w:val="21"/>
          <w:color w:val="auto"/>
        </w:rPr>
        <w:t>. (a)</w:t>
      </w:r>
      <w:r>
        <w:rPr>
          <w:rFonts w:ascii="Arial" w:cs="Arial" w:eastAsia="Arial" w:hAnsi="Arial"/>
          <w:sz w:val="21"/>
          <w:szCs w:val="21"/>
          <w:u w:val="single" w:color="auto"/>
          <w:color w:val="auto"/>
        </w:rPr>
        <w:t xml:space="preserve"> GOVERNING LAW</w:t>
      </w:r>
      <w:r>
        <w:rPr>
          <w:rFonts w:ascii="Arial" w:cs="Arial" w:eastAsia="Arial" w:hAnsi="Arial"/>
          <w:sz w:val="21"/>
          <w:szCs w:val="21"/>
          <w:color w:val="auto"/>
        </w:rPr>
        <w:t>.</w:t>
      </w:r>
    </w:p>
    <w:p>
      <w:pPr>
        <w:spacing w:after="0" w:line="21" w:lineRule="exact"/>
        <w:rPr>
          <w:sz w:val="20"/>
          <w:szCs w:val="20"/>
          <w:color w:val="auto"/>
        </w:rPr>
      </w:pPr>
    </w:p>
    <w:p>
      <w:pPr>
        <w:jc w:val="both"/>
        <w:ind w:left="540" w:right="559" w:firstLine="196"/>
        <w:spacing w:after="0" w:line="246" w:lineRule="auto"/>
        <w:rPr>
          <w:sz w:val="20"/>
          <w:szCs w:val="20"/>
          <w:color w:val="auto"/>
        </w:rPr>
      </w:pPr>
      <w:r>
        <w:rPr>
          <w:rFonts w:ascii="Arial" w:cs="Arial" w:eastAsia="Arial" w:hAnsi="Arial"/>
          <w:sz w:val="22"/>
          <w:szCs w:val="22"/>
          <w:color w:val="auto"/>
        </w:rPr>
        <w:t>THIS AGREEMENT WILL BE GOVERNED BY, AND CONSTRUED IN ACCORDANCE WITH, THE LAW OF THE STATE OF NEW YORK.</w:t>
      </w:r>
    </w:p>
    <w:p>
      <w:pPr>
        <w:spacing w:after="0" w:line="192" w:lineRule="exact"/>
        <w:rPr>
          <w:sz w:val="20"/>
          <w:szCs w:val="20"/>
          <w:color w:val="auto"/>
        </w:rPr>
      </w:pPr>
    </w:p>
    <w:p>
      <w:pPr>
        <w:jc w:val="both"/>
        <w:ind w:left="540" w:right="539" w:firstLine="725"/>
        <w:spacing w:after="0" w:line="257" w:lineRule="auto"/>
        <w:tabs>
          <w:tab w:leader="none" w:pos="1836"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w:t>
      </w:r>
    </w:p>
    <w:p>
      <w:pPr>
        <w:sectPr>
          <w:pgSz w:w="11900" w:h="16838" w:orient="portrait"/>
          <w:cols w:equalWidth="0" w:num="1">
            <w:col w:w="9019"/>
          </w:cols>
          <w:pgMar w:left="1440" w:top="928"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49" w:name="page250"/>
    <w:bookmarkEnd w:id="249"/>
    <w:p>
      <w:pPr>
        <w:jc w:val="both"/>
        <w:ind w:left="540" w:right="539"/>
        <w:spacing w:after="0" w:line="257" w:lineRule="auto"/>
        <w:rPr>
          <w:sz w:val="20"/>
          <w:szCs w:val="20"/>
          <w:color w:val="auto"/>
        </w:rPr>
      </w:pPr>
      <w:r>
        <w:rPr>
          <w:rFonts w:ascii="Arial" w:cs="Arial" w:eastAsia="Arial" w:hAnsi="Arial"/>
          <w:sz w:val="21"/>
          <w:szCs w:val="21"/>
          <w:color w:val="auto"/>
        </w:rPr>
        <w:t>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L/C ISSUER OR ANY LENDER MAY OTHERWISE HAVE TO BRING ANY ACTION OR PROCEEDING RELATING TO THIS AGREEMENT OR ANY OTHER LOAN DOCUMENT AGAINST ANY LOAN PARTY OR ITS PROPERTIES IN THE COURTS OF ANY JURISDICTION.</w:t>
      </w:r>
    </w:p>
    <w:p>
      <w:pPr>
        <w:spacing w:after="0" w:line="187" w:lineRule="exact"/>
        <w:rPr>
          <w:sz w:val="20"/>
          <w:szCs w:val="20"/>
          <w:color w:val="auto"/>
        </w:rPr>
      </w:pPr>
    </w:p>
    <w:p>
      <w:pPr>
        <w:jc w:val="both"/>
        <w:ind w:left="540" w:right="539" w:firstLine="725"/>
        <w:spacing w:after="0" w:line="245" w:lineRule="auto"/>
        <w:tabs>
          <w:tab w:leader="none" w:pos="1836"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22"/>
          <w:szCs w:val="22"/>
          <w:u w:val="single" w:color="auto"/>
          <w:color w:val="auto"/>
        </w:rPr>
        <w:t>SECTION 11.14(b)</w:t>
      </w:r>
      <w:r>
        <w:rPr>
          <w:rFonts w:ascii="Arial" w:cs="Arial" w:eastAsia="Arial" w:hAnsi="Arial"/>
          <w:sz w:val="22"/>
          <w:szCs w:val="22"/>
          <w:color w:val="auto"/>
        </w:rPr>
        <w:t>. EACH OF THE PARTIES HERETO HEREBY IRREVOCABLY WAIVES, TO THE FULLEST EXTENT PERMITTED BY APPLICABLE LAW, THE DEFENSE OF AN INCONVENIENT FORUM TO THE MAINTENANCE OF SUCH ACTION OR PROCEEDING IN ANY SUCH COURT.</w:t>
      </w:r>
    </w:p>
    <w:p>
      <w:pPr>
        <w:spacing w:after="0" w:line="198" w:lineRule="exact"/>
        <w:rPr>
          <w:rFonts w:ascii="Arial" w:cs="Arial" w:eastAsia="Arial" w:hAnsi="Arial"/>
          <w:sz w:val="22"/>
          <w:szCs w:val="22"/>
          <w:color w:val="auto"/>
        </w:rPr>
      </w:pPr>
    </w:p>
    <w:p>
      <w:pPr>
        <w:jc w:val="both"/>
        <w:ind w:left="540" w:right="539" w:firstLine="725"/>
        <w:spacing w:after="0" w:line="248" w:lineRule="auto"/>
        <w:tabs>
          <w:tab w:leader="none" w:pos="1836"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EACH PARTY HERETO IRREVOCABLY CONSENTS TO SERVICE OF PROCESS IN THE MANNER PROVIDED FOR NOTICES IN SECTION 11.02. NOTHING IN THIS AGREEMENT WILL AFFECT THE RIGHT OF ANY PARTY HERETO TO SERVE PROCESS IN ANY OTHER MANNER PERMITTED BY APPLICABLE LAW.</w:t>
      </w:r>
    </w:p>
    <w:p>
      <w:pPr>
        <w:spacing w:after="0" w:line="192" w:lineRule="exact"/>
        <w:rPr>
          <w:sz w:val="20"/>
          <w:szCs w:val="20"/>
          <w:color w:val="auto"/>
        </w:rPr>
      </w:pPr>
    </w:p>
    <w:p>
      <w:pPr>
        <w:jc w:val="both"/>
        <w:ind w:left="540" w:right="559" w:firstLine="648"/>
        <w:spacing w:after="0" w:line="286"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Arial" w:cs="Arial" w:eastAsia="Arial" w:hAnsi="Arial"/>
          <w:sz w:val="19"/>
          <w:szCs w:val="19"/>
          <w:u w:val="single" w:color="auto"/>
          <w:color w:val="auto"/>
        </w:rPr>
        <w:t>SECTION 11.15</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0" w:name="page251"/>
    <w:bookmarkEnd w:id="250"/>
    <w:p>
      <w:pPr>
        <w:jc w:val="both"/>
        <w:ind w:left="540" w:right="559" w:firstLine="648"/>
        <w:spacing w:after="0" w:line="286" w:lineRule="auto"/>
        <w:rPr>
          <w:sz w:val="20"/>
          <w:szCs w:val="20"/>
          <w:color w:val="auto"/>
        </w:rPr>
      </w:pPr>
      <w:r>
        <w:rPr>
          <w:rFonts w:ascii="Arial" w:cs="Arial" w:eastAsia="Arial" w:hAnsi="Arial"/>
          <w:sz w:val="19"/>
          <w:szCs w:val="19"/>
          <w:color w:val="auto"/>
        </w:rPr>
        <w:t xml:space="preserve">SECTION 11.16.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Patriot Act and the requirements of the Beneficial Ownership Regulation and the Administrative Agent (for itself and not on behalf of any Lender) hereby notifies the Loan Parties that pursuant to the requirements of the Patriot Act and the Beneficial Ownership Regulation, it is required to obtain, verify and record information that identifies the Loan Parties, which information includes the name, address and tax identification number of the Loan Parties and other information that will allow such Lender or the Administrative Agent, as applicable, to identify the Loan Parties in accordance with the Patriot Act and the Beneficial Ownership Regulation and other applicable “know your customer” and anti-money laundering rules and regulations.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62" w:lineRule="exact"/>
        <w:rPr>
          <w:sz w:val="20"/>
          <w:szCs w:val="20"/>
          <w:color w:val="auto"/>
        </w:rPr>
      </w:pPr>
    </w:p>
    <w:p>
      <w:pPr>
        <w:jc w:val="both"/>
        <w:ind w:left="540" w:right="559" w:firstLine="648"/>
        <w:spacing w:after="0" w:line="284"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hereunder or any other Loan Document in one currency into another currency, the rate of exchange used will be that at which in accordance with normal banking procedures the Administrative Agent could purchase the first currency with such other currency on the Business Day preceding that on which final judgment is given. The obligation of any Loan Party in respect of any such sum due from it to the Administrative Agent, any L/C Issuer or any Lender hereunder or under the other Loan Documents will,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such L/C Issuer or such Lender, as the case may be, of any sum adjudged to be so due in the Judgment Currency, the Administrative Agent, such L/C Issuer or such Lender, as the case may be, may in accordance with normal banking procedures purchase the Agreement Currency with the Judgment Currency. If the amount of the Agreement Currency so purchased is less than the sum originally due to the Administrative Agent, any L/C Issuer or any Lender from any Loan Party in the Agreement Currency, such Loan Party agrees, as a separate obligation and notwithstanding any such judgment, to indemnify the Administrative Agent, such L/C Issuer or such Lender, as the case may be, against such loss. If the amount of the Agreement Currency so purchased is greater than the sum originally due to the Administrative Agent, any L/C Issuer or any Lender in such currency, the Administrative Agent, such L/C Issuer or such Lender, as the case may be, agrees to return the amount of any excess to such Loan Party (or to any other Person that may be entitled thereto under applicable Law).</w:t>
      </w:r>
    </w:p>
    <w:p>
      <w:pPr>
        <w:spacing w:after="0" w:line="200" w:lineRule="exact"/>
        <w:rPr>
          <w:sz w:val="20"/>
          <w:szCs w:val="20"/>
          <w:color w:val="auto"/>
        </w:rPr>
      </w:pPr>
    </w:p>
    <w:p>
      <w:pPr>
        <w:spacing w:after="0" w:line="226" w:lineRule="exact"/>
        <w:rPr>
          <w:sz w:val="20"/>
          <w:szCs w:val="20"/>
          <w:color w:val="auto"/>
        </w:rPr>
      </w:pPr>
    </w:p>
    <w:p>
      <w:pPr>
        <w:ind w:left="1180"/>
        <w:spacing w:after="0"/>
        <w:tabs>
          <w:tab w:leader="none" w:pos="3120" w:val="left"/>
        </w:tabs>
        <w:rPr>
          <w:sz w:val="20"/>
          <w:szCs w:val="20"/>
          <w:color w:val="auto"/>
        </w:rPr>
      </w:pPr>
      <w:r>
        <w:rPr>
          <w:rFonts w:ascii="Arial" w:cs="Arial" w:eastAsia="Arial" w:hAnsi="Arial"/>
          <w:sz w:val="22"/>
          <w:szCs w:val="22"/>
          <w:color w:val="auto"/>
        </w:rPr>
        <w:t>SECTION 11.18.</w:t>
      </w:r>
      <w:r>
        <w:rPr>
          <w:sz w:val="20"/>
          <w:szCs w:val="20"/>
          <w:color w:val="auto"/>
        </w:rPr>
        <w:tab/>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w:t>
      </w:r>
    </w:p>
    <w:p>
      <w:pPr>
        <w:spacing w:after="0" w:line="220" w:lineRule="exact"/>
        <w:rPr>
          <w:sz w:val="20"/>
          <w:szCs w:val="20"/>
          <w:color w:val="auto"/>
        </w:rPr>
      </w:pPr>
    </w:p>
    <w:p>
      <w:pPr>
        <w:jc w:val="both"/>
        <w:ind w:left="540" w:right="539" w:firstLine="725"/>
        <w:spacing w:after="0" w:line="294" w:lineRule="auto"/>
        <w:tabs>
          <w:tab w:leader="none" w:pos="183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Loan Party with respect to the Loan Documents and the transactions contemplated herein and therein and not as a financial advisor or a fiduciary to, or an agent of, such Loan Party</w:t>
      </w:r>
    </w:p>
    <w:p>
      <w:pPr>
        <w:sectPr>
          <w:pgSz w:w="11900" w:h="16838" w:orient="portrait"/>
          <w:cols w:equalWidth="0" w:num="1">
            <w:col w:w="9019"/>
          </w:cols>
          <w:pgMar w:left="1440" w:top="928" w:right="1440"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51" w:name="page252"/>
    <w:bookmarkEnd w:id="251"/>
    <w:p>
      <w:pPr>
        <w:jc w:val="both"/>
        <w:ind w:left="540" w:right="539"/>
        <w:spacing w:after="0" w:line="289" w:lineRule="auto"/>
        <w:rPr>
          <w:sz w:val="20"/>
          <w:szCs w:val="20"/>
          <w:color w:val="auto"/>
        </w:rPr>
      </w:pPr>
      <w:r>
        <w:rPr>
          <w:rFonts w:ascii="Arial" w:cs="Arial" w:eastAsia="Arial" w:hAnsi="Arial"/>
          <w:sz w:val="19"/>
          <w:szCs w:val="19"/>
          <w:color w:val="auto"/>
        </w:rPr>
        <w:t>or any other person. Each Loan Party agrees that it will not assert any claim against any Credit Party based on an alleged breach of fiduciary duty by such Credit Party in connection with this Agreement and the transactions contemplated hereby. Additionally, each Loan Party acknowledges and agrees that no Credit Party is advising such Loan Party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Loan Party with respect thereto.</w:t>
      </w:r>
    </w:p>
    <w:p>
      <w:pPr>
        <w:spacing w:after="0" w:line="157" w:lineRule="exact"/>
        <w:rPr>
          <w:sz w:val="20"/>
          <w:szCs w:val="20"/>
          <w:color w:val="auto"/>
        </w:rPr>
      </w:pPr>
    </w:p>
    <w:p>
      <w:pPr>
        <w:jc w:val="both"/>
        <w:ind w:left="540" w:right="539" w:firstLine="725"/>
        <w:spacing w:after="0" w:line="287" w:lineRule="auto"/>
        <w:tabs>
          <w:tab w:leader="none" w:pos="1836"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8" w:lineRule="exact"/>
        <w:rPr>
          <w:rFonts w:ascii="Arial" w:cs="Arial" w:eastAsia="Arial" w:hAnsi="Arial"/>
          <w:sz w:val="19"/>
          <w:szCs w:val="19"/>
          <w:color w:val="auto"/>
        </w:rPr>
      </w:pPr>
    </w:p>
    <w:p>
      <w:pPr>
        <w:jc w:val="both"/>
        <w:ind w:left="540" w:right="539" w:firstLine="725"/>
        <w:spacing w:after="0" w:line="257" w:lineRule="auto"/>
        <w:tabs>
          <w:tab w:leader="none" w:pos="1836" w:val="left"/>
        </w:tabs>
        <w:numPr>
          <w:ilvl w:val="0"/>
          <w:numId w:val="229"/>
        </w:numPr>
        <w:rPr>
          <w:rFonts w:ascii="Arial" w:cs="Arial" w:eastAsia="Arial" w:hAnsi="Arial"/>
          <w:sz w:val="21"/>
          <w:szCs w:val="21"/>
          <w:color w:val="auto"/>
        </w:rPr>
      </w:pPr>
      <w:r>
        <w:rPr>
          <w:rFonts w:ascii="Arial" w:cs="Arial" w:eastAsia="Arial" w:hAnsi="Arial"/>
          <w:sz w:val="21"/>
          <w:szCs w:val="21"/>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or any of its Subsidiaries by virtue of the transactions contemplated by the Loan Documents or its other relationships with the Borrower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89" w:lineRule="exact"/>
        <w:rPr>
          <w:sz w:val="20"/>
          <w:szCs w:val="20"/>
          <w:color w:val="auto"/>
        </w:rPr>
      </w:pPr>
    </w:p>
    <w:p>
      <w:pPr>
        <w:jc w:val="both"/>
        <w:ind w:left="540" w:right="559" w:firstLine="648"/>
        <w:spacing w:after="0" w:line="246" w:lineRule="auto"/>
        <w:rPr>
          <w:sz w:val="20"/>
          <w:szCs w:val="20"/>
          <w:color w:val="auto"/>
        </w:rPr>
      </w:pPr>
      <w:r>
        <w:rPr>
          <w:rFonts w:ascii="Arial" w:cs="Arial" w:eastAsia="Arial" w:hAnsi="Arial"/>
          <w:sz w:val="22"/>
          <w:szCs w:val="22"/>
          <w:color w:val="auto"/>
        </w:rPr>
        <w:t xml:space="preserve">SECTION 11.19. </w:t>
      </w:r>
      <w:r>
        <w:rPr>
          <w:rFonts w:ascii="Arial" w:cs="Arial" w:eastAsia="Arial" w:hAnsi="Arial"/>
          <w:sz w:val="22"/>
          <w:szCs w:val="22"/>
          <w:u w:val="single" w:color="auto"/>
          <w:color w:val="auto"/>
        </w:rPr>
        <w:t>Acknowledgement and Consent of Bail-In of Affected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Financial Institutions</w:t>
      </w:r>
      <w:r>
        <w:rPr>
          <w:rFonts w:ascii="Arial" w:cs="Arial" w:eastAsia="Arial" w:hAnsi="Arial"/>
          <w:sz w:val="22"/>
          <w:szCs w:val="22"/>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96" w:lineRule="exact"/>
        <w:rPr>
          <w:sz w:val="20"/>
          <w:szCs w:val="20"/>
          <w:color w:val="auto"/>
        </w:rPr>
      </w:pPr>
    </w:p>
    <w:p>
      <w:pPr>
        <w:jc w:val="both"/>
        <w:ind w:left="540" w:right="539" w:firstLine="725"/>
        <w:spacing w:after="0" w:line="271" w:lineRule="auto"/>
        <w:tabs>
          <w:tab w:leader="none" w:pos="1836" w:val="left"/>
        </w:tabs>
        <w:numPr>
          <w:ilvl w:val="0"/>
          <w:numId w:val="230"/>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ectPr>
          <w:pgSz w:w="11900" w:h="16838" w:orient="portrait"/>
          <w:cols w:equalWidth="0" w:num="1">
            <w:col w:w="9019"/>
          </w:cols>
          <w:pgMar w:left="1440" w:top="928"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534670</wp:posOffset>
            </wp:positionV>
            <wp:extent cx="506603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type w:val="continuous"/>
        </w:sectPr>
      </w:pPr>
    </w:p>
    <w:bookmarkStart w:id="252" w:name="page253"/>
    <w:bookmarkEnd w:id="252"/>
    <w:p>
      <w:pPr>
        <w:ind w:left="1840" w:hanging="575"/>
        <w:spacing w:after="0"/>
        <w:tabs>
          <w:tab w:leader="none" w:pos="18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w:t>
      </w:r>
    </w:p>
    <w:p>
      <w:pPr>
        <w:spacing w:after="0" w:line="21"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applicable:</w:t>
      </w:r>
    </w:p>
    <w:p>
      <w:pPr>
        <w:spacing w:after="0" w:line="201" w:lineRule="exact"/>
        <w:rPr>
          <w:rFonts w:ascii="Arial" w:cs="Arial" w:eastAsia="Arial" w:hAnsi="Arial"/>
          <w:sz w:val="22"/>
          <w:szCs w:val="22"/>
          <w:color w:val="auto"/>
        </w:rPr>
      </w:pPr>
    </w:p>
    <w:p>
      <w:pPr>
        <w:ind w:left="2480" w:hanging="644"/>
        <w:spacing w:after="0"/>
        <w:tabs>
          <w:tab w:leader="none" w:pos="2480" w:val="left"/>
        </w:tabs>
        <w:numPr>
          <w:ilvl w:val="1"/>
          <w:numId w:val="231"/>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231" w:lineRule="exact"/>
        <w:rPr>
          <w:rFonts w:ascii="Arial" w:cs="Arial" w:eastAsia="Arial" w:hAnsi="Arial"/>
          <w:sz w:val="21"/>
          <w:szCs w:val="21"/>
          <w:color w:val="auto"/>
        </w:rPr>
      </w:pPr>
    </w:p>
    <w:p>
      <w:pPr>
        <w:jc w:val="both"/>
        <w:ind w:left="1180" w:right="539" w:firstLine="656"/>
        <w:spacing w:after="0" w:line="247" w:lineRule="auto"/>
        <w:tabs>
          <w:tab w:leader="none" w:pos="247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2" w:lineRule="exact"/>
        <w:rPr>
          <w:rFonts w:ascii="Arial" w:cs="Arial" w:eastAsia="Arial" w:hAnsi="Arial"/>
          <w:sz w:val="22"/>
          <w:szCs w:val="22"/>
          <w:color w:val="auto"/>
        </w:rPr>
      </w:pPr>
    </w:p>
    <w:p>
      <w:pPr>
        <w:jc w:val="both"/>
        <w:ind w:left="1180" w:right="539" w:firstLine="656"/>
        <w:spacing w:after="0" w:line="253" w:lineRule="auto"/>
        <w:tabs>
          <w:tab w:leader="none" w:pos="247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85" w:lineRule="exact"/>
        <w:rPr>
          <w:sz w:val="20"/>
          <w:szCs w:val="20"/>
          <w:color w:val="auto"/>
        </w:rPr>
      </w:pPr>
    </w:p>
    <w:p>
      <w:pPr>
        <w:jc w:val="both"/>
        <w:ind w:left="540" w:right="559" w:firstLine="648"/>
        <w:spacing w:after="0" w:line="287" w:lineRule="auto"/>
        <w:rPr>
          <w:sz w:val="20"/>
          <w:szCs w:val="20"/>
          <w:color w:val="auto"/>
        </w:rPr>
      </w:pPr>
      <w:r>
        <w:rPr>
          <w:rFonts w:ascii="Arial" w:cs="Arial" w:eastAsia="Arial" w:hAnsi="Arial"/>
          <w:sz w:val="19"/>
          <w:szCs w:val="19"/>
          <w:color w:val="auto"/>
        </w:rPr>
        <w:t xml:space="preserve">SECTION 11.20.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Contracts or any other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3" w:lineRule="exact"/>
        <w:rPr>
          <w:sz w:val="20"/>
          <w:szCs w:val="20"/>
          <w:color w:val="auto"/>
        </w:rPr>
      </w:pPr>
    </w:p>
    <w:p>
      <w:pPr>
        <w:jc w:val="both"/>
        <w:ind w:left="540" w:right="499" w:firstLine="648"/>
        <w:spacing w:after="0" w:line="285"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513080</wp:posOffset>
            </wp:positionV>
            <wp:extent cx="506603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6603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3" w:name="page254"/>
    <w:bookmarkEnd w:id="253"/>
    <w:p>
      <w:pPr>
        <w:ind w:left="200" w:right="219" w:firstLine="648"/>
        <w:spacing w:after="0" w:line="343" w:lineRule="auto"/>
        <w:rPr>
          <w:sz w:val="20"/>
          <w:szCs w:val="20"/>
          <w:color w:val="auto"/>
        </w:rPr>
      </w:pPr>
      <w:r>
        <w:rPr>
          <w:rFonts w:ascii="Arial" w:cs="Arial" w:eastAsia="Arial" w:hAnsi="Arial"/>
          <w:sz w:val="19"/>
          <w:szCs w:val="19"/>
          <w:color w:val="auto"/>
        </w:rPr>
        <w:t>IN WITNESS WHEREOF, the parties hereto have caused this Agreement to be executed by their respective officers thereunto duly authorized, as of the date first above written.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INCYTE CORPORATION, as Borrower</w:t>
      </w:r>
    </w:p>
    <w:p>
      <w:pPr>
        <w:spacing w:after="0" w:line="200" w:lineRule="exact"/>
        <w:rPr>
          <w:sz w:val="20"/>
          <w:szCs w:val="20"/>
          <w:color w:val="auto"/>
        </w:rPr>
      </w:pPr>
    </w:p>
    <w:p>
      <w:pPr>
        <w:spacing w:after="0" w:line="249"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52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35200"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Christiana Stamoulis</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Title: Executive Vice President and Chief Financial</w:t>
      </w:r>
    </w:p>
    <w:p>
      <w:pPr>
        <w:spacing w:after="0" w:line="2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INCYTE HOLDINGS CORPORATION,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as a Subsidiary Guarantor</w:t>
      </w:r>
    </w:p>
    <w:p>
      <w:pPr>
        <w:spacing w:after="0" w:line="200" w:lineRule="exact"/>
        <w:rPr>
          <w:sz w:val="20"/>
          <w:szCs w:val="20"/>
          <w:color w:val="auto"/>
        </w:rPr>
      </w:pPr>
    </w:p>
    <w:p>
      <w:pPr>
        <w:spacing w:after="0" w:line="353"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Maria E. Pasquale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5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35835"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Maria E. Pasquale</w:t>
      </w:r>
    </w:p>
    <w:p>
      <w:pPr>
        <w:spacing w:after="0" w:line="1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 to Revolving Credit and Guarantee Agreement</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1" w:right="1440" w:bottom="1440" w:gutter="0" w:footer="0" w:header="0"/>
        </w:sectPr>
      </w:pPr>
    </w:p>
    <w:bookmarkStart w:id="254" w:name="page255"/>
    <w:bookmarkEnd w:id="254"/>
    <w:p>
      <w:pPr>
        <w:ind w:left="4100" w:right="259"/>
        <w:spacing w:after="0" w:line="358" w:lineRule="auto"/>
        <w:rPr>
          <w:sz w:val="20"/>
          <w:szCs w:val="20"/>
          <w:color w:val="auto"/>
        </w:rPr>
      </w:pPr>
      <w:r>
        <w:rPr>
          <w:rFonts w:ascii="Arial" w:cs="Arial" w:eastAsia="Arial" w:hAnsi="Arial"/>
          <w:sz w:val="19"/>
          <w:szCs w:val="19"/>
          <w:color w:val="auto"/>
        </w:rPr>
        <w:t>JPMORGAN CHASE BANK, N.A., individually as a Lender, as a L/C Issuer and as Administrative Agent</w:t>
      </w:r>
    </w:p>
    <w:p>
      <w:pPr>
        <w:spacing w:after="0" w:line="320"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Helen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2948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Helen D. Davis</w:t>
      </w:r>
    </w:p>
    <w:p>
      <w:pPr>
        <w:spacing w:after="0" w:line="1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5" w:name="page256"/>
    <w:bookmarkEnd w:id="255"/>
    <w:p>
      <w:pPr>
        <w:ind w:left="4100"/>
        <w:spacing w:after="0"/>
        <w:rPr>
          <w:sz w:val="20"/>
          <w:szCs w:val="20"/>
          <w:color w:val="auto"/>
        </w:rPr>
      </w:pPr>
      <w:r>
        <w:rPr>
          <w:rFonts w:ascii="Arial" w:cs="Arial" w:eastAsia="Arial" w:hAnsi="Arial"/>
          <w:sz w:val="19"/>
          <w:szCs w:val="19"/>
          <w:color w:val="auto"/>
        </w:rPr>
        <w:t>BANK OF AMERICA, N.A., individually as a</w:t>
      </w:r>
    </w:p>
    <w:p>
      <w:pPr>
        <w:spacing w:after="0" w:line="5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Linda Alto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52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3520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Linda Alto</w:t>
      </w:r>
    </w:p>
    <w:p>
      <w:pPr>
        <w:spacing w:after="0" w:line="1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6" w:name="page257"/>
    <w:bookmarkEnd w:id="256"/>
    <w:p>
      <w:pPr>
        <w:jc w:val="right"/>
        <w:ind w:right="479"/>
        <w:spacing w:after="0"/>
        <w:rPr>
          <w:sz w:val="20"/>
          <w:szCs w:val="20"/>
          <w:color w:val="auto"/>
        </w:rPr>
      </w:pPr>
      <w:r>
        <w:rPr>
          <w:rFonts w:ascii="Arial" w:cs="Arial" w:eastAsia="Arial" w:hAnsi="Arial"/>
          <w:sz w:val="22"/>
          <w:szCs w:val="22"/>
          <w:color w:val="auto"/>
        </w:rPr>
        <w:t>BARCLAYS BANK PLC, individually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Ronnie Glen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13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Ronnie Glen</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7" w:name="page258"/>
    <w:bookmarkEnd w:id="257"/>
    <w:p>
      <w:pPr>
        <w:jc w:val="right"/>
        <w:ind w:right="559"/>
        <w:spacing w:after="0"/>
        <w:rPr>
          <w:sz w:val="20"/>
          <w:szCs w:val="20"/>
          <w:color w:val="auto"/>
        </w:rPr>
      </w:pPr>
      <w:r>
        <w:rPr>
          <w:rFonts w:ascii="Arial" w:cs="Arial" w:eastAsia="Arial" w:hAnsi="Arial"/>
          <w:sz w:val="22"/>
          <w:szCs w:val="22"/>
          <w:color w:val="auto"/>
        </w:rPr>
        <w:t>CITIZENS BANK,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580" w:type="dxa"/>
            <w:vAlign w:val="bottom"/>
          </w:tcPr>
          <w:p>
            <w:pPr>
              <w:ind w:left="660"/>
              <w:spacing w:after="0"/>
              <w:rPr>
                <w:sz w:val="20"/>
                <w:szCs w:val="20"/>
                <w:color w:val="auto"/>
              </w:rPr>
            </w:pPr>
            <w:r>
              <w:rPr>
                <w:rFonts w:ascii="Arial" w:cs="Arial" w:eastAsia="Arial" w:hAnsi="Arial"/>
                <w:sz w:val="22"/>
                <w:szCs w:val="22"/>
                <w:color w:val="auto"/>
                <w:w w:val="94"/>
              </w:rPr>
              <w:t>/s/ James G. Rogers</w:t>
            </w: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40" w:type="dxa"/>
            <w:vAlign w:val="bottom"/>
            <w:gridSpan w:val="4"/>
          </w:tcPr>
          <w:p>
            <w:pPr>
              <w:ind w:left="640"/>
              <w:spacing w:after="0"/>
              <w:rPr>
                <w:sz w:val="20"/>
                <w:szCs w:val="20"/>
                <w:color w:val="auto"/>
              </w:rPr>
            </w:pPr>
            <w:r>
              <w:rPr>
                <w:rFonts w:ascii="Arial" w:cs="Arial" w:eastAsia="Arial" w:hAnsi="Arial"/>
                <w:sz w:val="22"/>
                <w:szCs w:val="22"/>
                <w:color w:val="auto"/>
              </w:rPr>
              <w:t>By:   /s/ Benjamin Rogers</w:t>
            </w:r>
          </w:p>
        </w:tc>
      </w:tr>
      <w:tr>
        <w:trPr>
          <w:trHeight w:val="20"/>
        </w:trPr>
        <w:tc>
          <w:tcPr>
            <w:tcW w:w="2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96"/>
        </w:trPr>
        <w:tc>
          <w:tcPr>
            <w:tcW w:w="2580" w:type="dxa"/>
            <w:vAlign w:val="bottom"/>
          </w:tcPr>
          <w:p>
            <w:pPr>
              <w:ind w:left="120"/>
              <w:spacing w:after="0"/>
              <w:rPr>
                <w:sz w:val="20"/>
                <w:szCs w:val="20"/>
                <w:color w:val="auto"/>
              </w:rPr>
            </w:pPr>
            <w:r>
              <w:rPr>
                <w:rFonts w:ascii="Arial" w:cs="Arial" w:eastAsia="Arial" w:hAnsi="Arial"/>
                <w:sz w:val="22"/>
                <w:szCs w:val="22"/>
                <w:color w:val="auto"/>
              </w:rPr>
              <w:t>James G. Rogers</w:t>
            </w:r>
          </w:p>
        </w:tc>
        <w:tc>
          <w:tcPr>
            <w:tcW w:w="20" w:type="dxa"/>
            <w:vAlign w:val="bottom"/>
          </w:tcPr>
          <w:p>
            <w:pPr>
              <w:spacing w:after="0"/>
              <w:rPr>
                <w:sz w:val="24"/>
                <w:szCs w:val="24"/>
                <w:color w:val="auto"/>
              </w:rPr>
            </w:pPr>
          </w:p>
        </w:tc>
        <w:tc>
          <w:tcPr>
            <w:tcW w:w="4540" w:type="dxa"/>
            <w:vAlign w:val="bottom"/>
            <w:gridSpan w:val="5"/>
          </w:tcPr>
          <w:p>
            <w:pPr>
              <w:ind w:left="1300"/>
              <w:spacing w:after="0"/>
              <w:rPr>
                <w:sz w:val="20"/>
                <w:szCs w:val="20"/>
                <w:color w:val="auto"/>
              </w:rPr>
            </w:pPr>
            <w:r>
              <w:rPr>
                <w:rFonts w:ascii="Arial" w:cs="Arial" w:eastAsia="Arial" w:hAnsi="Arial"/>
                <w:sz w:val="22"/>
                <w:szCs w:val="22"/>
                <w:color w:val="auto"/>
              </w:rPr>
              <w:t>Name: Benjamin Rogers</w:t>
            </w:r>
          </w:p>
        </w:tc>
      </w:tr>
      <w:tr>
        <w:trPr>
          <w:trHeight w:val="274"/>
        </w:trPr>
        <w:tc>
          <w:tcPr>
            <w:tcW w:w="2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40" w:type="dxa"/>
            <w:vAlign w:val="bottom"/>
            <w:gridSpan w:val="4"/>
          </w:tcPr>
          <w:p>
            <w:pPr>
              <w:spacing w:after="0"/>
              <w:rPr>
                <w:sz w:val="20"/>
                <w:szCs w:val="20"/>
                <w:color w:val="auto"/>
              </w:rPr>
            </w:pPr>
            <w:r>
              <w:rPr>
                <w:rFonts w:ascii="Arial" w:cs="Arial" w:eastAsia="Arial" w:hAnsi="Arial"/>
                <w:sz w:val="22"/>
                <w:szCs w:val="22"/>
                <w:color w:val="auto"/>
              </w:rPr>
              <w:t>Title:  SVP-RM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-374650</wp:posOffset>
            </wp:positionV>
            <wp:extent cx="8229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 to Revolving Credit and Guarantee Agreement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8" w:name="page259"/>
    <w:bookmarkEnd w:id="258"/>
    <w:p>
      <w:pPr>
        <w:ind w:left="4100" w:right="419"/>
        <w:spacing w:after="0" w:line="276" w:lineRule="auto"/>
        <w:rPr>
          <w:sz w:val="20"/>
          <w:szCs w:val="20"/>
          <w:color w:val="auto"/>
        </w:rPr>
      </w:pPr>
      <w:r>
        <w:rPr>
          <w:rFonts w:ascii="Arial" w:cs="Arial" w:eastAsia="Arial" w:hAnsi="Arial"/>
          <w:sz w:val="22"/>
          <w:szCs w:val="22"/>
          <w:color w:val="auto"/>
        </w:rPr>
        <w:t>GOLDMAN SACHS LENDING PARTNERS LLC, individually as a Lender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45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34565"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Rebecca Kratz</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59" w:name="page260"/>
    <w:bookmarkEnd w:id="259"/>
    <w:p>
      <w:pPr>
        <w:jc w:val="right"/>
        <w:ind w:right="479"/>
        <w:spacing w:after="0"/>
        <w:rPr>
          <w:sz w:val="20"/>
          <w:szCs w:val="20"/>
          <w:color w:val="auto"/>
        </w:rPr>
      </w:pPr>
      <w:r>
        <w:rPr>
          <w:rFonts w:ascii="Arial" w:cs="Arial" w:eastAsia="Arial" w:hAnsi="Arial"/>
          <w:sz w:val="22"/>
          <w:szCs w:val="22"/>
          <w:color w:val="auto"/>
        </w:rPr>
        <w:t>HSBC BANK USA,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282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28215"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Chris Burns</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60" w:name="page261"/>
    <w:bookmarkEnd w:id="260"/>
    <w:p>
      <w:pPr>
        <w:jc w:val="right"/>
        <w:ind w:right="619"/>
        <w:spacing w:after="0"/>
        <w:rPr>
          <w:sz w:val="20"/>
          <w:szCs w:val="20"/>
          <w:color w:val="auto"/>
        </w:rPr>
      </w:pPr>
      <w:r>
        <w:rPr>
          <w:rFonts w:ascii="Arial" w:cs="Arial" w:eastAsia="Arial" w:hAnsi="Arial"/>
          <w:sz w:val="22"/>
          <w:szCs w:val="22"/>
          <w:color w:val="auto"/>
        </w:rPr>
        <w:t>MIZUHO BANK, LTD., individually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45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34565"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John Davies</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61" w:name="page262"/>
    <w:bookmarkEnd w:id="261"/>
    <w:p>
      <w:pPr>
        <w:ind w:left="4100" w:right="359"/>
        <w:spacing w:after="0" w:line="276" w:lineRule="auto"/>
        <w:rPr>
          <w:sz w:val="20"/>
          <w:szCs w:val="20"/>
          <w:color w:val="auto"/>
        </w:rPr>
      </w:pPr>
      <w:r>
        <w:rPr>
          <w:rFonts w:ascii="Arial" w:cs="Arial" w:eastAsia="Arial" w:hAnsi="Arial"/>
          <w:sz w:val="22"/>
          <w:szCs w:val="22"/>
          <w:color w:val="auto"/>
        </w:rPr>
        <w:t>MORGAN STANLEY BANK,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20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32025"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Michael King</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62" w:name="page263"/>
    <w:bookmarkEnd w:id="262"/>
    <w:p>
      <w:pPr>
        <w:ind w:left="4100" w:right="279"/>
        <w:spacing w:after="0" w:line="276" w:lineRule="auto"/>
        <w:rPr>
          <w:sz w:val="20"/>
          <w:szCs w:val="20"/>
          <w:color w:val="auto"/>
        </w:rPr>
      </w:pPr>
      <w:r>
        <w:rPr>
          <w:rFonts w:ascii="Arial" w:cs="Arial" w:eastAsia="Arial" w:hAnsi="Arial"/>
          <w:sz w:val="22"/>
          <w:szCs w:val="22"/>
          <w:color w:val="auto"/>
        </w:rPr>
        <w:t>SUMITOMO MITSUI BANKING CORPORATION, individually as a Lender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Gail Motonaga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20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32025"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Gail Motonaga</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63" w:name="page264"/>
    <w:bookmarkEnd w:id="263"/>
    <w:p>
      <w:pPr>
        <w:ind w:left="4100"/>
        <w:spacing w:after="0"/>
        <w:rPr>
          <w:sz w:val="20"/>
          <w:szCs w:val="20"/>
          <w:color w:val="auto"/>
        </w:rPr>
      </w:pPr>
      <w:r>
        <w:rPr>
          <w:rFonts w:ascii="Arial" w:cs="Arial" w:eastAsia="Arial" w:hAnsi="Arial"/>
          <w:sz w:val="21"/>
          <w:szCs w:val="21"/>
          <w:color w:val="auto"/>
        </w:rPr>
        <w:t>U.S. BANK NATIONAL ASSOCIATION,</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individually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Maria Massimino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-17780</wp:posOffset>
            </wp:positionV>
            <wp:extent cx="22313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Maria Massimino</w:t>
      </w:r>
    </w:p>
    <w:p>
      <w:pPr>
        <w:spacing w:after="0" w:line="17" w:lineRule="exact"/>
        <w:rPr>
          <w:sz w:val="20"/>
          <w:szCs w:val="20"/>
          <w:color w:val="auto"/>
        </w:rPr>
      </w:pPr>
    </w:p>
    <w:p>
      <w:pPr>
        <w:ind w:left="4100"/>
        <w:spacing w:after="0"/>
        <w:tabs>
          <w:tab w:leader="none" w:pos="4780" w:val="left"/>
        </w:tabs>
        <w:rPr>
          <w:sz w:val="20"/>
          <w:szCs w:val="20"/>
          <w:color w:val="auto"/>
        </w:rPr>
      </w:pPr>
      <w:r>
        <w:rPr>
          <w:rFonts w:ascii="Arial" w:cs="Arial" w:eastAsia="Arial" w:hAnsi="Arial"/>
          <w:sz w:val="22"/>
          <w:szCs w:val="22"/>
          <w:color w:val="auto"/>
        </w:rPr>
        <w:t>Title:</w:t>
        <w:tab/>
        <w:t>Senior Vice President</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to Revolving Credit and Guarantee Agreement</w:t>
      </w:r>
    </w:p>
    <w:p>
      <w:pPr>
        <w:spacing w:after="0" w:line="4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Incyte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264" w:name="page265"/>
    <w:bookmarkEnd w:id="26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2021</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5" w:name="page266"/>
    <w:bookmarkEnd w:id="26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66" w:name="page267"/>
    <w:bookmarkEnd w:id="26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439" w:firstLine="648"/>
        <w:spacing w:after="0" w:line="262"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September 30, 2021,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59" w:lineRule="exact"/>
        <w:rPr>
          <w:sz w:val="20"/>
          <w:szCs w:val="20"/>
          <w:color w:val="auto"/>
        </w:rPr>
      </w:pPr>
    </w:p>
    <w:p>
      <w:pPr>
        <w:ind w:left="380" w:hanging="336"/>
        <w:spacing w:after="0"/>
        <w:tabs>
          <w:tab w:leader="none" w:pos="3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67" w:name="page268"/>
    <w:bookmarkEnd w:id="26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jc w:val="both"/>
        <w:ind w:left="40" w:right="379" w:firstLine="648"/>
        <w:spacing w:after="0" w:line="262"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September 30, 2021,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59" w:lineRule="exact"/>
        <w:rPr>
          <w:sz w:val="20"/>
          <w:szCs w:val="20"/>
          <w:color w:val="auto"/>
        </w:rPr>
      </w:pPr>
    </w:p>
    <w:p>
      <w:pPr>
        <w:ind w:left="380" w:hanging="336"/>
        <w:spacing w:after="0"/>
        <w:tabs>
          <w:tab w:leader="none" w:pos="3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1."/>
      <w:numFmt w:val="decimal"/>
      <w:start w:val="1"/>
    </w:lvl>
  </w:abstractNum>
  <w:abstractNum w:abstractNumId="4">
    <w:nsid w:val="1DF029D3"/>
    <w:multiLevelType w:val="hybridMultilevel"/>
    <w:lvl w:ilvl="0">
      <w:lvlJc w:val="left"/>
      <w:lvlText w:val="%1."/>
      <w:numFmt w:val="decimal"/>
      <w:start w:val="2"/>
    </w:lvl>
  </w:abstractNum>
  <w:abstractNum w:abstractNumId="5">
    <w:nsid w:val="5675FF36"/>
    <w:multiLevelType w:val="hybridMultilevel"/>
    <w:lvl w:ilvl="0">
      <w:lvlJc w:val="left"/>
      <w:lvlText w:val="%1."/>
      <w:numFmt w:val="decimal"/>
      <w:start w:val="3"/>
    </w:lvl>
  </w:abstractNum>
  <w:abstractNum w:abstractNumId="6">
    <w:nsid w:val="3DD15094"/>
    <w:multiLevelType w:val="hybridMultilevel"/>
    <w:lvl w:ilvl="0">
      <w:lvlJc w:val="left"/>
      <w:lvlText w:val="%1."/>
      <w:numFmt w:val="decimal"/>
      <w:start w:val="4"/>
    </w:lvl>
  </w:abstractNum>
  <w:abstractNum w:abstractNumId="7">
    <w:nsid w:val="3DB012B3"/>
    <w:multiLevelType w:val="hybridMultilevel"/>
    <w:lvl w:ilvl="0">
      <w:lvlJc w:val="left"/>
      <w:lvlText w:val="%1."/>
      <w:numFmt w:val="decimal"/>
      <w:start w:val="5"/>
    </w:lvl>
  </w:abstractNum>
  <w:abstractNum w:abstractNumId="8">
    <w:nsid w:val="2708C9AF"/>
    <w:multiLevelType w:val="hybridMultilevel"/>
    <w:lvl w:ilvl="0">
      <w:lvlJc w:val="left"/>
      <w:lvlText w:val="%1."/>
      <w:numFmt w:val="decimal"/>
      <w:start w:val="8"/>
    </w:lvl>
  </w:abstractNum>
  <w:abstractNum w:abstractNumId="9">
    <w:nsid w:val="5B25ACE2"/>
    <w:multiLevelType w:val="hybridMultilevel"/>
    <w:lvl w:ilvl="0">
      <w:lvlJc w:val="left"/>
      <w:lvlText w:val="%1."/>
      <w:numFmt w:val="decimal"/>
      <w:start w:val="9"/>
    </w:lvl>
  </w:abstractNum>
  <w:abstractNum w:abstractNumId="10">
    <w:nsid w:val="175DFCF0"/>
    <w:multiLevelType w:val="hybridMultilevel"/>
    <w:lvl w:ilvl="0">
      <w:lvlJc w:val="left"/>
      <w:lvlText w:val="%1."/>
      <w:numFmt w:val="decimal"/>
      <w:start w:val="10"/>
    </w:lvl>
  </w:abstractNum>
  <w:abstractNum w:abstractNumId="11">
    <w:nsid w:val="4F97E3E4"/>
    <w:multiLevelType w:val="hybridMultilevel"/>
    <w:lvl w:ilvl="0">
      <w:lvlJc w:val="left"/>
      <w:lvlText w:val="%1."/>
      <w:numFmt w:val="decimal"/>
      <w:start w:val="11"/>
    </w:lvl>
  </w:abstractNum>
  <w:abstractNum w:abstractNumId="12">
    <w:nsid w:val="53B0A9E"/>
    <w:multiLevelType w:val="hybridMultilevel"/>
    <w:lvl w:ilvl="0">
      <w:lvlJc w:val="left"/>
      <w:lvlText w:val="%1."/>
      <w:numFmt w:val="decimal"/>
      <w:start w:val="12"/>
    </w:lvl>
  </w:abstractNum>
  <w:abstractNum w:abstractNumId="13">
    <w:nsid w:val="34FD6B4F"/>
    <w:multiLevelType w:val="hybridMultilevel"/>
    <w:lvl w:ilvl="0">
      <w:lvlJc w:val="left"/>
      <w:lvlText w:val="%1."/>
      <w:numFmt w:val="decimal"/>
      <w:start w:val="13"/>
    </w:lvl>
  </w:abstractNum>
  <w:abstractNum w:abstractNumId="14">
    <w:nsid w:val="5915FF32"/>
    <w:multiLevelType w:val="hybridMultilevel"/>
    <w:lvl w:ilvl="0">
      <w:lvlJc w:val="left"/>
      <w:lvlText w:val="%1."/>
      <w:numFmt w:val="decimal"/>
      <w:start w:val="14"/>
    </w:lvl>
  </w:abstractNum>
  <w:abstractNum w:abstractNumId="15">
    <w:nsid w:val="56438D15"/>
    <w:multiLevelType w:val="hybridMultilevel"/>
    <w:lvl w:ilvl="0">
      <w:lvlJc w:val="left"/>
      <w:lvlText w:val="%1."/>
      <w:numFmt w:val="decimal"/>
      <w:start w:val="15"/>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1"/>
      <w:numFmt w:val="upperLetter"/>
      <w:start w:val="61"/>
    </w:lvl>
  </w:abstractNum>
  <w:abstractNum w:abstractNumId="23">
    <w:nsid w:val="5EC6AFD4"/>
    <w:multiLevelType w:val="hybridMultilevel"/>
    <w:lvl w:ilvl="0">
      <w:lvlJc w:val="left"/>
      <w:lvlText w:val="%1."/>
      <w:numFmt w:val="decimal"/>
      <w:start w:val="1"/>
    </w:lvl>
  </w:abstractNum>
  <w:abstractNum w:abstractNumId="24">
    <w:nsid w:val="19E21BB2"/>
    <w:multiLevelType w:val="hybridMultilevel"/>
    <w:lvl w:ilvl="0">
      <w:lvlJc w:val="left"/>
      <w:lvlText w:val="%1."/>
      <w:numFmt w:val="decimal"/>
      <w:start w:val="1"/>
    </w:lvl>
  </w:abstractNum>
  <w:abstractNum w:abstractNumId="25">
    <w:nsid w:val="75E0858A"/>
    <w:multiLevelType w:val="hybridMultilevel"/>
    <w:lvl w:ilvl="0">
      <w:lvlJc w:val="left"/>
      <w:lvlText w:val="%1."/>
      <w:numFmt w:val="decimal"/>
      <w:start w:val="1"/>
    </w:lvl>
  </w:abstractNum>
  <w:abstractNum w:abstractNumId="26">
    <w:nsid w:val="57A61A29"/>
    <w:multiLevelType w:val="hybridMultilevel"/>
    <w:lvl w:ilvl="0">
      <w:lvlJc w:val="left"/>
      <w:lvlText w:val="%1."/>
      <w:numFmt w:val="decimal"/>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lvl w:ilvl="1">
      <w:lvlJc w:val="left"/>
      <w:lvlText w:val="%2"/>
      <w:numFmt w:val="decimal"/>
      <w:start w:val="104"/>
    </w:lvl>
  </w:abstractNum>
  <w:abstractNum w:abstractNumId="43">
    <w:nsid w:val="2A31B62D"/>
    <w:multiLevelType w:val="hybridMultilevel"/>
    <w:lvl w:ilvl="0">
      <w:lvlJc w:val="left"/>
      <w:lvlText w:val="**"/>
      <w:numFmt w:val="bullet"/>
      <w:start w:val="1"/>
    </w:lvl>
    <w:lvl w:ilvl="1">
      <w:lvlJc w:val="left"/>
      <w:lvlText w:val="%2"/>
      <w:numFmt w:val="decimal"/>
      <w:start w:val="1"/>
    </w:lvl>
  </w:abstractNum>
  <w:abstractNum w:abstractNumId="44">
    <w:nsid w:val="1849C29B"/>
    <w:multiLevelType w:val="hybridMultilevel"/>
    <w:lvl w:ilvl="0">
      <w:lvlJc w:val="left"/>
      <w:lvlText w:val="A"/>
      <w:numFmt w:val="bullet"/>
      <w:start w:val="1"/>
    </w:lvl>
  </w:abstractNum>
  <w:abstractNum w:abstractNumId="45">
    <w:nsid w:val="7DFF9D09"/>
    <w:multiLevelType w:val="hybridMultilevel"/>
    <w:lvl w:ilvl="0">
      <w:lvlJc w:val="left"/>
      <w:lvlText w:val="E"/>
      <w:numFmt w:val="bullet"/>
      <w:start w:val="1"/>
    </w:lvl>
  </w:abstractNum>
  <w:abstractNum w:abstractNumId="46">
    <w:nsid w:val="754342"/>
    <w:multiLevelType w:val="hybridMultilevel"/>
    <w:lvl w:ilvl="0">
      <w:lvlJc w:val="left"/>
      <w:lvlText w:val="F"/>
      <w:numFmt w:val="bullet"/>
      <w:start w:val="1"/>
    </w:lvl>
  </w:abstractNum>
  <w:abstractNum w:abstractNumId="47">
    <w:nsid w:val="69E7F3E5"/>
    <w:multiLevelType w:val="hybridMultilevel"/>
    <w:lvl w:ilvl="0">
      <w:lvlJc w:val="left"/>
      <w:lvlText w:val="G"/>
      <w:numFmt w:val="bullet"/>
      <w:start w:val="1"/>
    </w:lvl>
  </w:abstractNum>
  <w:abstractNum w:abstractNumId="48">
    <w:nsid w:val="2A6DE806"/>
    <w:multiLevelType w:val="hybridMultilevel"/>
    <w:lvl w:ilvl="0">
      <w:lvlJc w:val="left"/>
      <w:lvlText w:val="(%1)"/>
      <w:numFmt w:val="lowerLetter"/>
      <w:start w:val="2"/>
    </w:lvl>
  </w:abstractNum>
  <w:abstractNum w:abstractNumId="49">
    <w:nsid w:val="1816F8C4"/>
    <w:multiLevelType w:val="hybridMultilevel"/>
    <w:lvl w:ilvl="0">
      <w:lvlJc w:val="left"/>
      <w:lvlText w:val="(%1)"/>
      <w:numFmt w:val="lowerLetter"/>
      <w:start w:val="2"/>
    </w:lvl>
  </w:abstractNum>
  <w:abstractNum w:abstractNumId="50">
    <w:nsid w:val="37DF2233"/>
    <w:multiLevelType w:val="hybridMultilevel"/>
    <w:lvl w:ilvl="0">
      <w:lvlJc w:val="left"/>
      <w:lvlText w:val="(%1)"/>
      <w:numFmt w:val="lowerLetter"/>
      <w:start w:val="3"/>
    </w:lvl>
  </w:abstractNum>
  <w:abstractNum w:abstractNumId="51">
    <w:nsid w:val="7AB49DAF"/>
    <w:multiLevelType w:val="hybridMultilevel"/>
    <w:lvl w:ilvl="0">
      <w:lvlJc w:val="left"/>
      <w:lvlText w:val="(%1)"/>
      <w:numFmt w:val="lowerLetter"/>
      <w:start w:val="1"/>
    </w:lvl>
  </w:abstractNum>
  <w:abstractNum w:abstractNumId="52">
    <w:nsid w:val="759F82CD"/>
    <w:multiLevelType w:val="hybridMultilevel"/>
    <w:lvl w:ilvl="0">
      <w:lvlJc w:val="left"/>
      <w:lvlText w:val="(%1)"/>
      <w:numFmt w:val="lowerLetter"/>
      <w:start w:val="2"/>
    </w:lvl>
  </w:abstractNum>
  <w:abstractNum w:abstractNumId="53">
    <w:nsid w:val="61E74EA3"/>
    <w:multiLevelType w:val="hybridMultilevel"/>
    <w:lvl w:ilvl="0">
      <w:lvlJc w:val="left"/>
      <w:lvlText w:val="(%1)"/>
      <w:numFmt w:val="lowerLetter"/>
      <w:start w:val="1"/>
    </w:lvl>
  </w:abstractNum>
  <w:abstractNum w:abstractNumId="54">
    <w:nsid w:val="597B4D84"/>
    <w:multiLevelType w:val="hybridMultilevel"/>
    <w:lvl w:ilvl="0">
      <w:lvlJc w:val="left"/>
      <w:lvlText w:val="%1"/>
      <w:numFmt w:val="lowerRoman"/>
      <w:start w:val="1"/>
    </w:lvl>
    <w:lvl w:ilvl="1">
      <w:lvlJc w:val="left"/>
      <w:lvlText w:val="(%2)"/>
      <w:numFmt w:val="lowerLetter"/>
      <w:start w:val="3"/>
    </w:lvl>
  </w:abstractNum>
  <w:abstractNum w:abstractNumId="55">
    <w:nsid w:val="F819E7F"/>
    <w:multiLevelType w:val="hybridMultilevel"/>
    <w:lvl w:ilvl="0">
      <w:lvlJc w:val="left"/>
      <w:lvlText w:val="(%1)"/>
      <w:numFmt w:val="lowerRoman"/>
      <w:start w:val="7"/>
    </w:lvl>
    <w:lvl w:ilvl="1">
      <w:lvlJc w:val="left"/>
      <w:lvlText w:val="%2"/>
      <w:numFmt w:val="lowerLetter"/>
      <w:start w:val="1"/>
    </w:lvl>
  </w:abstractNum>
  <w:abstractNum w:abstractNumId="56">
    <w:nsid w:val="57C7D42D"/>
    <w:multiLevelType w:val="hybridMultilevel"/>
    <w:lvl w:ilvl="0">
      <w:lvlJc w:val="left"/>
      <w:lvlText w:val="(%1)"/>
      <w:numFmt w:val="lowerLetter"/>
      <w:start w:val="1"/>
    </w:lvl>
  </w:abstractNum>
  <w:abstractNum w:abstractNumId="57">
    <w:nsid w:val="312167AD"/>
    <w:multiLevelType w:val="hybridMultilevel"/>
    <w:lvl w:ilvl="0">
      <w:lvlJc w:val="left"/>
      <w:lvlText w:val="(%1)"/>
      <w:numFmt w:val="lowerRoman"/>
      <w:start w:val="1"/>
    </w:lvl>
  </w:abstractNum>
  <w:abstractNum w:abstractNumId="58">
    <w:nsid w:val="631B64D4"/>
    <w:multiLevelType w:val="hybridMultilevel"/>
    <w:lvl w:ilvl="0">
      <w:lvlJc w:val="left"/>
      <w:lvlText w:val="(%1)"/>
      <w:numFmt w:val="lowerRoman"/>
      <w:start w:val="3"/>
    </w:lvl>
  </w:abstractNum>
  <w:abstractNum w:abstractNumId="59">
    <w:nsid w:val="78B5E776"/>
    <w:multiLevelType w:val="hybridMultilevel"/>
    <w:lvl w:ilvl="0">
      <w:lvlJc w:val="left"/>
      <w:lvlText w:val="(%1)"/>
      <w:numFmt w:val="lowerLetter"/>
      <w:start w:val="2"/>
    </w:lvl>
  </w:abstractNum>
  <w:abstractNum w:abstractNumId="60">
    <w:nsid w:val="75486E47"/>
    <w:multiLevelType w:val="hybridMultilevel"/>
    <w:lvl w:ilvl="0">
      <w:lvlJc w:val="left"/>
      <w:lvlText w:val="(%1)"/>
      <w:numFmt w:val="lowerLetter"/>
      <w:start w:val="1"/>
    </w:lvl>
  </w:abstractNum>
  <w:abstractNum w:abstractNumId="61">
    <w:nsid w:val="6E534CDE"/>
    <w:multiLevelType w:val="hybridMultilevel"/>
    <w:lvl w:ilvl="0">
      <w:lvlJc w:val="left"/>
      <w:lvlText w:val="(%1)"/>
      <w:numFmt w:val="lowerRoman"/>
      <w:start w:val="1"/>
    </w:lvl>
  </w:abstractNum>
  <w:abstractNum w:abstractNumId="62">
    <w:nsid w:val="1A0DDE32"/>
    <w:multiLevelType w:val="hybridMultilevel"/>
    <w:lvl w:ilvl="0">
      <w:lvlJc w:val="left"/>
      <w:lvlText w:val="(%1)"/>
      <w:numFmt w:val="lowerRoman"/>
      <w:start w:val="3"/>
    </w:lvl>
  </w:abstractNum>
  <w:abstractNum w:abstractNumId="63">
    <w:nsid w:val="65968C1C"/>
    <w:multiLevelType w:val="hybridMultilevel"/>
    <w:lvl w:ilvl="0">
      <w:lvlJc w:val="left"/>
      <w:lvlText w:val="(%1)"/>
      <w:numFmt w:val="lowerLetter"/>
      <w:start w:val="2"/>
    </w:lvl>
  </w:abstractNum>
  <w:abstractNum w:abstractNumId="64">
    <w:nsid w:val="46263DEC"/>
    <w:multiLevelType w:val="hybridMultilevel"/>
    <w:lvl w:ilvl="0">
      <w:lvlJc w:val="left"/>
      <w:lvlText w:val="(%1)"/>
      <w:numFmt w:val="lowerLetter"/>
      <w:start w:val="3"/>
    </w:lvl>
  </w:abstractNum>
  <w:abstractNum w:abstractNumId="65">
    <w:nsid w:val="260D8C4A"/>
    <w:multiLevelType w:val="hybridMultilevel"/>
    <w:lvl w:ilvl="0">
      <w:lvlJc w:val="left"/>
      <w:lvlText w:val="(%1)"/>
      <w:numFmt w:val="lowerLetter"/>
      <w:start w:val="1"/>
    </w:lvl>
  </w:abstractNum>
  <w:abstractNum w:abstractNumId="66">
    <w:nsid w:val="73D4D3C4"/>
    <w:multiLevelType w:val="hybridMultilevel"/>
    <w:lvl w:ilvl="0">
      <w:lvlJc w:val="left"/>
      <w:lvlText w:val="(%1)"/>
      <w:numFmt w:val="lowerLetter"/>
      <w:start w:val="5"/>
    </w:lvl>
  </w:abstractNum>
  <w:abstractNum w:abstractNumId="67">
    <w:nsid w:val="746F2E30"/>
    <w:multiLevelType w:val="hybridMultilevel"/>
    <w:lvl w:ilvl="0">
      <w:lvlJc w:val="left"/>
      <w:lvlText w:val="(%1)"/>
      <w:numFmt w:val="lowerLetter"/>
      <w:start w:val="14"/>
    </w:lvl>
  </w:abstractNum>
  <w:abstractNum w:abstractNumId="68">
    <w:nsid w:val="6FDE8AF6"/>
    <w:multiLevelType w:val="hybridMultilevel"/>
    <w:lvl w:ilvl="0">
      <w:lvlJc w:val="left"/>
      <w:lvlText w:val="(%1)"/>
      <w:numFmt w:val="lowerLetter"/>
      <w:start w:val="2"/>
    </w:lvl>
  </w:abstractNum>
  <w:abstractNum w:abstractNumId="69">
    <w:nsid w:val="3FC32E20"/>
    <w:multiLevelType w:val="hybridMultilevel"/>
    <w:lvl w:ilvl="0">
      <w:lvlJc w:val="left"/>
      <w:lvlText w:val="(%1)"/>
      <w:numFmt w:val="lowerRoman"/>
      <w:start w:val="2"/>
    </w:lvl>
  </w:abstractNum>
  <w:abstractNum w:abstractNumId="70">
    <w:nsid w:val="49C0E823"/>
    <w:multiLevelType w:val="hybridMultilevel"/>
    <w:lvl w:ilvl="0">
      <w:lvlJc w:val="left"/>
      <w:lvlText w:val="(%1)"/>
      <w:numFmt w:val="lowerLetter"/>
      <w:start w:val="3"/>
    </w:lvl>
  </w:abstractNum>
  <w:abstractNum w:abstractNumId="71">
    <w:nsid w:val="14D53685"/>
    <w:multiLevelType w:val="hybridMultilevel"/>
    <w:lvl w:ilvl="0">
      <w:lvlJc w:val="left"/>
      <w:lvlText w:val="(%1)"/>
      <w:numFmt w:val="lowerLetter"/>
      <w:start w:val="2"/>
    </w:lvl>
  </w:abstractNum>
  <w:abstractNum w:abstractNumId="72">
    <w:nsid w:val="230F856C"/>
    <w:multiLevelType w:val="hybridMultilevel"/>
    <w:lvl w:ilvl="0">
      <w:lvlJc w:val="left"/>
      <w:lvlText w:val="(%1)"/>
      <w:numFmt w:val="lowerLetter"/>
      <w:start w:val="1"/>
    </w:lvl>
  </w:abstractNum>
  <w:abstractNum w:abstractNumId="73">
    <w:nsid w:val="6EAA85FB"/>
    <w:multiLevelType w:val="hybridMultilevel"/>
    <w:lvl w:ilvl="0">
      <w:lvlJc w:val="left"/>
      <w:lvlText w:val="(%1)"/>
      <w:numFmt w:val="lowerLetter"/>
      <w:start w:val="3"/>
    </w:lvl>
  </w:abstractNum>
  <w:abstractNum w:abstractNumId="74">
    <w:nsid w:val="3F06ECB2"/>
    <w:multiLevelType w:val="hybridMultilevel"/>
    <w:lvl w:ilvl="0">
      <w:lvlJc w:val="left"/>
      <w:lvlText w:val="(%1)"/>
      <w:numFmt w:val="lowerLetter"/>
      <w:start w:val="2"/>
    </w:lvl>
  </w:abstractNum>
  <w:abstractNum w:abstractNumId="75">
    <w:nsid w:val="3B594807"/>
    <w:multiLevelType w:val="hybridMultilevel"/>
    <w:lvl w:ilvl="0">
      <w:lvlJc w:val="left"/>
      <w:lvlText w:val="(%1)"/>
      <w:numFmt w:val="lowerLetter"/>
      <w:start w:val="2"/>
    </w:lvl>
  </w:abstractNum>
  <w:abstractNum w:abstractNumId="76">
    <w:nsid w:val="6CAA2304"/>
    <w:multiLevelType w:val="hybridMultilevel"/>
    <w:lvl w:ilvl="0">
      <w:lvlJc w:val="left"/>
      <w:lvlText w:val="(%1)"/>
      <w:numFmt w:val="lowerLetter"/>
      <w:start w:val="25"/>
    </w:lvl>
  </w:abstractNum>
  <w:abstractNum w:abstractNumId="77">
    <w:nsid w:val="3F7C2FF4"/>
    <w:multiLevelType w:val="hybridMultilevel"/>
    <w:lvl w:ilvl="0">
      <w:lvlJc w:val="left"/>
      <w:lvlText w:val="(%1)"/>
      <w:numFmt w:val="lowerLetter"/>
      <w:start w:val="2"/>
    </w:lvl>
  </w:abstractNum>
  <w:abstractNum w:abstractNumId="78">
    <w:nsid w:val="25413BE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79">
    <w:nsid w:val="17180B0B"/>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80">
    <w:nsid w:val="579328B9"/>
    <w:multiLevelType w:val="hybridMultilevel"/>
    <w:lvl w:ilvl="0">
      <w:lvlJc w:val="left"/>
      <w:lvlText w:val="%1"/>
      <w:numFmt w:val="lowerLetter"/>
      <w:start w:val="1"/>
    </w:lvl>
    <w:lvl w:ilvl="1">
      <w:lvlJc w:val="left"/>
      <w:lvlText w:val="(%2)"/>
      <w:numFmt w:val="lowerRoman"/>
      <w:start w:val="2"/>
    </w:lvl>
  </w:abstractNum>
  <w:abstractNum w:abstractNumId="81">
    <w:nsid w:val="5D205E20"/>
    <w:multiLevelType w:val="hybridMultilevel"/>
    <w:lvl w:ilvl="0">
      <w:lvlJc w:val="left"/>
      <w:lvlText w:val="(%1)"/>
      <w:numFmt w:val="lowerLetter"/>
      <w:start w:val="4"/>
    </w:lvl>
    <w:lvl w:ilvl="1">
      <w:lvlJc w:val="left"/>
      <w:lvlText w:val="(%2)"/>
      <w:numFmt w:val="lowerRoman"/>
      <w:start w:val="1"/>
    </w:lvl>
  </w:abstractNum>
  <w:abstractNum w:abstractNumId="82">
    <w:nsid w:val="11CCA8BA"/>
    <w:multiLevelType w:val="hybridMultilevel"/>
    <w:lvl w:ilvl="0">
      <w:lvlJc w:val="left"/>
      <w:lvlText w:val="%1"/>
      <w:numFmt w:val="lowerLetter"/>
      <w:start w:val="1"/>
    </w:lvl>
    <w:lvl w:ilvl="1">
      <w:lvlJc w:val="left"/>
      <w:lvlText w:val="(%2)"/>
      <w:numFmt w:val="lowerRoman"/>
      <w:start w:val="4"/>
    </w:lvl>
  </w:abstractNum>
  <w:abstractNum w:abstractNumId="83">
    <w:nsid w:val="4D32AB86"/>
    <w:multiLevelType w:val="hybridMultilevel"/>
    <w:lvl w:ilvl="0">
      <w:lvlJc w:val="left"/>
      <w:lvlText w:val="(%1)"/>
      <w:numFmt w:val="lowerLetter"/>
      <w:start w:val="6"/>
    </w:lvl>
    <w:lvl w:ilvl="1">
      <w:lvlJc w:val="left"/>
      <w:lvlText w:val="%2"/>
      <w:numFmt w:val="lowerRoman"/>
      <w:start w:val="1"/>
    </w:lvl>
  </w:abstractNum>
  <w:abstractNum w:abstractNumId="84">
    <w:nsid w:val="3F07ACC3"/>
    <w:multiLevelType w:val="hybridMultilevel"/>
    <w:lvl w:ilvl="0">
      <w:lvlJc w:val="left"/>
      <w:lvlText w:val="(%1)"/>
      <w:numFmt w:val="upperLetter"/>
      <w:start w:val="3"/>
    </w:lvl>
    <w:lvl w:ilvl="1">
      <w:lvlJc w:val="left"/>
      <w:lvlText w:val="(%2)"/>
      <w:numFmt w:val="lowerRoman"/>
      <w:start w:val="2"/>
    </w:lvl>
    <w:lvl w:ilvl="2">
      <w:lvlJc w:val="left"/>
      <w:lvlText w:val="(%3)"/>
      <w:numFmt w:val="upperLetter"/>
      <w:start w:val="1"/>
    </w:lvl>
  </w:abstractNum>
  <w:abstractNum w:abstractNumId="85">
    <w:nsid w:val="6B47F63E"/>
    <w:multiLevelType w:val="hybridMultilevel"/>
    <w:lvl w:ilvl="0">
      <w:lvlJc w:val="left"/>
      <w:lvlText w:val="(%1)"/>
      <w:numFmt w:val="upperLetter"/>
      <w:start w:val="2"/>
    </w:lvl>
  </w:abstractNum>
  <w:abstractNum w:abstractNumId="86">
    <w:nsid w:val="5CB44A05"/>
    <w:multiLevelType w:val="hybridMultilevel"/>
    <w:lvl w:ilvl="0">
      <w:lvlJc w:val="left"/>
      <w:lvlText w:val="%1"/>
      <w:numFmt w:val="lowerRoman"/>
      <w:start w:val="1"/>
    </w:lvl>
    <w:lvl w:ilvl="1">
      <w:lvlJc w:val="left"/>
      <w:lvlText w:val="(%2)"/>
      <w:numFmt w:val="upperLetter"/>
      <w:start w:val="4"/>
    </w:lvl>
  </w:abstractNum>
  <w:abstractNum w:abstractNumId="87">
    <w:nsid w:val="16CF80F1"/>
    <w:multiLevelType w:val="hybridMultilevel"/>
    <w:lvl w:ilvl="0">
      <w:lvlJc w:val="left"/>
      <w:lvlText w:val="(%1)"/>
      <w:numFmt w:val="lowerRoman"/>
      <w:start w:val="4"/>
    </w:lvl>
    <w:lvl w:ilvl="1">
      <w:lvlJc w:val="left"/>
      <w:lvlText w:val="%2"/>
      <w:numFmt w:val="upperLetter"/>
      <w:start w:val="1"/>
    </w:lvl>
  </w:abstractNum>
  <w:abstractNum w:abstractNumId="88">
    <w:nsid w:val="1C695D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89">
    <w:nsid w:val="3FCFAED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0">
    <w:nsid w:val="F856867"/>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2"/>
    </w:lvl>
  </w:abstractNum>
  <w:abstractNum w:abstractNumId="91">
    <w:nsid w:val="11B1CC33"/>
    <w:multiLevelType w:val="hybridMultilevel"/>
    <w:lvl w:ilvl="0">
      <w:lvlJc w:val="left"/>
      <w:lvlText w:val="(%1)"/>
      <w:numFmt w:val="lowerRoman"/>
      <w:start w:val="3"/>
    </w:lvl>
  </w:abstractNum>
  <w:abstractNum w:abstractNumId="92">
    <w:nsid w:val="2E22FBB7"/>
    <w:multiLevelType w:val="hybridMultilevel"/>
    <w:lvl w:ilvl="0">
      <w:lvlJc w:val="left"/>
      <w:lvlText w:val="(%1)"/>
      <w:numFmt w:val="lowerLetter"/>
      <w:start w:val="3"/>
    </w:lvl>
    <w:lvl w:ilvl="1">
      <w:lvlJc w:val="left"/>
      <w:lvlText w:val="(%2)"/>
      <w:numFmt w:val="lowerLetter"/>
      <w:start w:val="35"/>
    </w:lvl>
  </w:abstractNum>
  <w:abstractNum w:abstractNumId="93">
    <w:nsid w:val="29934699"/>
    <w:multiLevelType w:val="hybridMultilevel"/>
    <w:lvl w:ilvl="0">
      <w:lvlJc w:val="left"/>
      <w:lvlText w:val="(%1)"/>
      <w:numFmt w:val="lowerRoman"/>
      <w:start w:val="3"/>
    </w:lvl>
  </w:abstractNum>
  <w:abstractNum w:abstractNumId="94">
    <w:nsid w:val="77485850"/>
    <w:multiLevelType w:val="hybridMultilevel"/>
    <w:lvl w:ilvl="0">
      <w:lvlJc w:val="left"/>
      <w:lvlText w:val="(%1)"/>
      <w:numFmt w:val="lowerRoman"/>
      <w:start w:val="6"/>
    </w:lvl>
  </w:abstractNum>
  <w:abstractNum w:abstractNumId="95">
    <w:nsid w:val="744939A3"/>
    <w:multiLevelType w:val="hybridMultilevel"/>
    <w:lvl w:ilvl="0">
      <w:lvlJc w:val="left"/>
      <w:lvlText w:val="(%1)"/>
      <w:numFmt w:val="lowerLetter"/>
      <w:start w:val="4"/>
    </w:lvl>
    <w:lvl w:ilvl="1">
      <w:lvlJc w:val="left"/>
      <w:lvlText w:val="(%2)"/>
      <w:numFmt w:val="lowerRoman"/>
      <w:start w:val="2"/>
    </w:lvl>
  </w:abstractNum>
  <w:abstractNum w:abstractNumId="96">
    <w:nsid w:val="4FA0D2E3"/>
    <w:multiLevelType w:val="hybridMultilevel"/>
    <w:lvl w:ilvl="0">
      <w:lvlJc w:val="left"/>
      <w:lvlText w:val="%1"/>
      <w:numFmt w:val="lowerLetter"/>
      <w:start w:val="1"/>
    </w:lvl>
    <w:lvl w:ilvl="1">
      <w:lvlJc w:val="left"/>
      <w:lvlText w:val="(%2)"/>
      <w:numFmt w:val="lowerRoman"/>
      <w:start w:val="1"/>
    </w:lvl>
  </w:abstractNum>
  <w:abstractNum w:abstractNumId="97">
    <w:nsid w:val="6B1D2C14"/>
    <w:multiLevelType w:val="hybridMultilevel"/>
    <w:lvl w:ilvl="0">
      <w:lvlJc w:val="left"/>
      <w:lvlText w:val="%1"/>
      <w:numFmt w:val="lowerLetter"/>
      <w:start w:val="1"/>
    </w:lvl>
    <w:lvl w:ilvl="1">
      <w:lvlJc w:val="left"/>
      <w:lvlText w:val="(%2)"/>
      <w:numFmt w:val="lowerRoman"/>
      <w:start w:val="5"/>
    </w:lvl>
  </w:abstractNum>
  <w:abstractNum w:abstractNumId="98">
    <w:nsid w:val="68B867D3"/>
    <w:multiLevelType w:val="hybridMultilevel"/>
    <w:lvl w:ilvl="0">
      <w:lvlJc w:val="left"/>
      <w:lvlText w:val="(%1)"/>
      <w:numFmt w:val="lowerLetter"/>
      <w:start w:val="6"/>
    </w:lvl>
    <w:lvl w:ilvl="1">
      <w:lvlJc w:val="left"/>
      <w:lvlText w:val="%2"/>
      <w:numFmt w:val="lowerRoman"/>
      <w:start w:val="1"/>
    </w:lvl>
  </w:abstractNum>
  <w:abstractNum w:abstractNumId="99">
    <w:nsid w:val="3F7F5DD9"/>
    <w:multiLevelType w:val="hybridMultilevel"/>
    <w:lvl w:ilvl="0">
      <w:lvlJc w:val="left"/>
      <w:lvlText w:val="(%1)"/>
      <w:numFmt w:val="lowerLetter"/>
      <w:start w:val="7"/>
    </w:lvl>
  </w:abstractNum>
  <w:abstractNum w:abstractNumId="100">
    <w:nsid w:val="2AE05A34"/>
    <w:multiLevelType w:val="hybridMultilevel"/>
    <w:lvl w:ilvl="0">
      <w:lvlJc w:val="left"/>
      <w:lvlText w:val="%1"/>
      <w:numFmt w:val="lowerLetter"/>
      <w:start w:val="1"/>
    </w:lvl>
    <w:lvl w:ilvl="1">
      <w:lvlJc w:val="left"/>
      <w:lvlText w:val="(%2)"/>
      <w:numFmt w:val="lowerLetter"/>
      <w:start w:val="9"/>
    </w:lvl>
  </w:abstractNum>
  <w:abstractNum w:abstractNumId="101">
    <w:nsid w:val="32794FF7"/>
    <w:multiLevelType w:val="hybridMultilevel"/>
    <w:lvl w:ilvl="0">
      <w:lvlJc w:val="left"/>
      <w:lvlText w:val="(%1)"/>
      <w:numFmt w:val="lowerLetter"/>
      <w:start w:val="35"/>
    </w:lvl>
    <w:lvl w:ilvl="1">
      <w:lvlJc w:val="left"/>
      <w:lvlText w:val="%2"/>
      <w:numFmt w:val="lowerLetter"/>
      <w:start w:val="1"/>
    </w:lvl>
  </w:abstractNum>
  <w:abstractNum w:abstractNumId="102">
    <w:nsid w:val="5454945E"/>
    <w:multiLevelType w:val="hybridMultilevel"/>
    <w:lvl w:ilvl="0">
      <w:lvlJc w:val="left"/>
      <w:lvlText w:val="(%1)"/>
      <w:numFmt w:val="lowerLetter"/>
      <w:start w:val="12"/>
    </w:lvl>
  </w:abstractNum>
  <w:abstractNum w:abstractNumId="103">
    <w:nsid w:val="4DEFDFA0"/>
    <w:multiLevelType w:val="hybridMultilevel"/>
    <w:lvl w:ilvl="0">
      <w:lvlJc w:val="left"/>
      <w:lvlText w:val="(%1)"/>
      <w:numFmt w:val="upperLetter"/>
      <w:start w:val="2"/>
    </w:lvl>
  </w:abstractNum>
  <w:abstractNum w:abstractNumId="104">
    <w:nsid w:val="2123D5F2"/>
    <w:multiLevelType w:val="hybridMultilevel"/>
    <w:lvl w:ilvl="0">
      <w:lvlJc w:val="left"/>
      <w:lvlText w:val="%1"/>
      <w:numFmt w:val="lowerLetter"/>
      <w:start w:val="1"/>
    </w:lvl>
    <w:lvl w:ilvl="1">
      <w:lvlJc w:val="left"/>
      <w:lvlText w:val="(%2)"/>
      <w:numFmt w:val="lowerLetter"/>
      <w:start w:val="2"/>
    </w:lvl>
  </w:abstractNum>
  <w:abstractNum w:abstractNumId="105">
    <w:nsid w:val="135B8110"/>
    <w:multiLevelType w:val="hybridMultilevel"/>
    <w:lvl w:ilvl="0">
      <w:lvlJc w:val="left"/>
      <w:lvlText w:val="(%1)"/>
      <w:numFmt w:val="lowerLetter"/>
      <w:start w:val="9"/>
    </w:lvl>
    <w:lvl w:ilvl="1">
      <w:lvlJc w:val="left"/>
      <w:lvlText w:val="(%2)"/>
      <w:numFmt w:val="lowerLetter"/>
      <w:start w:val="4"/>
    </w:lvl>
  </w:abstractNum>
  <w:abstractNum w:abstractNumId="106">
    <w:nsid w:val="94927A8"/>
    <w:multiLevelType w:val="hybridMultilevel"/>
    <w:lvl w:ilvl="0">
      <w:lvlJc w:val="left"/>
      <w:lvlText w:val="(%1)"/>
      <w:numFmt w:val="lowerLetter"/>
      <w:start w:val="2"/>
    </w:lvl>
  </w:abstractNum>
  <w:abstractNum w:abstractNumId="107">
    <w:nsid w:val="DCDF8F6"/>
    <w:multiLevelType w:val="hybridMultilevel"/>
    <w:lvl w:ilvl="0">
      <w:lvlJc w:val="left"/>
      <w:lvlText w:val="(%1)"/>
      <w:numFmt w:val="lowerLetter"/>
      <w:start w:val="2"/>
    </w:lvl>
  </w:abstractNum>
  <w:abstractNum w:abstractNumId="108">
    <w:nsid w:val="52D7B105"/>
    <w:multiLevelType w:val="hybridMultilevel"/>
    <w:lvl w:ilvl="0">
      <w:lvlJc w:val="left"/>
      <w:lvlText w:val="(%1)"/>
      <w:numFmt w:val="lowerLetter"/>
      <w:start w:val="3"/>
    </w:lvl>
  </w:abstractNum>
  <w:abstractNum w:abstractNumId="109">
    <w:nsid w:val="2E8A6394"/>
    <w:multiLevelType w:val="hybridMultilevel"/>
    <w:lvl w:ilvl="0">
      <w:lvlJc w:val="left"/>
      <w:lvlText w:val="(%1)"/>
      <w:numFmt w:val="lowerLetter"/>
      <w:start w:val="1"/>
    </w:lvl>
  </w:abstractNum>
  <w:abstractNum w:abstractNumId="110">
    <w:nsid w:val="24E60401"/>
    <w:multiLevelType w:val="hybridMultilevel"/>
    <w:lvl w:ilvl="0">
      <w:lvlJc w:val="left"/>
      <w:lvlText w:val="(%1)"/>
      <w:numFmt w:val="lowerLetter"/>
      <w:start w:val="2"/>
    </w:lvl>
  </w:abstractNum>
  <w:abstractNum w:abstractNumId="111">
    <w:nsid w:val="2A6AD9BE"/>
    <w:multiLevelType w:val="hybridMultilevel"/>
    <w:lvl w:ilvl="0">
      <w:lvlJc w:val="left"/>
      <w:lvlText w:val="(%1)"/>
      <w:numFmt w:val="upperLetter"/>
      <w:start w:val="1"/>
    </w:lvl>
    <w:lvl w:ilvl="1">
      <w:lvlJc w:val="left"/>
      <w:lvlText w:val="(%2)"/>
      <w:numFmt w:val="lowerLetter"/>
      <w:start w:val="2"/>
    </w:lvl>
  </w:abstractNum>
  <w:abstractNum w:abstractNumId="112">
    <w:nsid w:val="BAAC1B4"/>
    <w:multiLevelType w:val="hybridMultilevel"/>
    <w:lvl w:ilvl="0">
      <w:lvlJc w:val="left"/>
      <w:lvlText w:val="%1"/>
      <w:numFmt w:val="lowerLetter"/>
      <w:start w:val="1"/>
    </w:lvl>
    <w:lvl w:ilvl="1">
      <w:lvlJc w:val="left"/>
      <w:lvlText w:val="(%2)"/>
      <w:numFmt w:val="lowerRoman"/>
      <w:start w:val="2"/>
    </w:lvl>
  </w:abstractNum>
  <w:abstractNum w:abstractNumId="113">
    <w:nsid w:val="36B2ACBC"/>
    <w:multiLevelType w:val="hybridMultilevel"/>
    <w:lvl w:ilvl="0">
      <w:lvlJc w:val="left"/>
      <w:lvlText w:val="(%1)"/>
      <w:numFmt w:val="lowerLetter"/>
      <w:start w:val="3"/>
    </w:lvl>
    <w:lvl w:ilvl="1">
      <w:lvlJc w:val="left"/>
      <w:lvlText w:val="%2"/>
      <w:numFmt w:val="lowerRoman"/>
      <w:start w:val="1"/>
    </w:lvl>
  </w:abstractNum>
  <w:abstractNum w:abstractNumId="114">
    <w:nsid w:val="779D8544"/>
    <w:multiLevelType w:val="hybridMultilevel"/>
    <w:lvl w:ilvl="0">
      <w:lvlJc w:val="left"/>
      <w:lvlText w:val="(%1)"/>
      <w:numFmt w:val="lowerLetter"/>
      <w:start w:val="4"/>
    </w:lvl>
  </w:abstractNum>
  <w:abstractNum w:abstractNumId="115">
    <w:nsid w:val="4AB26E78"/>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116">
    <w:nsid w:val="21FAA2FA"/>
    <w:multiLevelType w:val="hybridMultilevel"/>
    <w:lvl w:ilvl="0">
      <w:lvlJc w:val="left"/>
      <w:lvlText w:val="(%1)"/>
      <w:numFmt w:val="lowerLetter"/>
      <w:start w:val="2"/>
    </w:lvl>
  </w:abstractNum>
  <w:abstractNum w:abstractNumId="117">
    <w:nsid w:val="5451CF49"/>
    <w:multiLevelType w:val="hybridMultilevel"/>
    <w:lvl w:ilvl="0">
      <w:lvlJc w:val="left"/>
      <w:lvlText w:val="(%1)"/>
      <w:numFmt w:val="lowerLetter"/>
      <w:start w:val="6"/>
    </w:lvl>
  </w:abstractNum>
  <w:abstractNum w:abstractNumId="118">
    <w:nsid w:val="6181EF69"/>
    <w:multiLevelType w:val="hybridMultilevel"/>
    <w:lvl w:ilvl="0">
      <w:lvlJc w:val="left"/>
      <w:lvlText w:val="%1"/>
      <w:numFmt w:val="lowerLetter"/>
      <w:start w:val="1"/>
    </w:lvl>
    <w:lvl w:ilvl="1">
      <w:lvlJc w:val="left"/>
      <w:lvlText w:val="(%2)"/>
      <w:numFmt w:val="lowerRoman"/>
      <w:start w:val="2"/>
    </w:lvl>
  </w:abstractNum>
  <w:abstractNum w:abstractNumId="119">
    <w:nsid w:val="3E6400E6"/>
    <w:multiLevelType w:val="hybridMultilevel"/>
    <w:lvl w:ilvl="0">
      <w:lvlJc w:val="left"/>
      <w:lvlText w:val="(%1)"/>
      <w:numFmt w:val="lowerLetter"/>
      <w:start w:val="2"/>
    </w:lvl>
    <w:lvl w:ilvl="1">
      <w:lvlJc w:val="left"/>
      <w:lvlText w:val="%2"/>
      <w:numFmt w:val="lowerRoman"/>
      <w:start w:val="1"/>
    </w:lvl>
  </w:abstractNum>
  <w:abstractNum w:abstractNumId="120">
    <w:nsid w:val="14217E23"/>
    <w:multiLevelType w:val="hybridMultilevel"/>
    <w:lvl w:ilvl="0">
      <w:lvlJc w:val="left"/>
      <w:lvlText w:val="(%1)"/>
      <w:numFmt w:val="lowerLetter"/>
      <w:start w:val="4"/>
    </w:lvl>
  </w:abstractNum>
  <w:abstractNum w:abstractNumId="121">
    <w:nsid w:val="710757D0"/>
    <w:multiLevelType w:val="hybridMultilevel"/>
    <w:lvl w:ilvl="0">
      <w:lvlJc w:val="left"/>
      <w:lvlText w:val="(%1)"/>
      <w:numFmt w:val="lowerRoman"/>
      <w:start w:val="1"/>
    </w:lvl>
  </w:abstractNum>
  <w:abstractNum w:abstractNumId="122">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3">
    <w:nsid w:val="424479D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24">
    <w:nsid w:val="1A9A9E69"/>
    <w:multiLevelType w:val="hybridMultilevel"/>
    <w:lvl w:ilvl="0">
      <w:lvlJc w:val="left"/>
      <w:lvlText w:val="(%1)"/>
      <w:numFmt w:val="lowerLetter"/>
      <w:start w:val="1"/>
    </w:lvl>
    <w:lvl w:ilvl="1">
      <w:lvlJc w:val="left"/>
      <w:lvlText w:val="(%2)"/>
      <w:numFmt w:val="lowerRoman"/>
      <w:start w:val="1"/>
    </w:lvl>
  </w:abstractNum>
  <w:abstractNum w:abstractNumId="125">
    <w:nsid w:val="475E256A"/>
    <w:multiLevelType w:val="hybridMultilevel"/>
    <w:lvl w:ilvl="0">
      <w:lvlJc w:val="left"/>
      <w:lvlText w:val="(%1)"/>
      <w:numFmt w:val="lowerLetter"/>
      <w:start w:val="2"/>
    </w:lvl>
  </w:abstractNum>
  <w:abstractNum w:abstractNumId="126">
    <w:nsid w:val="368DB37E"/>
    <w:multiLevelType w:val="hybridMultilevel"/>
    <w:lvl w:ilvl="0">
      <w:lvlJc w:val="left"/>
      <w:lvlText w:val="%1"/>
      <w:numFmt w:val="lowerLetter"/>
      <w:start w:val="1"/>
    </w:lvl>
    <w:lvl w:ilvl="1">
      <w:lvlJc w:val="left"/>
      <w:lvlText w:val="(%2)"/>
      <w:numFmt w:val="lowerLetter"/>
      <w:start w:val="3"/>
    </w:lvl>
  </w:abstractNum>
  <w:abstractNum w:abstractNumId="127">
    <w:nsid w:val="6A3B714C"/>
    <w:multiLevelType w:val="hybridMultilevel"/>
    <w:lvl w:ilvl="0">
      <w:lvlJc w:val="left"/>
      <w:lvlText w:val="(%1)"/>
      <w:numFmt w:val="lowerLetter"/>
      <w:start w:val="3"/>
    </w:lvl>
    <w:lvl w:ilvl="1">
      <w:lvlJc w:val="left"/>
      <w:lvlText w:val="(%2)"/>
      <w:numFmt w:val="lowerLetter"/>
      <w:start w:val="4"/>
    </w:lvl>
  </w:abstractNum>
  <w:abstractNum w:abstractNumId="128">
    <w:nsid w:val="327B517E"/>
    <w:multiLevelType w:val="hybridMultilevel"/>
    <w:lvl w:ilvl="0">
      <w:lvlJc w:val="left"/>
      <w:lvlText w:val="(%1)"/>
      <w:numFmt w:val="lowerLetter"/>
      <w:start w:val="6"/>
    </w:lvl>
  </w:abstractNum>
  <w:abstractNum w:abstractNumId="129">
    <w:nsid w:val="1F461B51"/>
    <w:multiLevelType w:val="hybridMultilevel"/>
    <w:lvl w:ilvl="0">
      <w:lvlJc w:val="left"/>
      <w:lvlText w:val="(%1)"/>
      <w:numFmt w:val="decimal"/>
      <w:start w:val="1"/>
    </w:lvl>
  </w:abstractNum>
  <w:abstractNum w:abstractNumId="130">
    <w:nsid w:val="29BACF25"/>
    <w:multiLevelType w:val="hybridMultilevel"/>
    <w:lvl w:ilvl="0">
      <w:lvlJc w:val="left"/>
      <w:lvlText w:val="(%1)"/>
      <w:numFmt w:val="decimal"/>
      <w:start w:val="1"/>
    </w:lvl>
    <w:lvl w:ilvl="1">
      <w:lvlJc w:val="left"/>
      <w:lvlText w:val="(%2)"/>
      <w:numFmt w:val="lowerLetter"/>
      <w:start w:val="1"/>
    </w:lvl>
  </w:abstractNum>
  <w:abstractNum w:abstractNumId="131">
    <w:nsid w:val="5D5BABB3"/>
    <w:multiLevelType w:val="hybridMultilevel"/>
    <w:lvl w:ilvl="0">
      <w:lvlJc w:val="left"/>
      <w:lvlText w:val="(%1)"/>
      <w:numFmt w:val="decimal"/>
      <w:start w:val="1"/>
    </w:lvl>
  </w:abstractNum>
  <w:abstractNum w:abstractNumId="132">
    <w:nsid w:val="51BF6B48"/>
    <w:multiLevelType w:val="hybridMultilevel"/>
    <w:lvl w:ilvl="0">
      <w:lvlJc w:val="left"/>
      <w:lvlText w:val="(%1)"/>
      <w:numFmt w:val="decimal"/>
      <w:start w:val="1"/>
    </w:lvl>
  </w:abstractNum>
  <w:abstractNum w:abstractNumId="133">
    <w:nsid w:val="7E0F6384"/>
    <w:multiLevelType w:val="hybridMultilevel"/>
    <w:lvl w:ilvl="0">
      <w:lvlJc w:val="left"/>
      <w:lvlText w:val="(%1)"/>
      <w:numFmt w:val="decimal"/>
      <w:start w:val="1"/>
    </w:lvl>
  </w:abstractNum>
  <w:abstractNum w:abstractNumId="134">
    <w:nsid w:val="2B4B8B53"/>
    <w:multiLevelType w:val="hybridMultilevel"/>
    <w:lvl w:ilvl="0">
      <w:lvlJc w:val="left"/>
      <w:lvlText w:val="(%1)"/>
      <w:numFmt w:val="lowerLetter"/>
      <w:start w:val="1"/>
    </w:lvl>
  </w:abstractNum>
  <w:abstractNum w:abstractNumId="135">
    <w:nsid w:val="72E3413A"/>
    <w:multiLevelType w:val="hybridMultilevel"/>
    <w:lvl w:ilvl="0">
      <w:lvlJc w:val="left"/>
      <w:lvlText w:val="(%1)"/>
      <w:numFmt w:val="decimal"/>
      <w:start w:val="1"/>
    </w:lvl>
  </w:abstractNum>
  <w:abstractNum w:abstractNumId="136">
    <w:nsid w:val="116AE494"/>
    <w:multiLevelType w:val="hybridMultilevel"/>
    <w:lvl w:ilvl="0">
      <w:lvlJc w:val="left"/>
      <w:lvlText w:val="(%1)"/>
      <w:numFmt w:val="lowerLetter"/>
      <w:start w:val="1"/>
    </w:lvl>
  </w:abstractNum>
  <w:abstractNum w:abstractNumId="137">
    <w:nsid w:val="3494B2FB"/>
    <w:multiLevelType w:val="hybridMultilevel"/>
    <w:lvl w:ilvl="0">
      <w:lvlJc w:val="left"/>
      <w:lvlText w:val="(%1)"/>
      <w:numFmt w:val="lowerLetter"/>
      <w:start w:val="2"/>
    </w:lvl>
    <w:lvl w:ilvl="1">
      <w:lvlJc w:val="left"/>
      <w:lvlText w:val="(%2)"/>
      <w:numFmt w:val="lowerLetter"/>
      <w:start w:val="35"/>
    </w:lvl>
  </w:abstractNum>
  <w:abstractNum w:abstractNumId="138">
    <w:nsid w:val="B13A31"/>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139">
    <w:nsid w:val="64429599"/>
    <w:multiLevelType w:val="hybridMultilevel"/>
    <w:lvl w:ilvl="0">
      <w:lvlJc w:val="left"/>
      <w:lvlText w:val="(%1)"/>
      <w:numFmt w:val="upperLetter"/>
      <w:start w:val="2"/>
    </w:lvl>
    <w:lvl w:ilvl="1">
      <w:lvlJc w:val="left"/>
      <w:lvlText w:val="(%2)"/>
      <w:numFmt w:val="upperLetter"/>
      <w:start w:val="9"/>
    </w:lvl>
  </w:abstractNum>
  <w:abstractNum w:abstractNumId="140">
    <w:nsid w:val="631F1690"/>
    <w:multiLevelType w:val="hybridMultilevel"/>
    <w:lvl w:ilvl="0">
      <w:lvlJc w:val="left"/>
      <w:lvlText w:val="(%1)"/>
      <w:numFmt w:val="upperLetter"/>
      <w:start w:val="35"/>
    </w:lvl>
  </w:abstractNum>
  <w:abstractNum w:abstractNumId="141">
    <w:nsid w:val="25973E32"/>
    <w:multiLevelType w:val="hybridMultilevel"/>
    <w:lvl w:ilvl="0">
      <w:lvlJc w:val="left"/>
      <w:lvlText w:val="(%1)"/>
      <w:numFmt w:val="upperLetter"/>
      <w:start w:val="61"/>
    </w:lvl>
  </w:abstractNum>
  <w:abstractNum w:abstractNumId="142">
    <w:nsid w:val="EAD6F57"/>
    <w:multiLevelType w:val="hybridMultilevel"/>
    <w:lvl w:ilvl="0">
      <w:lvlJc w:val="left"/>
      <w:lvlText w:val="%1"/>
      <w:numFmt w:val="lowerRoman"/>
      <w:start w:val="1"/>
    </w:lvl>
    <w:lvl w:ilvl="1">
      <w:lvlJc w:val="left"/>
      <w:lvlText w:val="(%2)"/>
      <w:numFmt w:val="upperLetter"/>
      <w:start w:val="22"/>
    </w:lvl>
  </w:abstractNum>
  <w:abstractNum w:abstractNumId="143">
    <w:nsid w:val="6EC9D844"/>
    <w:multiLevelType w:val="hybridMultilevel"/>
    <w:lvl w:ilvl="0">
      <w:lvlJc w:val="left"/>
      <w:lvlText w:val="(%1)"/>
      <w:numFmt w:val="lowerRoman"/>
      <w:start w:val="3"/>
    </w:lvl>
    <w:lvl w:ilvl="1">
      <w:lvlJc w:val="left"/>
      <w:lvlText w:val="%2"/>
      <w:numFmt w:val="upperLetter"/>
      <w:start w:val="1"/>
    </w:lvl>
  </w:abstractNum>
  <w:abstractNum w:abstractNumId="144">
    <w:nsid w:val="5C49EAEE"/>
    <w:multiLevelType w:val="hybridMultilevel"/>
    <w:lvl w:ilvl="0">
      <w:lvlJc w:val="left"/>
      <w:lvlText w:val="%1"/>
      <w:numFmt w:val="lowerLetter"/>
      <w:start w:val="1"/>
    </w:lvl>
    <w:lvl w:ilvl="1">
      <w:lvlJc w:val="left"/>
      <w:lvlText w:val="(%2)"/>
      <w:numFmt w:val="lowerRoman"/>
      <w:start w:val="4"/>
    </w:lvl>
  </w:abstractNum>
  <w:abstractNum w:abstractNumId="145">
    <w:nsid w:val="64AF49B"/>
    <w:multiLevelType w:val="hybridMultilevel"/>
    <w:lvl w:ilvl="0">
      <w:lvlJc w:val="left"/>
      <w:lvlText w:val="(%1)"/>
      <w:numFmt w:val="lowerLetter"/>
      <w:start w:val="6"/>
    </w:lvl>
    <w:lvl w:ilvl="1">
      <w:lvlJc w:val="left"/>
      <w:lvlText w:val="%2"/>
      <w:numFmt w:val="lowerRoman"/>
      <w:start w:val="1"/>
    </w:lvl>
  </w:abstractNum>
  <w:abstractNum w:abstractNumId="146">
    <w:nsid w:val="397C46BC"/>
    <w:multiLevelType w:val="hybridMultilevel"/>
    <w:lvl w:ilvl="0">
      <w:lvlJc w:val="left"/>
      <w:lvlText w:val="(%1)"/>
      <w:numFmt w:val="lowerLetter"/>
      <w:start w:val="8"/>
    </w:lvl>
  </w:abstractNum>
  <w:abstractNum w:abstractNumId="147">
    <w:nsid w:val="7E448DE9"/>
    <w:multiLevelType w:val="hybridMultilevel"/>
    <w:lvl w:ilvl="0">
      <w:lvlJc w:val="left"/>
      <w:lvlText w:val="(%1)"/>
      <w:numFmt w:val="lowerLetter"/>
      <w:start w:val="1"/>
    </w:lvl>
    <w:lvl w:ilvl="1">
      <w:lvlJc w:val="left"/>
      <w:lvlText w:val="(%2)"/>
      <w:numFmt w:val="lowerLetter"/>
      <w:start w:val="9"/>
    </w:lvl>
  </w:abstractNum>
  <w:abstractNum w:abstractNumId="148">
    <w:nsid w:val="5A9CC3E5"/>
    <w:multiLevelType w:val="hybridMultilevel"/>
    <w:lvl w:ilvl="0">
      <w:lvlJc w:val="left"/>
      <w:lvlText w:val="(%1)"/>
      <w:numFmt w:val="lowerRoman"/>
      <w:start w:val="2"/>
    </w:lvl>
  </w:abstractNum>
  <w:abstractNum w:abstractNumId="149">
    <w:nsid w:val="1AFE3625"/>
    <w:multiLevelType w:val="hybridMultilevel"/>
    <w:lvl w:ilvl="0">
      <w:lvlJc w:val="left"/>
      <w:lvlText w:val="(%1)"/>
      <w:numFmt w:val="lowerLetter"/>
      <w:start w:val="2"/>
    </w:lvl>
  </w:abstractNum>
  <w:abstractNum w:abstractNumId="150">
    <w:nsid w:val="3CA88ECF"/>
    <w:multiLevelType w:val="hybridMultilevel"/>
    <w:lvl w:ilvl="0">
      <w:lvlJc w:val="left"/>
      <w:lvlText w:val="(%1)"/>
      <w:numFmt w:val="lowerLetter"/>
      <w:start w:val="4"/>
    </w:lvl>
  </w:abstractNum>
  <w:abstractNum w:abstractNumId="151">
    <w:nsid w:val="6EBE4208"/>
    <w:multiLevelType w:val="hybridMultilevel"/>
    <w:lvl w:ilvl="0">
      <w:lvlJc w:val="left"/>
      <w:lvlText w:val="(%1)"/>
      <w:numFmt w:val="lowerLetter"/>
      <w:start w:val="1"/>
    </w:lvl>
  </w:abstractNum>
  <w:abstractNum w:abstractNumId="152">
    <w:nsid w:val="C058DF5"/>
    <w:multiLevelType w:val="hybridMultilevel"/>
    <w:lvl w:ilvl="0">
      <w:lvlJc w:val="left"/>
      <w:lvlText w:val="(%1)"/>
      <w:numFmt w:val="lowerLetter"/>
      <w:start w:val="1"/>
    </w:lvl>
    <w:lvl w:ilvl="1">
      <w:lvlJc w:val="left"/>
      <w:lvlText w:val="(%2)"/>
      <w:numFmt w:val="lowerRoman"/>
      <w:start w:val="1"/>
    </w:lvl>
  </w:abstractNum>
  <w:abstractNum w:abstractNumId="153">
    <w:nsid w:val="CBE5BE9"/>
    <w:multiLevelType w:val="hybridMultilevel"/>
    <w:lvl w:ilvl="0">
      <w:lvlJc w:val="left"/>
      <w:lvlText w:val="%1"/>
      <w:numFmt w:val="lowerLetter"/>
      <w:start w:val="1"/>
    </w:lvl>
    <w:lvl w:ilvl="1">
      <w:lvlJc w:val="left"/>
      <w:lvlText w:val="(%2)"/>
      <w:numFmt w:val="lowerLetter"/>
      <w:start w:val="61"/>
    </w:lvl>
  </w:abstractNum>
  <w:abstractNum w:abstractNumId="154">
    <w:nsid w:val="3102BBE2"/>
    <w:multiLevelType w:val="hybridMultilevel"/>
    <w:lvl w:ilvl="0">
      <w:lvlJc w:val="left"/>
      <w:lvlText w:val="(%1)"/>
      <w:numFmt w:val="lowerLetter"/>
      <w:start w:val="3"/>
    </w:lvl>
    <w:lvl w:ilvl="1">
      <w:lvlJc w:val="left"/>
      <w:lvlText w:val="%2"/>
      <w:numFmt w:val="lowerLetter"/>
      <w:start w:val="1"/>
    </w:lvl>
  </w:abstractNum>
  <w:abstractNum w:abstractNumId="155">
    <w:nsid w:val="26A02C5E"/>
    <w:multiLevelType w:val="hybridMultilevel"/>
    <w:lvl w:ilvl="0">
      <w:lvlJc w:val="left"/>
      <w:lvlText w:val="(%1)"/>
      <w:numFmt w:val="lowerLetter"/>
      <w:start w:val="1"/>
    </w:lvl>
  </w:abstractNum>
  <w:abstractNum w:abstractNumId="156">
    <w:nsid w:val="541C8153"/>
    <w:multiLevelType w:val="hybridMultilevel"/>
    <w:lvl w:ilvl="0">
      <w:lvlJc w:val="left"/>
      <w:lvlText w:val="(%1)"/>
      <w:numFmt w:val="lowerLetter"/>
      <w:start w:val="2"/>
    </w:lvl>
  </w:abstractNum>
  <w:abstractNum w:abstractNumId="157">
    <w:nsid w:val="67906F60"/>
    <w:multiLevelType w:val="hybridMultilevel"/>
    <w:lvl w:ilvl="0">
      <w:lvlJc w:val="left"/>
      <w:lvlText w:val="(%1)"/>
      <w:numFmt w:val="lowerLetter"/>
      <w:start w:val="1"/>
    </w:lvl>
  </w:abstractNum>
  <w:abstractNum w:abstractNumId="158">
    <w:nsid w:val="10DB9DAA"/>
    <w:multiLevelType w:val="hybridMultilevel"/>
    <w:lvl w:ilvl="0">
      <w:lvlJc w:val="left"/>
      <w:lvlText w:val="(%1)"/>
      <w:numFmt w:val="lowerLetter"/>
      <w:start w:val="2"/>
    </w:lvl>
  </w:abstractNum>
  <w:abstractNum w:abstractNumId="159">
    <w:nsid w:val="697D2D2"/>
    <w:multiLevelType w:val="hybridMultilevel"/>
    <w:lvl w:ilvl="0">
      <w:lvlJc w:val="left"/>
      <w:lvlText w:val="(%1)"/>
      <w:numFmt w:val="lowerLetter"/>
      <w:start w:val="2"/>
    </w:lvl>
  </w:abstractNum>
  <w:abstractNum w:abstractNumId="160">
    <w:nsid w:val="6D68AB2"/>
    <w:multiLevelType w:val="hybridMultilevel"/>
    <w:lvl w:ilvl="0">
      <w:lvlJc w:val="left"/>
      <w:lvlText w:val="(%1)"/>
      <w:numFmt w:val="lowerLetter"/>
      <w:start w:val="1"/>
    </w:lvl>
  </w:abstractNum>
  <w:abstractNum w:abstractNumId="161">
    <w:nsid w:val="3A966CD0"/>
    <w:multiLevelType w:val="hybridMultilevel"/>
    <w:lvl w:ilvl="0">
      <w:lvlJc w:val="left"/>
      <w:lvlText w:val="(%1)"/>
      <w:numFmt w:val="lowerLetter"/>
      <w:start w:val="1"/>
    </w:lvl>
  </w:abstractNum>
  <w:abstractNum w:abstractNumId="162">
    <w:nsid w:val="63F37E85"/>
    <w:multiLevelType w:val="hybridMultilevel"/>
    <w:lvl w:ilvl="0">
      <w:lvlJc w:val="left"/>
      <w:lvlText w:val="(%1)"/>
      <w:numFmt w:val="lowerLetter"/>
      <w:start w:val="2"/>
    </w:lvl>
  </w:abstractNum>
  <w:abstractNum w:abstractNumId="163">
    <w:nsid w:val="5895F5FA"/>
    <w:multiLevelType w:val="hybridMultilevel"/>
    <w:lvl w:ilvl="0">
      <w:lvlJc w:val="left"/>
      <w:lvlText w:val="(%1)"/>
      <w:numFmt w:val="lowerLetter"/>
      <w:start w:val="1"/>
    </w:lvl>
  </w:abstractNum>
  <w:abstractNum w:abstractNumId="164">
    <w:nsid w:val="38A5D054"/>
    <w:multiLevelType w:val="hybridMultilevel"/>
    <w:lvl w:ilvl="0">
      <w:lvlJc w:val="left"/>
      <w:lvlText w:val="(%1)"/>
      <w:numFmt w:val="lowerLetter"/>
      <w:start w:val="5"/>
    </w:lvl>
  </w:abstractNum>
  <w:abstractNum w:abstractNumId="165">
    <w:nsid w:val="F3F09D8"/>
    <w:multiLevelType w:val="hybridMultilevel"/>
    <w:lvl w:ilvl="0">
      <w:lvlJc w:val="left"/>
      <w:lvlText w:val="(%1)"/>
      <w:numFmt w:val="lowerLetter"/>
      <w:start w:val="2"/>
    </w:lvl>
  </w:abstractNum>
  <w:abstractNum w:abstractNumId="166">
    <w:nsid w:val="4B793735"/>
    <w:multiLevelType w:val="hybridMultilevel"/>
    <w:lvl w:ilvl="0">
      <w:lvlJc w:val="left"/>
      <w:lvlText w:val="(%1)"/>
      <w:numFmt w:val="lowerLetter"/>
      <w:start w:val="1"/>
    </w:lvl>
  </w:abstractNum>
  <w:abstractNum w:abstractNumId="167">
    <w:nsid w:val="4A10B4E8"/>
    <w:multiLevelType w:val="hybridMultilevel"/>
    <w:lvl w:ilvl="0">
      <w:lvlJc w:val="left"/>
      <w:lvlText w:val="(%1)"/>
      <w:numFmt w:val="lowerLetter"/>
      <w:start w:val="5"/>
    </w:lvl>
  </w:abstractNum>
  <w:abstractNum w:abstractNumId="168">
    <w:nsid w:val="43D3BCD4"/>
    <w:multiLevelType w:val="hybridMultilevel"/>
    <w:lvl w:ilvl="0">
      <w:lvlJc w:val="left"/>
      <w:lvlText w:val="(%1)"/>
      <w:numFmt w:val="lowerLetter"/>
      <w:start w:val="18"/>
    </w:lvl>
  </w:abstractNum>
  <w:abstractNum w:abstractNumId="169">
    <w:nsid w:val="4C2A7166"/>
    <w:multiLevelType w:val="hybridMultilevel"/>
    <w:lvl w:ilvl="0">
      <w:lvlJc w:val="left"/>
      <w:lvlText w:val="(%1)"/>
      <w:numFmt w:val="lowerLetter"/>
      <w:start w:val="1"/>
    </w:lvl>
  </w:abstractNum>
  <w:abstractNum w:abstractNumId="170">
    <w:nsid w:val="2E534A82"/>
    <w:multiLevelType w:val="hybridMultilevel"/>
    <w:lvl w:ilvl="0">
      <w:lvlJc w:val="left"/>
      <w:lvlText w:val="(%1)"/>
      <w:numFmt w:val="lowerLetter"/>
      <w:start w:val="8"/>
    </w:lvl>
  </w:abstractNum>
  <w:abstractNum w:abstractNumId="171">
    <w:nsid w:val="26F2D364"/>
    <w:multiLevelType w:val="hybridMultilevel"/>
    <w:lvl w:ilvl="0">
      <w:lvlJc w:val="left"/>
      <w:lvlText w:val="(%1)"/>
      <w:numFmt w:val="decimal"/>
      <w:start w:val="1"/>
    </w:lvl>
    <w:lvl w:ilvl="1">
      <w:lvlJc w:val="left"/>
      <w:lvlText w:val="(%2)"/>
      <w:numFmt w:val="lowerLetter"/>
      <w:start w:val="2"/>
    </w:lvl>
  </w:abstractNum>
  <w:abstractNum w:abstractNumId="172">
    <w:nsid w:val="71C1AF98"/>
    <w:multiLevelType w:val="hybridMultilevel"/>
    <w:lvl w:ilvl="0">
      <w:lvlJc w:val="left"/>
      <w:lvlText w:val="(%1)"/>
      <w:numFmt w:val="lowerLetter"/>
      <w:start w:val="1"/>
    </w:lvl>
  </w:abstractNum>
  <w:abstractNum w:abstractNumId="173">
    <w:nsid w:val="3D00B9D9"/>
    <w:multiLevelType w:val="hybridMultilevel"/>
    <w:lvl w:ilvl="0">
      <w:lvlJc w:val="left"/>
      <w:lvlText w:val="(%1)"/>
      <w:numFmt w:val="lowerLetter"/>
      <w:start w:val="4"/>
    </w:lvl>
  </w:abstractNum>
  <w:abstractNum w:abstractNumId="174">
    <w:nsid w:val="15BCABA8"/>
    <w:multiLevelType w:val="hybridMultilevel"/>
    <w:lvl w:ilvl="0">
      <w:lvlJc w:val="left"/>
      <w:lvlText w:val="(%1)"/>
      <w:numFmt w:val="lowerLetter"/>
      <w:start w:val="14"/>
    </w:lvl>
  </w:abstractNum>
  <w:abstractNum w:abstractNumId="175">
    <w:nsid w:val="4E0B9A87"/>
    <w:multiLevelType w:val="hybridMultilevel"/>
    <w:lvl w:ilvl="0">
      <w:lvlJc w:val="left"/>
      <w:lvlText w:val="%1"/>
      <w:numFmt w:val="lowerLetter"/>
      <w:start w:val="1"/>
    </w:lvl>
    <w:lvl w:ilvl="1">
      <w:lvlJc w:val="left"/>
      <w:lvlText w:val="(%2)"/>
      <w:numFmt w:val="lowerLetter"/>
      <w:start w:val="1"/>
    </w:lvl>
  </w:abstractNum>
  <w:abstractNum w:abstractNumId="176">
    <w:nsid w:val="434BAE75"/>
    <w:multiLevelType w:val="hybridMultilevel"/>
    <w:lvl w:ilvl="0">
      <w:lvlJc w:val="left"/>
      <w:lvlText w:val="(%1)"/>
      <w:numFmt w:val="lowerLetter"/>
      <w:start w:val="24"/>
    </w:lvl>
    <w:lvl w:ilvl="1">
      <w:lvlJc w:val="left"/>
      <w:lvlText w:val="(%2)"/>
      <w:numFmt w:val="lowerLetter"/>
      <w:start w:val="3"/>
    </w:lvl>
  </w:abstractNum>
  <w:abstractNum w:abstractNumId="177">
    <w:nsid w:val="4F38F265"/>
    <w:multiLevelType w:val="hybridMultilevel"/>
    <w:lvl w:ilvl="0">
      <w:lvlJc w:val="left"/>
      <w:lvlText w:val="(%1)"/>
      <w:numFmt w:val="lowerLetter"/>
      <w:start w:val="4"/>
    </w:lvl>
  </w:abstractNum>
  <w:abstractNum w:abstractNumId="178">
    <w:nsid w:val="4C502870"/>
    <w:multiLevelType w:val="hybridMultilevel"/>
    <w:lvl w:ilvl="0">
      <w:lvlJc w:val="left"/>
      <w:lvlText w:val="(%1)"/>
      <w:numFmt w:val="lowerLetter"/>
      <w:start w:val="1"/>
    </w:lvl>
  </w:abstractNum>
  <w:abstractNum w:abstractNumId="179">
    <w:nsid w:val="1DE8725A"/>
    <w:multiLevelType w:val="hybridMultilevel"/>
    <w:lvl w:ilvl="0">
      <w:lvlJc w:val="left"/>
      <w:lvlText w:val="(%1)"/>
      <w:numFmt w:val="lowerLetter"/>
      <w:start w:val="2"/>
    </w:lvl>
  </w:abstractNum>
  <w:abstractNum w:abstractNumId="180">
    <w:nsid w:val="6A37288A"/>
    <w:multiLevelType w:val="hybridMultilevel"/>
    <w:lvl w:ilvl="0">
      <w:lvlJc w:val="left"/>
      <w:lvlText w:val="%1"/>
      <w:numFmt w:val="decimal"/>
      <w:start w:val="1"/>
    </w:lvl>
    <w:lvl w:ilvl="1">
      <w:lvlJc w:val="left"/>
      <w:lvlText w:val="(%2)"/>
      <w:numFmt w:val="lowerLetter"/>
      <w:start w:val="7"/>
    </w:lvl>
  </w:abstractNum>
  <w:abstractNum w:abstractNumId="181">
    <w:nsid w:val="8F8B73F"/>
    <w:multiLevelType w:val="hybridMultilevel"/>
    <w:lvl w:ilvl="0">
      <w:lvlJc w:val="left"/>
      <w:lvlText w:val="(%1)"/>
      <w:numFmt w:val="decimal"/>
      <w:start w:val="30"/>
    </w:lvl>
    <w:lvl w:ilvl="1">
      <w:lvlJc w:val="left"/>
      <w:lvlText w:val="(%2)"/>
      <w:numFmt w:val="lowerLetter"/>
      <w:start w:val="9"/>
    </w:lvl>
  </w:abstractNum>
  <w:abstractNum w:abstractNumId="182">
    <w:nsid w:val="CA6B462"/>
    <w:multiLevelType w:val="hybridMultilevel"/>
    <w:lvl w:ilvl="0">
      <w:lvlJc w:val="left"/>
      <w:lvlText w:val="(%1)"/>
      <w:numFmt w:val="lowerLetter"/>
      <w:start w:val="10"/>
    </w:lvl>
  </w:abstractNum>
  <w:abstractNum w:abstractNumId="183">
    <w:nsid w:val="763CB680"/>
    <w:multiLevelType w:val="hybridMultilevel"/>
    <w:lvl w:ilvl="0">
      <w:lvlJc w:val="left"/>
      <w:lvlText w:val="(%1)"/>
      <w:numFmt w:val="lowerLetter"/>
      <w:start w:val="1"/>
    </w:lvl>
  </w:abstractNum>
  <w:abstractNum w:abstractNumId="184">
    <w:nsid w:val="15B71329"/>
    <w:multiLevelType w:val="hybridMultilevel"/>
    <w:lvl w:ilvl="0">
      <w:lvlJc w:val="left"/>
      <w:lvlText w:val="(%1)"/>
      <w:numFmt w:val="lowerLetter"/>
      <w:start w:val="3"/>
    </w:lvl>
  </w:abstractNum>
  <w:abstractNum w:abstractNumId="185">
    <w:nsid w:val="3DA97044"/>
    <w:multiLevelType w:val="hybridMultilevel"/>
    <w:lvl w:ilvl="0">
      <w:lvlJc w:val="left"/>
      <w:lvlText w:val="(%1)"/>
      <w:numFmt w:val="lowerLetter"/>
      <w:start w:val="2"/>
    </w:lvl>
  </w:abstractNum>
  <w:abstractNum w:abstractNumId="186">
    <w:nsid w:val="1CDCE2DE"/>
    <w:multiLevelType w:val="hybridMultilevel"/>
    <w:lvl w:ilvl="0">
      <w:lvlJc w:val="left"/>
      <w:lvlText w:val="(%1)"/>
      <w:numFmt w:val="lowerLetter"/>
      <w:start w:val="2"/>
    </w:lvl>
  </w:abstractNum>
  <w:abstractNum w:abstractNumId="187">
    <w:nsid w:val="69D3947C"/>
    <w:multiLevelType w:val="hybridMultilevel"/>
    <w:lvl w:ilvl="0">
      <w:lvlJc w:val="left"/>
      <w:lvlText w:val="(%1)"/>
      <w:numFmt w:val="lowerLetter"/>
      <w:start w:val="3"/>
    </w:lvl>
    <w:lvl w:ilvl="1">
      <w:lvlJc w:val="left"/>
      <w:lvlText w:val="(%2)"/>
      <w:numFmt w:val="lowerRoman"/>
      <w:start w:val="1"/>
    </w:lvl>
  </w:abstractNum>
  <w:abstractNum w:abstractNumId="188">
    <w:nsid w:val="2539DFA5"/>
    <w:multiLevelType w:val="hybridMultilevel"/>
    <w:lvl w:ilvl="0">
      <w:lvlJc w:val="left"/>
      <w:lvlText w:val="(%1)"/>
      <w:numFmt w:val="lowerLetter"/>
      <w:start w:val="5"/>
    </w:lvl>
  </w:abstractNum>
  <w:abstractNum w:abstractNumId="189">
    <w:nsid w:val="2DB88089"/>
    <w:multiLevelType w:val="hybridMultilevel"/>
    <w:lvl w:ilvl="0">
      <w:lvlJc w:val="left"/>
      <w:lvlText w:val="(%1)"/>
      <w:numFmt w:val="lowerLetter"/>
      <w:start w:val="1"/>
    </w:lvl>
  </w:abstractNum>
  <w:abstractNum w:abstractNumId="190">
    <w:nsid w:val="706B674E"/>
    <w:multiLevelType w:val="hybridMultilevel"/>
    <w:lvl w:ilvl="0">
      <w:lvlJc w:val="left"/>
      <w:lvlText w:val="(%1)"/>
      <w:numFmt w:val="lowerLetter"/>
      <w:start w:val="3"/>
    </w:lvl>
  </w:abstractNum>
  <w:abstractNum w:abstractNumId="191">
    <w:nsid w:val="2C106A57"/>
    <w:multiLevelType w:val="hybridMultilevel"/>
    <w:lvl w:ilvl="0">
      <w:lvlJc w:val="left"/>
      <w:lvlText w:val="(%1)"/>
      <w:numFmt w:val="lowerLetter"/>
      <w:start w:val="2"/>
    </w:lvl>
  </w:abstractNum>
  <w:abstractNum w:abstractNumId="192">
    <w:nsid w:val="684EED59"/>
    <w:multiLevelType w:val="hybridMultilevel"/>
    <w:lvl w:ilvl="0">
      <w:lvlJc w:val="left"/>
      <w:lvlText w:val="%1"/>
      <w:numFmt w:val="lowerLetter"/>
      <w:start w:val="1"/>
    </w:lvl>
    <w:lvl w:ilvl="1">
      <w:lvlJc w:val="left"/>
      <w:lvlText w:val="(%2)"/>
      <w:numFmt w:val="lowerRoman"/>
      <w:start w:val="1"/>
    </w:lvl>
  </w:abstractNum>
  <w:abstractNum w:abstractNumId="193">
    <w:nsid w:val="545EE5D3"/>
    <w:multiLevelType w:val="hybridMultilevel"/>
    <w:lvl w:ilvl="0">
      <w:lvlJc w:val="left"/>
      <w:lvlText w:val="(%1)"/>
      <w:numFmt w:val="lowerLetter"/>
      <w:start w:val="4"/>
    </w:lvl>
    <w:lvl w:ilvl="1">
      <w:lvlJc w:val="left"/>
      <w:lvlText w:val="%2"/>
      <w:numFmt w:val="lowerRoman"/>
      <w:start w:val="1"/>
    </w:lvl>
  </w:abstractNum>
  <w:abstractNum w:abstractNumId="194">
    <w:nsid w:val="4A66051"/>
    <w:multiLevelType w:val="hybridMultilevel"/>
    <w:lvl w:ilvl="0">
      <w:lvlJc w:val="left"/>
      <w:lvlText w:val="(%1)"/>
      <w:numFmt w:val="lowerRoman"/>
      <w:start w:val="1"/>
    </w:lvl>
  </w:abstractNum>
  <w:abstractNum w:abstractNumId="195">
    <w:nsid w:val="20F4BDAD"/>
    <w:multiLevelType w:val="hybridMultilevel"/>
    <w:lvl w:ilvl="0">
      <w:lvlJc w:val="left"/>
      <w:lvlText w:val="(%1)"/>
      <w:numFmt w:val="lowerLetter"/>
      <w:start w:val="7"/>
    </w:lvl>
  </w:abstractNum>
  <w:abstractNum w:abstractNumId="196">
    <w:nsid w:val="639DEFAC"/>
    <w:multiLevelType w:val="hybridMultilevel"/>
    <w:lvl w:ilvl="0">
      <w:lvlJc w:val="left"/>
      <w:lvlText w:val="(%1)"/>
      <w:numFmt w:val="lowerLetter"/>
      <w:start w:val="2"/>
    </w:lvl>
  </w:abstractNum>
  <w:abstractNum w:abstractNumId="197">
    <w:nsid w:val="501F9786"/>
    <w:multiLevelType w:val="hybridMultilevel"/>
    <w:lvl w:ilvl="0">
      <w:lvlJc w:val="left"/>
      <w:lvlText w:val="(%1)"/>
      <w:numFmt w:val="lowerLetter"/>
      <w:start w:val="2"/>
    </w:lvl>
  </w:abstractNum>
  <w:abstractNum w:abstractNumId="198">
    <w:nsid w:val="6B057295"/>
    <w:multiLevelType w:val="hybridMultilevel"/>
    <w:lvl w:ilvl="0">
      <w:lvlJc w:val="left"/>
      <w:lvlText w:val="(%1)"/>
      <w:numFmt w:val="lowerLetter"/>
      <w:start w:val="5"/>
    </w:lvl>
  </w:abstractNum>
  <w:abstractNum w:abstractNumId="199">
    <w:nsid w:val="2771AC80"/>
    <w:multiLevelType w:val="hybridMultilevel"/>
    <w:lvl w:ilvl="0">
      <w:lvlJc w:val="left"/>
      <w:lvlText w:val="(%1)"/>
      <w:numFmt w:val="lowerLetter"/>
      <w:start w:val="2"/>
    </w:lvl>
  </w:abstractNum>
  <w:abstractNum w:abstractNumId="200">
    <w:nsid w:val="1C4A08EC"/>
    <w:multiLevelType w:val="hybridMultilevel"/>
    <w:lvl w:ilvl="0">
      <w:lvlJc w:val="left"/>
      <w:lvlText w:val="(%1)"/>
      <w:numFmt w:val="lowerLetter"/>
      <w:start w:val="2"/>
    </w:lvl>
  </w:abstractNum>
  <w:abstractNum w:abstractNumId="201">
    <w:nsid w:val="1958BD17"/>
    <w:multiLevelType w:val="hybridMultilevel"/>
    <w:lvl w:ilvl="0">
      <w:lvlJc w:val="left"/>
      <w:lvlText w:val="(%1)"/>
      <w:numFmt w:val="lowerRoman"/>
      <w:start w:val="1"/>
    </w:lvl>
  </w:abstractNum>
  <w:abstractNum w:abstractNumId="202">
    <w:nsid w:val="4E647FE4"/>
    <w:multiLevelType w:val="hybridMultilevel"/>
    <w:lvl w:ilvl="0">
      <w:lvlJc w:val="left"/>
      <w:lvlText w:val="(%1)"/>
      <w:numFmt w:val="lowerRoman"/>
      <w:start w:val="2"/>
    </w:lvl>
  </w:abstractNum>
  <w:abstractNum w:abstractNumId="203">
    <w:nsid w:val="E0BB885"/>
    <w:multiLevelType w:val="hybridMultilevel"/>
    <w:lvl w:ilvl="0">
      <w:lvlJc w:val="left"/>
      <w:lvlText w:val="(%1)"/>
      <w:numFmt w:val="lowerRoman"/>
      <w:start w:val="1"/>
    </w:lvl>
  </w:abstractNum>
  <w:abstractNum w:abstractNumId="204">
    <w:nsid w:val="565976F1"/>
    <w:multiLevelType w:val="hybridMultilevel"/>
    <w:lvl w:ilvl="0">
      <w:lvlJc w:val="left"/>
      <w:lvlText w:val="%1"/>
      <w:numFmt w:val="lowerLetter"/>
      <w:start w:val="1"/>
    </w:lvl>
    <w:lvl w:ilvl="1">
      <w:lvlJc w:val="left"/>
      <w:lvlText w:val="(%2)"/>
      <w:numFmt w:val="lowerRoman"/>
      <w:start w:val="2"/>
    </w:lvl>
  </w:abstractNum>
  <w:abstractNum w:abstractNumId="205">
    <w:nsid w:val="64212B8C"/>
    <w:multiLevelType w:val="hybridMultilevel"/>
    <w:lvl w:ilvl="0">
      <w:lvlJc w:val="left"/>
      <w:lvlText w:val="(%1)"/>
      <w:numFmt w:val="lowerLetter"/>
      <w:start w:val="2"/>
    </w:lvl>
    <w:lvl w:ilvl="1">
      <w:lvlJc w:val="left"/>
      <w:lvlText w:val="%2"/>
      <w:numFmt w:val="lowerRoman"/>
      <w:start w:val="1"/>
    </w:lvl>
  </w:abstractNum>
  <w:abstractNum w:abstractNumId="206">
    <w:nsid w:val="5C17530C"/>
    <w:multiLevelType w:val="hybridMultilevel"/>
    <w:lvl w:ilvl="0">
      <w:lvlJc w:val="left"/>
      <w:lvlText w:val="(%1)"/>
      <w:numFmt w:val="lowerLetter"/>
      <w:start w:val="25"/>
    </w:lvl>
    <w:lvl w:ilvl="1">
      <w:lvlJc w:val="left"/>
      <w:lvlText w:val="(%2)"/>
      <w:numFmt w:val="lowerLetter"/>
      <w:start w:val="1"/>
    </w:lvl>
  </w:abstractNum>
  <w:abstractNum w:abstractNumId="207">
    <w:nsid w:val="19A52566"/>
    <w:multiLevelType w:val="hybridMultilevel"/>
    <w:lvl w:ilvl="0">
      <w:lvlJc w:val="left"/>
      <w:lvlText w:val="(%1)"/>
      <w:numFmt w:val="lowerLetter"/>
      <w:start w:val="2"/>
    </w:lvl>
  </w:abstractNum>
  <w:abstractNum w:abstractNumId="208">
    <w:nsid w:val="335A1DF1"/>
    <w:multiLevelType w:val="hybridMultilevel"/>
    <w:lvl w:ilvl="0">
      <w:lvlJc w:val="left"/>
      <w:lvlText w:val="(%1)"/>
      <w:numFmt w:val="lowerLetter"/>
      <w:start w:val="8"/>
    </w:lvl>
  </w:abstractNum>
  <w:abstractNum w:abstractNumId="209">
    <w:nsid w:val="28677B7C"/>
    <w:multiLevelType w:val="hybridMultilevel"/>
    <w:lvl w:ilvl="0">
      <w:lvlJc w:val="left"/>
      <w:lvlText w:val="(%1)"/>
      <w:numFmt w:val="lowerRoman"/>
      <w:start w:val="1"/>
    </w:lvl>
  </w:abstractNum>
  <w:abstractNum w:abstractNumId="210">
    <w:nsid w:val="378D97C0"/>
    <w:multiLevelType w:val="hybridMultilevel"/>
    <w:lvl w:ilvl="0">
      <w:lvlJc w:val="left"/>
      <w:lvlText w:val="(%1)"/>
      <w:numFmt w:val="lowerLetter"/>
      <w:start w:val="2"/>
    </w:lvl>
  </w:abstractNum>
  <w:abstractNum w:abstractNumId="211">
    <w:nsid w:val="1D91467C"/>
    <w:multiLevelType w:val="hybridMultilevel"/>
    <w:lvl w:ilvl="0">
      <w:lvlJc w:val="left"/>
      <w:lvlText w:val="(%1)"/>
      <w:numFmt w:val="lowerLetter"/>
      <w:start w:val="2"/>
    </w:lvl>
  </w:abstractNum>
  <w:abstractNum w:abstractNumId="212">
    <w:nsid w:val="316032BB"/>
    <w:multiLevelType w:val="hybridMultilevel"/>
    <w:lvl w:ilvl="0">
      <w:lvlJc w:val="left"/>
      <w:lvlText w:val="(%1)"/>
      <w:numFmt w:val="lowerLetter"/>
      <w:start w:val="35"/>
    </w:lvl>
    <w:lvl w:ilvl="1">
      <w:lvlJc w:val="left"/>
      <w:lvlText w:val="(%2)"/>
      <w:numFmt w:val="lowerLetter"/>
      <w:start w:val="3"/>
    </w:lvl>
  </w:abstractNum>
  <w:abstractNum w:abstractNumId="213">
    <w:nsid w:val="44344C22"/>
    <w:multiLevelType w:val="hybridMultilevel"/>
    <w:lvl w:ilvl="0">
      <w:lvlJc w:val="left"/>
      <w:lvlText w:val="(%1)"/>
      <w:numFmt w:val="lowerLetter"/>
      <w:start w:val="4"/>
    </w:lvl>
  </w:abstractNum>
  <w:abstractNum w:abstractNumId="214">
    <w:nsid w:val="13CDFCF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5">
    <w:nsid w:val="471745E4"/>
    <w:multiLevelType w:val="hybridMultilevel"/>
    <w:lvl w:ilvl="0">
      <w:lvlJc w:val="left"/>
      <w:lvlText w:val="(%1)"/>
      <w:numFmt w:val="lowerRoman"/>
      <w:start w:val="2"/>
    </w:lvl>
    <w:lvl w:ilvl="1">
      <w:lvlJc w:val="left"/>
      <w:lvlText w:val="(%2)"/>
      <w:numFmt w:val="upperLetter"/>
      <w:start w:val="1"/>
    </w:lvl>
  </w:abstractNum>
  <w:abstractNum w:abstractNumId="216">
    <w:nsid w:val="1DDBC66"/>
    <w:multiLevelType w:val="hybridMultilevel"/>
    <w:lvl w:ilvl="0">
      <w:lvlJc w:val="left"/>
      <w:lvlText w:val="(%1)"/>
      <w:numFmt w:val="lowerRoman"/>
      <w:start w:val="4"/>
    </w:lvl>
  </w:abstractNum>
  <w:abstractNum w:abstractNumId="217">
    <w:nsid w:val="30AADFDA"/>
    <w:multiLevelType w:val="hybridMultilevel"/>
    <w:lvl w:ilvl="0">
      <w:lvlJc w:val="left"/>
      <w:lvlText w:val="(%1)"/>
      <w:numFmt w:val="lowerLetter"/>
      <w:start w:val="3"/>
    </w:lvl>
    <w:lvl w:ilvl="1">
      <w:lvlJc w:val="left"/>
      <w:lvlText w:val="(%2)"/>
      <w:numFmt w:val="lowerLetter"/>
      <w:start w:val="35"/>
    </w:lvl>
  </w:abstractNum>
  <w:abstractNum w:abstractNumId="218">
    <w:nsid w:val="30EADA61"/>
    <w:multiLevelType w:val="hybridMultilevel"/>
    <w:lvl w:ilvl="0">
      <w:lvlJc w:val="left"/>
      <w:lvlText w:val="(%1)"/>
      <w:numFmt w:val="lowerLetter"/>
      <w:start w:val="5"/>
    </w:lvl>
  </w:abstractNum>
  <w:abstractNum w:abstractNumId="219">
    <w:nsid w:val="27179C0B"/>
    <w:multiLevelType w:val="hybridMultilevel"/>
    <w:lvl w:ilvl="0">
      <w:lvlJc w:val="left"/>
      <w:lvlText w:val="(%1)"/>
      <w:numFmt w:val="lowerLetter"/>
      <w:start w:val="6"/>
    </w:lvl>
    <w:lvl w:ilvl="1">
      <w:lvlJc w:val="left"/>
      <w:lvlText w:val="(%2)"/>
      <w:numFmt w:val="lowerLetter"/>
      <w:start w:val="9"/>
    </w:lvl>
  </w:abstractNum>
  <w:abstractNum w:abstractNumId="220">
    <w:nsid w:val="5E636063"/>
    <w:multiLevelType w:val="hybridMultilevel"/>
    <w:lvl w:ilvl="0">
      <w:lvlJc w:val="left"/>
      <w:lvlText w:val="(%1)"/>
      <w:numFmt w:val="lowerLetter"/>
      <w:start w:val="25"/>
    </w:lvl>
    <w:lvl w:ilvl="1">
      <w:lvlJc w:val="left"/>
      <w:lvlText w:val="(%2)"/>
      <w:numFmt w:val="lowerRoman"/>
      <w:start w:val="2"/>
    </w:lvl>
  </w:abstractNum>
  <w:abstractNum w:abstractNumId="221">
    <w:nsid w:val="215641AF"/>
    <w:multiLevelType w:val="hybridMultilevel"/>
    <w:lvl w:ilvl="0">
      <w:lvlJc w:val="left"/>
      <w:lvlText w:val="%1"/>
      <w:numFmt w:val="lowerRoman"/>
      <w:start w:val="1"/>
    </w:lvl>
    <w:lvl w:ilvl="1">
      <w:lvlJc w:val="left"/>
      <w:lvlText w:val="(%2)"/>
      <w:numFmt w:val="lowerRoman"/>
      <w:start w:val="4"/>
    </w:lvl>
  </w:abstractNum>
  <w:abstractNum w:abstractNumId="222">
    <w:nsid w:val="53280662"/>
    <w:multiLevelType w:val="hybridMultilevel"/>
    <w:lvl w:ilvl="0">
      <w:lvlJc w:val="left"/>
      <w:lvlText w:val="(%1)"/>
      <w:numFmt w:val="lowerRoman"/>
      <w:start w:val="1"/>
    </w:lvl>
    <w:lvl w:ilvl="1">
      <w:lvlJc w:val="left"/>
      <w:lvlText w:val="%2"/>
      <w:numFmt w:val="lowerRoman"/>
      <w:start w:val="1"/>
    </w:lvl>
  </w:abstractNum>
  <w:abstractNum w:abstractNumId="223">
    <w:nsid w:val="46B24DBC"/>
    <w:multiLevelType w:val="hybridMultilevel"/>
    <w:lvl w:ilvl="0">
      <w:lvlJc w:val="left"/>
      <w:lvlText w:val="(%1)"/>
      <w:numFmt w:val="lowerLetter"/>
      <w:start w:val="7"/>
    </w:lvl>
  </w:abstractNum>
  <w:abstractNum w:abstractNumId="224">
    <w:nsid w:val="75B52783"/>
    <w:multiLevelType w:val="hybridMultilevel"/>
    <w:lvl w:ilvl="0">
      <w:lvlJc w:val="left"/>
      <w:lvlText w:val="(%1)"/>
      <w:numFmt w:val="lowerLetter"/>
      <w:start w:val="1"/>
    </w:lvl>
  </w:abstractNum>
  <w:abstractNum w:abstractNumId="225">
    <w:nsid w:val="57CE66B4"/>
    <w:multiLevelType w:val="hybridMultilevel"/>
    <w:lvl w:ilvl="0">
      <w:lvlJc w:val="left"/>
      <w:lvlText w:val="(%1)"/>
      <w:numFmt w:val="lowerLetter"/>
      <w:start w:val="2"/>
    </w:lvl>
  </w:abstractNum>
  <w:abstractNum w:abstractNumId="226">
    <w:nsid w:val="67A70B69"/>
    <w:multiLevelType w:val="hybridMultilevel"/>
    <w:lvl w:ilvl="0">
      <w:lvlJc w:val="left"/>
      <w:lvlText w:val="(%1)"/>
      <w:numFmt w:val="lowerLetter"/>
      <w:start w:val="3"/>
    </w:lvl>
  </w:abstractNum>
  <w:abstractNum w:abstractNumId="227">
    <w:nsid w:val="5953172F"/>
    <w:multiLevelType w:val="hybridMultilevel"/>
    <w:lvl w:ilvl="0">
      <w:lvlJc w:val="left"/>
      <w:lvlText w:val="(%1)"/>
      <w:numFmt w:val="lowerLetter"/>
      <w:start w:val="1"/>
    </w:lvl>
  </w:abstractNum>
  <w:abstractNum w:abstractNumId="228">
    <w:nsid w:val="27EDFE3A"/>
    <w:multiLevelType w:val="hybridMultilevel"/>
    <w:lvl w:ilvl="0">
      <w:lvlJc w:val="left"/>
      <w:lvlText w:val="(%1)"/>
      <w:numFmt w:val="lowerLetter"/>
      <w:start w:val="2"/>
    </w:lvl>
  </w:abstractNum>
  <w:abstractNum w:abstractNumId="229">
    <w:nsid w:val="52AC7DFF"/>
    <w:multiLevelType w:val="hybridMultilevel"/>
    <w:lvl w:ilvl="0">
      <w:lvlJc w:val="left"/>
      <w:lvlText w:val="(%1)"/>
      <w:numFmt w:val="lowerLetter"/>
      <w:start w:val="1"/>
    </w:lvl>
  </w:abstractNum>
  <w:abstractNum w:abstractNumId="230">
    <w:nsid w:val="C4C3AF"/>
    <w:multiLevelType w:val="hybridMultilevel"/>
    <w:lvl w:ilvl="0">
      <w:lvlJc w:val="left"/>
      <w:lvlText w:val="(%1)"/>
      <w:numFmt w:val="lowerLetter"/>
      <w:start w:val="2"/>
    </w:lvl>
    <w:lvl w:ilvl="1">
      <w:lvlJc w:val="left"/>
      <w:lvlText w:val="(%2)"/>
      <w:numFmt w:val="lowerRoman"/>
      <w:start w:val="1"/>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2021-11-02T16:15:03Z</dcterms:created>
  <dcterms:modified xsi:type="dcterms:W3CDTF">2021-11-02T16:15:03Z</dcterms:modified>
</cp:coreProperties>
</file>