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79" w:lineRule="exact"/>
        <w:rPr>
          <w:sz w:val="24"/>
          <w:szCs w:val="24"/>
          <w:color w:val="auto"/>
        </w:rPr>
      </w:pPr>
    </w:p>
    <w:p>
      <w:pPr>
        <w:jc w:val="center"/>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27"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(mark one)</w:t>
      </w:r>
    </w:p>
    <w:p>
      <w:pPr>
        <w:ind w:left="1480" w:hanging="851"/>
        <w:spacing w:after="0"/>
        <w:tabs>
          <w:tab w:leader="none" w:pos="1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ind w:left="1480" w:hanging="851"/>
        <w:spacing w:after="0"/>
        <w:tabs>
          <w:tab w:leader="none" w:pos="1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0" w:lineRule="exact"/>
        <w:rPr>
          <w:sz w:val="24"/>
          <w:szCs w:val="24"/>
          <w:color w:val="auto"/>
        </w:rPr>
      </w:pPr>
    </w:p>
    <w:p>
      <w:pPr>
        <w:ind w:left="3360"/>
        <w:spacing w:after="0"/>
        <w:tabs>
          <w:tab w:leader="none" w:pos="61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96" w:lineRule="exact"/>
        <w:rPr>
          <w:sz w:val="24"/>
          <w:szCs w:val="24"/>
          <w:color w:val="auto"/>
        </w:rPr>
      </w:pPr>
    </w:p>
    <w:p>
      <w:pPr>
        <w:ind w:left="4060"/>
        <w:spacing w:after="0" w:line="161" w:lineRule="exact"/>
        <w:rPr>
          <w:sz w:val="20"/>
          <w:szCs w:val="20"/>
          <w:color w:val="auto"/>
        </w:rPr>
      </w:pPr>
      <w:r>
        <w:rPr>
          <w:rFonts w:ascii="Arial" w:cs="Arial" w:eastAsia="Arial" w:hAnsi="Arial"/>
          <w:sz w:val="14"/>
          <w:szCs w:val="14"/>
          <w:b w:val="1"/>
          <w:bCs w:val="1"/>
          <w:color w:val="auto"/>
        </w:rPr>
        <w:t>Commission File Number: 001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12400</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0400" w:type="dxa"/>
            <w:vAlign w:val="bottom"/>
            <w:gridSpan w:val="3"/>
          </w:tcPr>
          <w:p>
            <w:pPr>
              <w:jc w:val="center"/>
              <w:spacing w:after="0"/>
              <w:rPr>
                <w:sz w:val="20"/>
                <w:szCs w:val="20"/>
                <w:color w:val="auto"/>
              </w:rPr>
            </w:pPr>
            <w:r>
              <w:rPr>
                <w:rFonts w:ascii="Arial" w:cs="Arial" w:eastAsia="Arial" w:hAnsi="Arial"/>
                <w:sz w:val="25"/>
                <w:szCs w:val="25"/>
                <w:b w:val="1"/>
                <w:bCs w:val="1"/>
                <w:color w:val="auto"/>
              </w:rPr>
              <w:t>INCYTE CORPORATION</w:t>
            </w:r>
          </w:p>
        </w:tc>
      </w:tr>
      <w:tr>
        <w:trPr>
          <w:trHeight w:val="182"/>
        </w:trPr>
        <w:tc>
          <w:tcPr>
            <w:tcW w:w="10400" w:type="dxa"/>
            <w:vAlign w:val="bottom"/>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6"/>
        </w:trPr>
        <w:tc>
          <w:tcPr>
            <w:tcW w:w="5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Delaware</w:t>
            </w:r>
          </w:p>
        </w:tc>
        <w:tc>
          <w:tcPr>
            <w:tcW w:w="5080" w:type="dxa"/>
            <w:vAlign w:val="bottom"/>
          </w:tcPr>
          <w:p>
            <w:pPr>
              <w:jc w:val="center"/>
              <w:ind w:right="68"/>
              <w:spacing w:after="0" w:line="161" w:lineRule="exact"/>
              <w:rPr>
                <w:sz w:val="20"/>
                <w:szCs w:val="20"/>
                <w:color w:val="auto"/>
              </w:rPr>
            </w:pPr>
            <w:r>
              <w:rPr>
                <w:rFonts w:ascii="Arial" w:cs="Arial" w:eastAsia="Arial" w:hAnsi="Arial"/>
                <w:sz w:val="14"/>
                <w:szCs w:val="14"/>
                <w:b w:val="1"/>
                <w:bCs w:val="1"/>
                <w:color w:val="auto"/>
                <w:w w:val="94"/>
              </w:rPr>
              <w:t>94</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3136539</w:t>
            </w:r>
          </w:p>
        </w:tc>
      </w:tr>
      <w:tr>
        <w:trPr>
          <w:trHeight w:val="149"/>
        </w:trPr>
        <w:tc>
          <w:tcPr>
            <w:tcW w:w="53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(State of other jurisdiction</w:t>
            </w:r>
          </w:p>
        </w:tc>
        <w:tc>
          <w:tcPr>
            <w:tcW w:w="50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6"/>
              </w:rPr>
              <w:t>(IRS Employer</w:t>
            </w:r>
          </w:p>
        </w:tc>
      </w:tr>
      <w:tr>
        <w:trPr>
          <w:trHeight w:val="145"/>
        </w:trPr>
        <w:tc>
          <w:tcPr>
            <w:tcW w:w="53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5"/>
              </w:rPr>
              <w:t>of incorporation or organization)</w:t>
            </w:r>
          </w:p>
        </w:tc>
        <w:tc>
          <w:tcPr>
            <w:tcW w:w="5080" w:type="dxa"/>
            <w:vAlign w:val="bottom"/>
          </w:tcPr>
          <w:p>
            <w:pPr>
              <w:jc w:val="center"/>
              <w:ind w:right="68"/>
              <w:spacing w:after="0" w:line="145" w:lineRule="exact"/>
              <w:rPr>
                <w:sz w:val="20"/>
                <w:szCs w:val="20"/>
                <w:color w:val="auto"/>
              </w:rPr>
            </w:pPr>
            <w:r>
              <w:rPr>
                <w:rFonts w:ascii="Arial" w:cs="Arial" w:eastAsia="Arial" w:hAnsi="Arial"/>
                <w:sz w:val="14"/>
                <w:szCs w:val="14"/>
                <w:color w:val="auto"/>
                <w:w w:val="97"/>
              </w:rPr>
              <w:t>Identification No.)</w:t>
            </w:r>
          </w:p>
        </w:tc>
      </w:tr>
      <w:tr>
        <w:trPr>
          <w:trHeight w:val="149"/>
        </w:trPr>
        <w:tc>
          <w:tcPr>
            <w:tcW w:w="5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1801 Augustine Cut-Off</w:t>
            </w:r>
          </w:p>
        </w:tc>
        <w:tc>
          <w:tcPr>
            <w:tcW w:w="50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19803</w:t>
            </w:r>
          </w:p>
        </w:tc>
      </w:tr>
      <w:tr>
        <w:trPr>
          <w:trHeight w:val="149"/>
        </w:trPr>
        <w:tc>
          <w:tcPr>
            <w:tcW w:w="5320" w:type="dxa"/>
            <w:vAlign w:val="bottom"/>
            <w:gridSpan w:val="2"/>
          </w:tcPr>
          <w:p>
            <w:pPr>
              <w:jc w:val="center"/>
              <w:ind w:left="3"/>
              <w:spacing w:after="0" w:line="149" w:lineRule="exact"/>
              <w:rPr>
                <w:sz w:val="20"/>
                <w:szCs w:val="20"/>
                <w:color w:val="auto"/>
              </w:rPr>
            </w:pPr>
            <w:r>
              <w:rPr>
                <w:rFonts w:ascii="Arial" w:cs="Arial" w:eastAsia="Arial" w:hAnsi="Arial"/>
                <w:sz w:val="14"/>
                <w:szCs w:val="14"/>
                <w:b w:val="1"/>
                <w:bCs w:val="1"/>
                <w:color w:val="auto"/>
                <w:w w:val="96"/>
              </w:rPr>
              <w:t>Wilmington, DE</w:t>
            </w:r>
          </w:p>
        </w:tc>
        <w:tc>
          <w:tcPr>
            <w:tcW w:w="50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4"/>
              </w:rPr>
              <w:t>(zip code)</w:t>
            </w:r>
          </w:p>
        </w:tc>
      </w:tr>
      <w:tr>
        <w:trPr>
          <w:trHeight w:val="153"/>
        </w:trPr>
        <w:tc>
          <w:tcPr>
            <w:tcW w:w="5320" w:type="dxa"/>
            <w:vAlign w:val="bottom"/>
            <w:gridSpan w:val="2"/>
          </w:tcPr>
          <w:p>
            <w:pPr>
              <w:jc w:val="center"/>
              <w:spacing w:after="0" w:line="153" w:lineRule="exact"/>
              <w:rPr>
                <w:sz w:val="20"/>
                <w:szCs w:val="20"/>
                <w:color w:val="auto"/>
              </w:rPr>
            </w:pPr>
            <w:r>
              <w:rPr>
                <w:rFonts w:ascii="Arial" w:cs="Arial" w:eastAsia="Arial" w:hAnsi="Arial"/>
                <w:sz w:val="14"/>
                <w:szCs w:val="14"/>
                <w:color w:val="auto"/>
                <w:w w:val="94"/>
              </w:rPr>
              <w:t>(Address of principal executives offices)</w:t>
            </w:r>
          </w:p>
        </w:tc>
        <w:tc>
          <w:tcPr>
            <w:tcW w:w="50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4"/>
              </w:rPr>
              <w:t>(302) 498</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6700</w:t>
            </w:r>
          </w:p>
        </w:tc>
      </w:tr>
      <w:tr>
        <w:trPr>
          <w:trHeight w:val="182"/>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tcPr>
          <w:p>
            <w:pPr>
              <w:jc w:val="center"/>
              <w:ind w:right="48"/>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70"/>
        </w:trPr>
        <w:tc>
          <w:tcPr>
            <w:tcW w:w="1040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69"/>
        </w:trPr>
        <w:tc>
          <w:tcPr>
            <w:tcW w:w="5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Title of each class</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76"/>
        </w:trPr>
        <w:tc>
          <w:tcPr>
            <w:tcW w:w="5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$.001 par value per share</w:t>
            </w:r>
          </w:p>
        </w:tc>
        <w:tc>
          <w:tcPr>
            <w:tcW w:w="280" w:type="dxa"/>
            <w:vAlign w:val="bottom"/>
          </w:tcPr>
          <w:p>
            <w:pPr>
              <w:spacing w:after="0"/>
              <w:rPr>
                <w:sz w:val="15"/>
                <w:szCs w:val="15"/>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92" w:lineRule="exact"/>
        <w:rPr>
          <w:sz w:val="24"/>
          <w:szCs w:val="24"/>
          <w:color w:val="auto"/>
        </w:rPr>
      </w:pPr>
    </w:p>
    <w:p>
      <w:pPr>
        <w:ind w:left="5040"/>
        <w:spacing w:after="0"/>
        <w:rPr>
          <w:sz w:val="20"/>
          <w:szCs w:val="20"/>
          <w:color w:val="auto"/>
        </w:rPr>
      </w:pPr>
      <w:r>
        <w:rPr>
          <w:rFonts w:ascii="Arial" w:cs="Arial" w:eastAsia="Arial" w:hAnsi="Arial"/>
          <w:sz w:val="14"/>
          <w:szCs w:val="14"/>
          <w:b w:val="1"/>
          <w:bCs w:val="1"/>
          <w:color w:val="auto"/>
        </w:rPr>
        <w:t>None</w:t>
      </w:r>
    </w:p>
    <w:p>
      <w:pPr>
        <w:spacing w:after="0" w:line="12"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Indicate by check mark if the registrant is a well</w:t>
      </w:r>
      <w:r>
        <w:rPr>
          <w:rFonts w:ascii="MS PGothic" w:cs="MS PGothic" w:eastAsia="MS PGothic" w:hAnsi="MS PGothic"/>
          <w:sz w:val="14"/>
          <w:szCs w:val="14"/>
          <w:color w:val="auto"/>
        </w:rPr>
        <w:t>‑</w:t>
      </w:r>
      <w:r>
        <w:rPr>
          <w:rFonts w:ascii="Arial" w:cs="Arial" w:eastAsia="Arial" w:hAnsi="Arial"/>
          <w:sz w:val="14"/>
          <w:szCs w:val="14"/>
          <w:color w:val="auto"/>
        </w:rPr>
        <w:t xml:space="preserve">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left="640"/>
        <w:spacing w:after="0" w:line="150" w:lineRule="exact"/>
        <w:tabs>
          <w:tab w:leader="none" w:pos="806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 (d) of the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48" w:lineRule="exact"/>
        <w:rPr>
          <w:sz w:val="24"/>
          <w:szCs w:val="24"/>
          <w:color w:val="auto"/>
        </w:rPr>
      </w:pPr>
    </w:p>
    <w:p>
      <w:pPr>
        <w:jc w:val="both"/>
        <w:ind w:right="20" w:firstLine="648"/>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ind w:firstLine="648"/>
        <w:spacing w:after="0" w:line="181" w:lineRule="exact"/>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3"/>
          <w:szCs w:val="13"/>
          <w:color w:val="auto"/>
        </w:rPr>
        <w:t>‑</w:t>
      </w:r>
      <w:r>
        <w:rPr>
          <w:rFonts w:ascii="Arial" w:cs="Arial" w:eastAsia="Arial" w:hAnsi="Arial"/>
          <w:sz w:val="13"/>
          <w:szCs w:val="13"/>
          <w:color w:val="auto"/>
        </w:rPr>
        <w:t xml:space="preserve">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firstLine="648"/>
        <w:spacing w:after="0" w:line="159" w:lineRule="exact"/>
        <w:rPr>
          <w:sz w:val="20"/>
          <w:szCs w:val="20"/>
          <w:color w:val="auto"/>
        </w:rPr>
      </w:pPr>
      <w:r>
        <w:rPr>
          <w:rFonts w:ascii="Arial" w:cs="Arial" w:eastAsia="Arial" w:hAnsi="Arial"/>
          <w:sz w:val="13"/>
          <w:szCs w:val="13"/>
          <w:color w:val="auto"/>
        </w:rPr>
        <w:t>Indicate by check mark if disclosure of delinquent filers pursuant to Item 405 of Regulation S</w:t>
      </w:r>
      <w:r>
        <w:rPr>
          <w:rFonts w:ascii="MS PGothic" w:cs="MS PGothic" w:eastAsia="MS PGothic" w:hAnsi="MS PGothic"/>
          <w:sz w:val="13"/>
          <w:szCs w:val="13"/>
          <w:color w:val="auto"/>
        </w:rPr>
        <w:t>‑</w:t>
      </w:r>
      <w:r>
        <w:rPr>
          <w:rFonts w:ascii="Arial" w:cs="Arial" w:eastAsia="Arial" w:hAnsi="Arial"/>
          <w:sz w:val="13"/>
          <w:szCs w:val="13"/>
          <w:color w:val="auto"/>
        </w:rPr>
        <w:t>K (§ 229.405 of this chapter)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3"/>
          <w:szCs w:val="13"/>
          <w:color w:val="auto"/>
        </w:rPr>
        <w:t>‑</w:t>
      </w:r>
      <w:r>
        <w:rPr>
          <w:rFonts w:ascii="Arial" w:cs="Arial" w:eastAsia="Arial" w:hAnsi="Arial"/>
          <w:sz w:val="13"/>
          <w:szCs w:val="13"/>
          <w:color w:val="auto"/>
        </w:rPr>
        <w:t>K or any amendment to this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Form 10</w:t>
      </w:r>
      <w:r>
        <w:rPr>
          <w:rFonts w:ascii="MS PGothic" w:cs="MS PGothic" w:eastAsia="MS PGothic" w:hAnsi="MS PGothic"/>
          <w:sz w:val="14"/>
          <w:szCs w:val="14"/>
          <w:color w:val="auto"/>
        </w:rPr>
        <w:t>‑</w:t>
      </w:r>
      <w:r>
        <w:rPr>
          <w:rFonts w:ascii="Arial" w:cs="Arial" w:eastAsia="Arial" w:hAnsi="Arial"/>
          <w:sz w:val="14"/>
          <w:szCs w:val="14"/>
          <w:color w:val="auto"/>
        </w:rPr>
        <w:t xml:space="preserve">K. </w:t>
      </w:r>
      <w:r>
        <w:rPr>
          <w:rFonts w:ascii="MS PGothic" w:cs="MS PGothic" w:eastAsia="MS PGothic" w:hAnsi="MS PGothic"/>
          <w:sz w:val="14"/>
          <w:szCs w:val="14"/>
          <w:color w:val="auto"/>
        </w:rPr>
        <w:t>☒</w:t>
      </w:r>
    </w:p>
    <w:p>
      <w:pPr>
        <w:spacing w:after="0" w:line="102" w:lineRule="exact"/>
        <w:rPr>
          <w:sz w:val="24"/>
          <w:szCs w:val="24"/>
          <w:color w:val="auto"/>
        </w:rPr>
      </w:pPr>
    </w:p>
    <w:p>
      <w:pPr>
        <w:jc w:val="both"/>
        <w:ind w:right="20" w:firstLine="648"/>
        <w:spacing w:after="0" w:line="166"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or a smaller reporting company. See the definitions of “large accelerated filer”, “accelerated filer” and “smaller reporting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 (check one)</w:t>
      </w:r>
    </w:p>
    <w:p>
      <w:pPr>
        <w:spacing w:after="0" w:line="102" w:lineRule="exact"/>
        <w:rPr>
          <w:sz w:val="24"/>
          <w:szCs w:val="24"/>
          <w:color w:val="auto"/>
        </w:rPr>
      </w:pPr>
    </w:p>
    <w:p>
      <w:pPr>
        <w:ind w:left="620"/>
        <w:spacing w:after="0" w:line="161" w:lineRule="exact"/>
        <w:tabs>
          <w:tab w:leader="none" w:pos="3260" w:val="left"/>
          <w:tab w:leader="none" w:pos="5520" w:val="left"/>
          <w:tab w:leader="none" w:pos="80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63" w:lineRule="exact"/>
        <w:rPr>
          <w:sz w:val="24"/>
          <w:szCs w:val="24"/>
          <w:color w:val="auto"/>
        </w:rPr>
      </w:pPr>
    </w:p>
    <w:p>
      <w:pPr>
        <w:ind w:left="80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0" w:lineRule="exact"/>
        <w:rPr>
          <w:sz w:val="24"/>
          <w:szCs w:val="24"/>
          <w:color w:val="auto"/>
        </w:rPr>
      </w:pPr>
    </w:p>
    <w:p>
      <w:pPr>
        <w:ind w:right="300"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firstLine="648"/>
        <w:spacing w:after="0" w:line="166" w:lineRule="exact"/>
        <w:rPr>
          <w:sz w:val="20"/>
          <w:szCs w:val="20"/>
          <w:color w:val="auto"/>
        </w:rPr>
      </w:pPr>
      <w:r>
        <w:rPr>
          <w:rFonts w:ascii="Arial" w:cs="Arial" w:eastAsia="Arial" w:hAnsi="Arial"/>
          <w:sz w:val="14"/>
          <w:szCs w:val="14"/>
          <w:color w:val="auto"/>
        </w:rPr>
        <w:t>The aggregate market value of Common Stock held by non</w:t>
      </w:r>
      <w:r>
        <w:rPr>
          <w:rFonts w:ascii="MS PGothic" w:cs="MS PGothic" w:eastAsia="MS PGothic" w:hAnsi="MS PGothic"/>
          <w:sz w:val="14"/>
          <w:szCs w:val="14"/>
          <w:color w:val="auto"/>
        </w:rPr>
        <w:t>‑</w:t>
      </w:r>
      <w:r>
        <w:rPr>
          <w:rFonts w:ascii="Arial" w:cs="Arial" w:eastAsia="Arial" w:hAnsi="Arial"/>
          <w:sz w:val="14"/>
          <w:szCs w:val="14"/>
          <w:color w:val="auto"/>
        </w:rPr>
        <w:t>affiliates (based on the closing sale price on The Nasdaq Global Select Market on June 30, 2018) was approximately $11.9 billion.</w:t>
      </w:r>
    </w:p>
    <w:p>
      <w:pPr>
        <w:spacing w:after="0" w:line="75" w:lineRule="exact"/>
        <w:rPr>
          <w:sz w:val="24"/>
          <w:szCs w:val="24"/>
          <w:color w:val="auto"/>
        </w:rPr>
      </w:pPr>
    </w:p>
    <w:p>
      <w:pPr>
        <w:ind w:left="640"/>
        <w:spacing w:after="0"/>
        <w:rPr>
          <w:sz w:val="20"/>
          <w:szCs w:val="20"/>
          <w:color w:val="auto"/>
        </w:rPr>
      </w:pPr>
      <w:r>
        <w:rPr>
          <w:rFonts w:ascii="Arial" w:cs="Arial" w:eastAsia="Arial" w:hAnsi="Arial"/>
          <w:sz w:val="14"/>
          <w:szCs w:val="14"/>
          <w:color w:val="auto"/>
        </w:rPr>
        <w:t>As of February 7, 2019 there were 214,048,325 shares of Common Stock, $.001 par value per share, outstanding.</w:t>
      </w:r>
    </w:p>
    <w:p>
      <w:pPr>
        <w:spacing w:after="0" w:line="92"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ind w:firstLine="648"/>
        <w:spacing w:after="0" w:line="256" w:lineRule="auto"/>
        <w:rPr>
          <w:sz w:val="20"/>
          <w:szCs w:val="20"/>
          <w:color w:val="auto"/>
        </w:rPr>
      </w:pPr>
      <w:r>
        <w:rPr>
          <w:rFonts w:ascii="Arial" w:cs="Arial" w:eastAsia="Arial" w:hAnsi="Arial"/>
          <w:sz w:val="13"/>
          <w:szCs w:val="13"/>
          <w:color w:val="auto"/>
        </w:rPr>
        <w:t>Items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2019 Annual Meeting of</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Stockholders to be held on April 26, 2019</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103505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729615</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31"/>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00" w:type="dxa"/>
            <w:vAlign w:val="bottom"/>
          </w:tcPr>
          <w:p>
            <w:pPr>
              <w:spacing w:after="0"/>
              <w:rPr>
                <w:sz w:val="17"/>
                <w:szCs w:val="17"/>
                <w:color w:val="auto"/>
              </w:rPr>
            </w:pPr>
          </w:p>
        </w:tc>
      </w:tr>
      <w:tr>
        <w:trPr>
          <w:trHeight w:val="777"/>
        </w:trPr>
        <w:tc>
          <w:tcPr>
            <w:tcW w:w="5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20" w:type="dxa"/>
            <w:vAlign w:val="bottom"/>
            <w:gridSpan w:val="11"/>
          </w:tcPr>
          <w:p>
            <w:pPr>
              <w:jc w:val="center"/>
              <w:ind w:right="2520"/>
              <w:spacing w:after="0"/>
              <w:rPr>
                <w:sz w:val="20"/>
                <w:szCs w:val="20"/>
                <w:color w:val="auto"/>
              </w:rPr>
            </w:pPr>
            <w:r>
              <w:rPr>
                <w:rFonts w:ascii="Arial" w:cs="Arial" w:eastAsia="Arial" w:hAnsi="Arial"/>
                <w:sz w:val="18"/>
                <w:szCs w:val="18"/>
                <w:b w:val="1"/>
                <w:bCs w:val="1"/>
                <w:color w:val="auto"/>
                <w:w w:val="89"/>
              </w:rPr>
              <w:t>Table of Contents</w:t>
            </w:r>
          </w:p>
        </w:tc>
        <w:tc>
          <w:tcPr>
            <w:tcW w:w="500" w:type="dxa"/>
            <w:vAlign w:val="bottom"/>
          </w:tcPr>
          <w:p>
            <w:pPr>
              <w:spacing w:after="0"/>
              <w:rPr>
                <w:sz w:val="24"/>
                <w:szCs w:val="24"/>
                <w:color w:val="auto"/>
              </w:rPr>
            </w:pPr>
          </w:p>
        </w:tc>
      </w:tr>
      <w:tr>
        <w:trPr>
          <w:trHeight w:val="431"/>
        </w:trPr>
        <w:tc>
          <w:tcPr>
            <w:tcW w:w="1000" w:type="dxa"/>
            <w:vAlign w:val="bottom"/>
            <w:gridSpan w:val="7"/>
          </w:tcPr>
          <w:p>
            <w:pPr>
              <w:spacing w:after="0"/>
              <w:rPr>
                <w:sz w:val="20"/>
                <w:szCs w:val="20"/>
                <w:color w:val="auto"/>
              </w:rPr>
            </w:pPr>
            <w:r>
              <w:rPr>
                <w:rFonts w:ascii="Arial" w:cs="Arial" w:eastAsia="Arial" w:hAnsi="Arial"/>
                <w:sz w:val="18"/>
                <w:szCs w:val="18"/>
                <w:b w:val="1"/>
                <w:bCs w:val="1"/>
                <w:color w:val="auto"/>
              </w:rPr>
              <w:t>PART I</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520" w:type="dxa"/>
            <w:vAlign w:val="bottom"/>
          </w:tcPr>
          <w:p>
            <w:pPr>
              <w:spacing w:after="0" w:line="19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80" w:type="dxa"/>
            <w:vAlign w:val="bottom"/>
            <w:gridSpan w:val="6"/>
          </w:tcPr>
          <w:p>
            <w:pPr>
              <w:spacing w:after="0"/>
              <w:rPr>
                <w:sz w:val="16"/>
                <w:szCs w:val="16"/>
                <w:color w:val="auto"/>
              </w:rPr>
            </w:pPr>
          </w:p>
        </w:tc>
        <w:tc>
          <w:tcPr>
            <w:tcW w:w="7560" w:type="dxa"/>
            <w:vAlign w:val="bottom"/>
            <w:gridSpan w:val="24"/>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1A.</w:t>
              </w:r>
            </w:hyperlink>
          </w:p>
        </w:tc>
        <w:tc>
          <w:tcPr>
            <w:tcW w:w="340" w:type="dxa"/>
            <w:vAlign w:val="bottom"/>
            <w:gridSpan w:val="4"/>
          </w:tcPr>
          <w:p>
            <w:pPr>
              <w:spacing w:after="0"/>
              <w:rPr>
                <w:sz w:val="17"/>
                <w:szCs w:val="17"/>
                <w:color w:val="auto"/>
              </w:rPr>
            </w:pPr>
          </w:p>
        </w:tc>
        <w:tc>
          <w:tcPr>
            <w:tcW w:w="7560" w:type="dxa"/>
            <w:vAlign w:val="bottom"/>
            <w:gridSpan w:val="2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Item 1B.</w:t>
              </w:r>
            </w:hyperlink>
          </w:p>
        </w:tc>
        <w:tc>
          <w:tcPr>
            <w:tcW w:w="340" w:type="dxa"/>
            <w:vAlign w:val="bottom"/>
            <w:gridSpan w:val="4"/>
          </w:tcPr>
          <w:p>
            <w:pPr>
              <w:spacing w:after="0"/>
              <w:rPr>
                <w:sz w:val="17"/>
                <w:szCs w:val="17"/>
                <w:color w:val="auto"/>
              </w:rPr>
            </w:pPr>
          </w:p>
        </w:tc>
        <w:tc>
          <w:tcPr>
            <w:tcW w:w="756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Unresolved Staff Comments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7"/>
                <w:szCs w:val="17"/>
                <w:color w:val="auto"/>
              </w:rPr>
            </w:pPr>
          </w:p>
        </w:tc>
        <w:tc>
          <w:tcPr>
            <w:tcW w:w="340" w:type="dxa"/>
            <w:vAlign w:val="bottom"/>
            <w:gridSpan w:val="4"/>
          </w:tcPr>
          <w:p>
            <w:pPr>
              <w:spacing w:after="0"/>
              <w:rPr>
                <w:sz w:val="17"/>
                <w:szCs w:val="17"/>
                <w:color w:val="auto"/>
              </w:rPr>
            </w:pPr>
          </w:p>
        </w:tc>
        <w:tc>
          <w:tcPr>
            <w:tcW w:w="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552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480" w:type="dxa"/>
            <w:vAlign w:val="bottom"/>
            <w:gridSpan w:val="6"/>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Legal Proceedings</w:t>
              </w:r>
            </w:hyperlink>
          </w:p>
        </w:tc>
        <w:tc>
          <w:tcPr>
            <w:tcW w:w="622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4.</w:t>
              </w:r>
            </w:hyperlink>
          </w:p>
        </w:tc>
        <w:tc>
          <w:tcPr>
            <w:tcW w:w="480" w:type="dxa"/>
            <w:vAlign w:val="bottom"/>
            <w:gridSpan w:val="6"/>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Mine Safety Disclosures</w:t>
              </w:r>
            </w:hyperlink>
          </w:p>
        </w:tc>
        <w:tc>
          <w:tcPr>
            <w:tcW w:w="578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w:t>
              </w:r>
            </w:hyperlink>
          </w:p>
        </w:tc>
        <w:tc>
          <w:tcPr>
            <w:tcW w:w="3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5.</w:t>
              </w:r>
            </w:hyperlink>
          </w:p>
        </w:tc>
        <w:tc>
          <w:tcPr>
            <w:tcW w:w="480" w:type="dxa"/>
            <w:vAlign w:val="bottom"/>
            <w:gridSpan w:val="6"/>
          </w:tcPr>
          <w:p>
            <w:pPr>
              <w:spacing w:after="0"/>
              <w:rPr>
                <w:sz w:val="17"/>
                <w:szCs w:val="17"/>
                <w:color w:val="auto"/>
              </w:rPr>
            </w:pPr>
          </w:p>
        </w:tc>
        <w:tc>
          <w:tcPr>
            <w:tcW w:w="7560" w:type="dxa"/>
            <w:vAlign w:val="bottom"/>
            <w:gridSpan w:val="24"/>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Market for Registrant’s Common Equity, Related Stockholder Matters and Issuer Purchases of Equity</w:t>
              </w:r>
            </w:hyperlink>
          </w:p>
        </w:tc>
        <w:tc>
          <w:tcPr>
            <w:tcW w:w="50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Securities</w:t>
              </w:r>
            </w:hyperlink>
          </w:p>
        </w:tc>
        <w:tc>
          <w:tcPr>
            <w:tcW w:w="6600" w:type="dxa"/>
            <w:vAlign w:val="bottom"/>
            <w:tcBorders>
              <w:top w:val="single" w:sz="8" w:color="0000EE"/>
            </w:tcBorders>
            <w:gridSpan w:val="19"/>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6.</w:t>
              </w:r>
            </w:hyperlink>
          </w:p>
        </w:tc>
        <w:tc>
          <w:tcPr>
            <w:tcW w:w="480" w:type="dxa"/>
            <w:vAlign w:val="bottom"/>
            <w:gridSpan w:val="6"/>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Selected Financial Data</w:t>
              </w:r>
            </w:hyperlink>
          </w:p>
        </w:tc>
        <w:tc>
          <w:tcPr>
            <w:tcW w:w="584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7.</w:t>
              </w:r>
            </w:hyperlink>
          </w:p>
        </w:tc>
        <w:tc>
          <w:tcPr>
            <w:tcW w:w="480" w:type="dxa"/>
            <w:vAlign w:val="bottom"/>
            <w:gridSpan w:val="6"/>
          </w:tcPr>
          <w:p>
            <w:pPr>
              <w:spacing w:after="0"/>
              <w:rPr>
                <w:sz w:val="17"/>
                <w:szCs w:val="17"/>
                <w:color w:val="auto"/>
              </w:rPr>
            </w:pPr>
          </w:p>
        </w:tc>
        <w:tc>
          <w:tcPr>
            <w:tcW w:w="7560" w:type="dxa"/>
            <w:vAlign w:val="bottom"/>
            <w:gridSpan w:val="2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Item 7A.</w:t>
              </w:r>
            </w:hyperlink>
          </w:p>
        </w:tc>
        <w:tc>
          <w:tcPr>
            <w:tcW w:w="340" w:type="dxa"/>
            <w:vAlign w:val="bottom"/>
            <w:gridSpan w:val="4"/>
          </w:tcPr>
          <w:p>
            <w:pPr>
              <w:spacing w:after="0"/>
              <w:rPr>
                <w:sz w:val="17"/>
                <w:szCs w:val="17"/>
                <w:color w:val="auto"/>
              </w:rPr>
            </w:pPr>
          </w:p>
        </w:tc>
        <w:tc>
          <w:tcPr>
            <w:tcW w:w="756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17"/>
                <w:szCs w:val="17"/>
                <w:color w:val="auto"/>
              </w:rPr>
            </w:pPr>
          </w:p>
        </w:tc>
        <w:tc>
          <w:tcPr>
            <w:tcW w:w="340" w:type="dxa"/>
            <w:vAlign w:val="bottom"/>
            <w:gridSpan w:val="4"/>
          </w:tcPr>
          <w:p>
            <w:pPr>
              <w:spacing w:after="0"/>
              <w:rPr>
                <w:sz w:val="17"/>
                <w:szCs w:val="17"/>
                <w:color w:val="auto"/>
              </w:rPr>
            </w:pPr>
          </w:p>
        </w:tc>
        <w:tc>
          <w:tcPr>
            <w:tcW w:w="33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320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Item 9.</w:t>
              </w:r>
            </w:hyperlink>
          </w:p>
        </w:tc>
        <w:tc>
          <w:tcPr>
            <w:tcW w:w="480" w:type="dxa"/>
            <w:vAlign w:val="bottom"/>
            <w:gridSpan w:val="6"/>
          </w:tcPr>
          <w:p>
            <w:pPr>
              <w:spacing w:after="0"/>
              <w:rPr>
                <w:sz w:val="17"/>
                <w:szCs w:val="17"/>
                <w:color w:val="auto"/>
              </w:rPr>
            </w:pPr>
          </w:p>
        </w:tc>
        <w:tc>
          <w:tcPr>
            <w:tcW w:w="65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Changes in and Disagreements With Accountants on Accounting and Financial Disclosure</w:t>
              </w:r>
            </w:hyperlink>
          </w:p>
        </w:tc>
        <w:tc>
          <w:tcPr>
            <w:tcW w:w="10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Item 9A.</w:t>
              </w:r>
            </w:hyperlink>
          </w:p>
        </w:tc>
        <w:tc>
          <w:tcPr>
            <w:tcW w:w="340" w:type="dxa"/>
            <w:vAlign w:val="bottom"/>
            <w:gridSpan w:val="4"/>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22">
              <w:r>
                <w:rPr>
                  <w:rFonts w:ascii="Arial" w:cs="Arial" w:eastAsia="Arial" w:hAnsi="Arial"/>
                  <w:sz w:val="18"/>
                  <w:szCs w:val="18"/>
                  <w:color w:val="0000EE"/>
                  <w:w w:val="88"/>
                </w:rPr>
                <w:t>Controls and Procedures</w:t>
              </w:r>
            </w:hyperlink>
          </w:p>
        </w:tc>
        <w:tc>
          <w:tcPr>
            <w:tcW w:w="578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Item 9B.</w:t>
              </w:r>
            </w:hyperlink>
          </w:p>
        </w:tc>
        <w:tc>
          <w:tcPr>
            <w:tcW w:w="340" w:type="dxa"/>
            <w:vAlign w:val="bottom"/>
            <w:gridSpan w:val="4"/>
          </w:tcPr>
          <w:p>
            <w:pPr>
              <w:spacing w:after="0"/>
              <w:rPr>
                <w:sz w:val="17"/>
                <w:szCs w:val="17"/>
                <w:color w:val="auto"/>
              </w:rPr>
            </w:pPr>
          </w:p>
        </w:tc>
        <w:tc>
          <w:tcPr>
            <w:tcW w:w="13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Other Information</w:t>
              </w:r>
            </w:hyperlink>
          </w:p>
        </w:tc>
        <w:tc>
          <w:tcPr>
            <w:tcW w:w="624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7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PART III</w:t>
              </w:r>
            </w:hyperlink>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000" w:type="dxa"/>
            <w:vAlign w:val="bottom"/>
            <w:gridSpan w:val="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Item 10.</w:t>
              </w:r>
            </w:hyperlink>
          </w:p>
        </w:tc>
        <w:tc>
          <w:tcPr>
            <w:tcW w:w="7560" w:type="dxa"/>
            <w:vAlign w:val="bottom"/>
            <w:gridSpan w:val="24"/>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Directors, Executive Officers and Corporate Governance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Item 11.</w:t>
              </w:r>
            </w:hyperlink>
          </w:p>
        </w:tc>
        <w:tc>
          <w:tcPr>
            <w:tcW w:w="400" w:type="dxa"/>
            <w:vAlign w:val="bottom"/>
            <w:gridSpan w:val="5"/>
          </w:tcPr>
          <w:p>
            <w:pPr>
              <w:spacing w:after="0"/>
              <w:rPr>
                <w:sz w:val="17"/>
                <w:szCs w:val="17"/>
                <w:color w:val="auto"/>
              </w:rPr>
            </w:pPr>
          </w:p>
        </w:tc>
        <w:tc>
          <w:tcPr>
            <w:tcW w:w="41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Executive Compensation</w:t>
              </w:r>
            </w:hyperlink>
          </w:p>
        </w:tc>
        <w:tc>
          <w:tcPr>
            <w:tcW w:w="346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00" w:type="dxa"/>
            <w:vAlign w:val="bottom"/>
            <w:gridSpan w:val="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Item 12.</w:t>
              </w:r>
            </w:hyperlink>
          </w:p>
        </w:tc>
        <w:tc>
          <w:tcPr>
            <w:tcW w:w="7560" w:type="dxa"/>
            <w:vAlign w:val="bottom"/>
            <w:gridSpan w:val="24"/>
          </w:tcPr>
          <w:p>
            <w:pPr>
              <w:spacing w:after="0" w:line="196" w:lineRule="exact"/>
              <w:rPr>
                <w:rFonts w:ascii="Arial" w:cs="Arial" w:eastAsia="Arial" w:hAnsi="Arial"/>
                <w:sz w:val="18"/>
                <w:szCs w:val="18"/>
                <w:color w:val="0000EE"/>
                <w:w w:val="94"/>
              </w:rPr>
            </w:pPr>
            <w:hyperlink w:anchor="page125">
              <w:r>
                <w:rPr>
                  <w:rFonts w:ascii="Arial" w:cs="Arial" w:eastAsia="Arial" w:hAnsi="Arial"/>
                  <w:sz w:val="18"/>
                  <w:szCs w:val="18"/>
                  <w:color w:val="0000EE"/>
                  <w:w w:val="94"/>
                </w:rPr>
                <w:t>Security Ownership of Certain Beneficial Owners and Management and Related Stockholder Matters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00" w:type="dxa"/>
            <w:vAlign w:val="bottom"/>
            <w:gridSpan w:val="7"/>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13.</w:t>
              </w:r>
            </w:hyperlink>
          </w:p>
        </w:tc>
        <w:tc>
          <w:tcPr>
            <w:tcW w:w="7560" w:type="dxa"/>
            <w:vAlign w:val="bottom"/>
            <w:gridSpan w:val="2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Certain Relationships and Related Transactions, and Director Independence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00" w:type="dxa"/>
            <w:vAlign w:val="bottom"/>
            <w:gridSpan w:val="7"/>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14.</w:t>
              </w:r>
            </w:hyperlink>
          </w:p>
        </w:tc>
        <w:tc>
          <w:tcPr>
            <w:tcW w:w="7560" w:type="dxa"/>
            <w:vAlign w:val="bottom"/>
            <w:gridSpan w:val="2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Principal Accountant Fees and Services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8"/>
              </w:rPr>
            </w:pPr>
            <w:hyperlink w:anchor="page126">
              <w:r>
                <w:rPr>
                  <w:rFonts w:ascii="Arial" w:cs="Arial" w:eastAsia="Arial" w:hAnsi="Arial"/>
                  <w:sz w:val="18"/>
                  <w:szCs w:val="18"/>
                  <w:b w:val="1"/>
                  <w:bCs w:val="1"/>
                  <w:color w:val="0000EE"/>
                  <w:w w:val="98"/>
                </w:rPr>
                <w:t>PART IV</w:t>
              </w:r>
            </w:hyperlink>
          </w:p>
        </w:tc>
        <w:tc>
          <w:tcPr>
            <w:tcW w:w="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000" w:type="dxa"/>
            <w:vAlign w:val="bottom"/>
            <w:gridSpan w:val="7"/>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15.</w:t>
              </w:r>
            </w:hyperlink>
          </w:p>
        </w:tc>
        <w:tc>
          <w:tcPr>
            <w:tcW w:w="7560" w:type="dxa"/>
            <w:vAlign w:val="bottom"/>
            <w:gridSpan w:val="2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Exhibits, Financial Statement Schedules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00" w:type="dxa"/>
            <w:vAlign w:val="bottom"/>
            <w:gridSpan w:val="7"/>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Item 16.</w:t>
              </w:r>
            </w:hyperlink>
          </w:p>
        </w:tc>
        <w:tc>
          <w:tcPr>
            <w:tcW w:w="7560" w:type="dxa"/>
            <w:vAlign w:val="bottom"/>
            <w:gridSpan w:val="2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Form 10-K Summary</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6000" w:type="dxa"/>
            <w:vAlign w:val="bottom"/>
            <w:gridSpan w:val="1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8560" w:type="dxa"/>
            <w:vAlign w:val="bottom"/>
            <w:gridSpan w:val="31"/>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SIGNATURES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885"/>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0" w:type="dxa"/>
            <w:vAlign w:val="bottom"/>
            <w:gridSpan w:val="16"/>
          </w:tcPr>
          <w:p>
            <w:pPr>
              <w:jc w:val="right"/>
              <w:ind w:right="5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i w:val="1"/>
          <w:iCs w:val="1"/>
          <w:color w:val="auto"/>
        </w:rPr>
        <w:t>This report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include statements as to:</w:t>
      </w:r>
    </w:p>
    <w:p>
      <w:pPr>
        <w:spacing w:after="0" w:line="192" w:lineRule="exact"/>
        <w:rPr>
          <w:sz w:val="20"/>
          <w:szCs w:val="20"/>
          <w:color w:val="auto"/>
        </w:rPr>
      </w:pPr>
    </w:p>
    <w:p>
      <w:pPr>
        <w:ind w:left="980" w:hanging="329"/>
        <w:spacing w:after="0" w:line="23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18"/>
          <w:szCs w:val="18"/>
          <w:color w:val="auto"/>
        </w:rPr>
        <w:t>®</w:t>
      </w:r>
      <w:r>
        <w:rPr>
          <w:rFonts w:ascii="Arial" w:cs="Arial" w:eastAsia="Arial" w:hAnsi="Arial"/>
          <w:sz w:val="18"/>
          <w:szCs w:val="18"/>
          <w:i w:val="1"/>
          <w:iCs w:val="1"/>
          <w:color w:val="auto"/>
        </w:rPr>
        <w:t>/JAKAVI</w:t>
      </w:r>
      <w:r>
        <w:rPr>
          <w:rFonts w:ascii="Arial" w:cs="Arial" w:eastAsia="Arial" w:hAnsi="Arial"/>
          <w:sz w:val="18"/>
          <w:szCs w:val="18"/>
          <w:color w:val="auto"/>
        </w:rPr>
        <w:t>®</w:t>
      </w:r>
      <w:r>
        <w:rPr>
          <w:rFonts w:ascii="Arial" w:cs="Arial" w:eastAsia="Arial" w:hAnsi="Arial"/>
          <w:sz w:val="18"/>
          <w:szCs w:val="18"/>
          <w:i w:val="1"/>
          <w:iCs w:val="1"/>
          <w:color w:val="auto"/>
        </w:rPr>
        <w:t xml:space="preserve"> (ruxolitinib) and ICLUSIG</w:t>
      </w:r>
      <w:r>
        <w:rPr>
          <w:rFonts w:ascii="Arial" w:cs="Arial" w:eastAsia="Arial" w:hAnsi="Arial"/>
          <w:sz w:val="18"/>
          <w:szCs w:val="18"/>
          <w:color w:val="auto"/>
        </w:rPr>
        <w:t>®</w:t>
      </w:r>
      <w:r>
        <w:rPr>
          <w:rFonts w:ascii="Arial" w:cs="Arial" w:eastAsia="Arial" w:hAnsi="Arial"/>
          <w:sz w:val="18"/>
          <w:szCs w:val="18"/>
          <w:i w:val="1"/>
          <w:iCs w:val="1"/>
          <w:color w:val="auto"/>
        </w:rPr>
        <w:t xml:space="preserve"> (ponatinib);</w:t>
      </w:r>
    </w:p>
    <w:p>
      <w:pPr>
        <w:spacing w:after="0" w:line="16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expected benefits from our acquisition of ARIAD Pharmaceuticals (Luxembourg) S.à.r.l. and our plans to further develop our European operations;</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anticipated benefits and disadvantages of entering into collaboration agreements;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licensing, investment and commercialization strategies, including our plans to commercialize JAKAFI and</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i w:val="1"/>
          <w:iCs w:val="1"/>
          <w:color w:val="auto"/>
        </w:rPr>
        <w:t>ICLUSIG;</w:t>
      </w:r>
    </w:p>
    <w:p>
      <w:pPr>
        <w:spacing w:after="0" w:line="210"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21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U.S. tax laws;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expectations relating to our new European headquarters and the anticipated completion date for our large molecule production facility;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w:t>
      </w:r>
    </w:p>
    <w:p>
      <w:pPr>
        <w:spacing w:after="0" w:line="225"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i w:val="1"/>
          <w:iCs w:val="1"/>
          <w:color w:val="auto"/>
        </w:rPr>
        <w:t>These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202"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JAKAFI and ICLUSIG;</w:t>
      </w:r>
    </w:p>
    <w:p>
      <w:pPr>
        <w:spacing w:after="0" w:line="21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18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18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risks relating to our reliance on third-party manufacturers, collaborators, and clinical research organizations;</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170"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licensed compounds or drug candidates;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license drug candidates or other technology;</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unanticipated construction, other delays or changes in plans relating to our new European headquarters and large molecule production facility;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analyze the effects of new accounting pronouncements and apply new accounting rules;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history of operating losses;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i w:val="1"/>
          <w:iCs w:val="1"/>
          <w:color w:val="auto"/>
        </w:rPr>
        <w:t>Given these risks and uncertainties, you should not place undue reliance on these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Except as required by federal securities laws, we undertake no obligation to update any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for any reason, even if new information becomes available or other events occur in the future.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8"/>
          <w:szCs w:val="18"/>
          <w:i w:val="1"/>
          <w:iCs w:val="1"/>
          <w:color w:val="auto"/>
        </w:rPr>
        <w:t>Incyte and JAKAFI are our registered trademarks. We also refer to trademarks of other corporations and organizations in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Incyte is a biopharmaceutical company focused on the discovery, development and commercialization of proprietary therapeutics. Our global headquarters is located in Wilmington, Delaware. We conduct our European clinical development operations from our offices in Geneva, Switzerland, and Lausanne, Switzerland; our Japanese office is in Tokyo.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Indications - JAKAFI (ruxolitinib)</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JAKAFI (ruxolitinib) is our first product to be approved for sale in the United States. It was approved by the U.S. Food and Drug Administration (FDA) in November 2011 for the treatment of patients with intermediate or high</w:t>
      </w:r>
      <w:r>
        <w:rPr>
          <w:rFonts w:ascii="MS PGothic" w:cs="MS PGothic" w:eastAsia="MS PGothic" w:hAnsi="MS PGothic"/>
          <w:sz w:val="18"/>
          <w:szCs w:val="18"/>
          <w:color w:val="auto"/>
        </w:rPr>
        <w:t>‑</w:t>
      </w:r>
      <w:r>
        <w:rPr>
          <w:rFonts w:ascii="Arial" w:cs="Arial" w:eastAsia="Arial" w:hAnsi="Arial"/>
          <w:sz w:val="18"/>
          <w:szCs w:val="18"/>
          <w:color w:val="auto"/>
        </w:rPr>
        <w:t>risk myelofibrosis and in December 2014 for the treatment of patients with polycythemia vera who have had an inadequate response to or are intolerant of hydroxyurea. Myelofibrosis and polycythemia vera are both rare blood cancers. Under our collaboration agreement with Novartis International Pharmaceutical Ltd., Novartis received exclusive development and commercialization rights to ruxolitinib outside of the United States for all hematologic and oncologic indications and sells ruxolitinib outside of the United States under the name JAKAVI.</w:t>
      </w:r>
    </w:p>
    <w:p>
      <w:pPr>
        <w:spacing w:after="0" w:line="20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w:t>
      </w:r>
      <w:r>
        <w:rPr>
          <w:rFonts w:ascii="MS PGothic" w:cs="MS PGothic" w:eastAsia="MS PGothic" w:hAnsi="MS PGothic"/>
          <w:sz w:val="18"/>
          <w:szCs w:val="18"/>
          <w:color w:val="auto"/>
        </w:rPr>
        <w:t>‑</w:t>
      </w:r>
      <w:r>
        <w:rPr>
          <w:rFonts w:ascii="Arial" w:cs="Arial" w:eastAsia="Arial" w:hAnsi="Arial"/>
          <w:sz w:val="18"/>
          <w:szCs w:val="18"/>
          <w:color w:val="auto"/>
        </w:rPr>
        <w:t>STAT signaling pathway has been associated with a number of diseases, including myeloproliferative neoplasms, other hematological malignancies, rheumatoid arthritis and other chronic inflammatory diseases. Myeloproliferative neoplasms are a closely related group of blood diseases in which blood cells, specifically platelets, white blood cells, and red blood cells, grow or act abnormally. These diseases include myelofibrosis (MF), polycythemia vera (PV) and essential thrombocythemia (ET).</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4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w:t>
      </w:r>
      <w:r>
        <w:rPr>
          <w:rFonts w:ascii="MS PGothic" w:cs="MS PGothic" w:eastAsia="MS PGothic" w:hAnsi="MS PGothic"/>
          <w:sz w:val="18"/>
          <w:szCs w:val="18"/>
          <w:color w:val="auto"/>
        </w:rPr>
        <w:t>‑</w:t>
      </w:r>
      <w:r>
        <w:rPr>
          <w:rFonts w:ascii="Arial" w:cs="Arial" w:eastAsia="Arial" w:hAnsi="Arial"/>
          <w:sz w:val="18"/>
          <w:szCs w:val="18"/>
          <w:color w:val="auto"/>
        </w:rPr>
        <w:t>approved JAK inhibitor for any indication and was the first and remains the only product approved by the FDA for use in MF and PV. The FDA has granted JAKAFI orphan drug status for MF, PV, ET, acute lymphoblastic leukemia (ALL) and graft-versus-host-disease (GVHD).</w:t>
      </w:r>
    </w:p>
    <w:p>
      <w:pPr>
        <w:spacing w:after="0" w:line="204"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To help ensure that all eligible MF and PV patients have access to JAKAFI, we have established a patient assistance program called IncyteCARES (CARES stands for Connecting to Access, Reimbursement, Education and Support). IncyteCARES helps ensure that any patient with intermediate or high</w:t>
      </w:r>
      <w:r>
        <w:rPr>
          <w:rFonts w:ascii="MS PGothic" w:cs="MS PGothic" w:eastAsia="MS PGothic" w:hAnsi="MS PGothic"/>
          <w:sz w:val="18"/>
          <w:szCs w:val="18"/>
          <w:color w:val="auto"/>
        </w:rPr>
        <w:t>‑</w:t>
      </w:r>
      <w:r>
        <w:rPr>
          <w:rFonts w:ascii="Arial" w:cs="Arial" w:eastAsia="Arial" w:hAnsi="Arial"/>
          <w:sz w:val="18"/>
          <w:szCs w:val="18"/>
          <w:color w:val="auto"/>
        </w:rPr>
        <w:t>risk MF or uncontrolled PV who meets certain eligibility criteria and is prescribed JAKAFI has access to the product regardless of ability to pay and has access to ongoing support and educational resources during treatment.</w:t>
      </w:r>
    </w:p>
    <w:p>
      <w:pPr>
        <w:spacing w:after="0" w:line="206"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w:t>
      </w:r>
      <w:r>
        <w:rPr>
          <w:rFonts w:ascii="MS PGothic" w:cs="MS PGothic" w:eastAsia="MS PGothic" w:hAnsi="MS PGothic"/>
          <w:sz w:val="17"/>
          <w:szCs w:val="17"/>
          <w:color w:val="auto"/>
        </w:rPr>
        <w:t>‑</w:t>
      </w:r>
      <w:r>
        <w:rPr>
          <w:rFonts w:ascii="Arial" w:cs="Arial" w:eastAsia="Arial" w:hAnsi="Arial"/>
          <w:sz w:val="17"/>
          <w:szCs w:val="17"/>
          <w:color w:val="auto"/>
        </w:rPr>
        <w:t>established and familiar to physicians who practice within the oncology field.</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Myelofibrosis is a rare,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 MF, considered the most serious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w:t>
      </w:r>
      <w:r>
        <w:rPr>
          <w:rFonts w:ascii="MS PGothic" w:cs="MS PGothic" w:eastAsia="MS PGothic" w:hAnsi="MS PGothic"/>
          <w:sz w:val="17"/>
          <w:szCs w:val="17"/>
          <w:color w:val="auto"/>
        </w:rPr>
        <w:t>‑</w:t>
      </w:r>
      <w:r>
        <w:rPr>
          <w:rFonts w:ascii="Arial" w:cs="Arial" w:eastAsia="Arial" w:hAnsi="Arial"/>
          <w:sz w:val="17"/>
          <w:szCs w:val="17"/>
          <w:color w:val="auto"/>
        </w:rPr>
        <w:t>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The FDA approval was based on results from two randomized Phase III trials (COMFORT</w:t>
      </w:r>
      <w:r>
        <w:rPr>
          <w:rFonts w:ascii="MS PGothic" w:cs="MS PGothic" w:eastAsia="MS PGothic" w:hAnsi="MS PGothic"/>
          <w:sz w:val="17"/>
          <w:szCs w:val="17"/>
          <w:color w:val="auto"/>
        </w:rPr>
        <w:t>‑</w:t>
      </w:r>
      <w:r>
        <w:rPr>
          <w:rFonts w:ascii="Arial" w:cs="Arial" w:eastAsia="Arial" w:hAnsi="Arial"/>
          <w:sz w:val="17"/>
          <w:szCs w:val="17"/>
          <w:color w:val="auto"/>
        </w:rPr>
        <w:t>I and COMFORT</w:t>
      </w:r>
      <w:r>
        <w:rPr>
          <w:rFonts w:ascii="MS PGothic" w:cs="MS PGothic" w:eastAsia="MS PGothic" w:hAnsi="MS PGothic"/>
          <w:sz w:val="17"/>
          <w:szCs w:val="17"/>
          <w:color w:val="auto"/>
        </w:rPr>
        <w:t>‑</w:t>
      </w:r>
      <w:r>
        <w:rPr>
          <w:rFonts w:ascii="Arial" w:cs="Arial" w:eastAsia="Arial" w:hAnsi="Arial"/>
          <w:sz w:val="17"/>
          <w:szCs w:val="17"/>
          <w:color w:val="auto"/>
        </w:rPr>
        <w:t>II), which demonstrated that patients treated with JAKAFI experienced significant reductions in splenomegaly (enlarged spleen). COMFORT</w:t>
      </w:r>
      <w:r>
        <w:rPr>
          <w:rFonts w:ascii="MS PGothic" w:cs="MS PGothic" w:eastAsia="MS PGothic" w:hAnsi="MS PGothic"/>
          <w:sz w:val="17"/>
          <w:szCs w:val="17"/>
          <w:color w:val="auto"/>
        </w:rPr>
        <w:t>‑</w:t>
      </w:r>
      <w:r>
        <w:rPr>
          <w:rFonts w:ascii="Arial" w:cs="Arial" w:eastAsia="Arial" w:hAnsi="Arial"/>
          <w:sz w:val="17"/>
          <w:szCs w:val="17"/>
          <w:color w:val="auto"/>
        </w:rPr>
        <w:t>I also demonstrated improvements in symptoms. The most common hematologic adverse reactions in both trials were thrombocytopenia and anemia. These events rarely led to discontinuation of JAKAFI treatment. The most common non</w:t>
      </w:r>
      <w:r>
        <w:rPr>
          <w:rFonts w:ascii="MS PGothic" w:cs="MS PGothic" w:eastAsia="MS PGothic" w:hAnsi="MS PGothic"/>
          <w:sz w:val="17"/>
          <w:szCs w:val="17"/>
          <w:color w:val="auto"/>
        </w:rPr>
        <w:t>‑</w:t>
      </w:r>
      <w:r>
        <w:rPr>
          <w:rFonts w:ascii="Arial" w:cs="Arial" w:eastAsia="Arial" w:hAnsi="Arial"/>
          <w:sz w:val="17"/>
          <w:szCs w:val="17"/>
          <w:color w:val="auto"/>
        </w:rPr>
        <w:t>hematologic adverse reactions were bruising, dizziness and headache.</w:t>
      </w:r>
    </w:p>
    <w:p>
      <w:pPr>
        <w:spacing w:after="0" w:line="20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In August 2014, the FDA approved supplemental labeling for JAKAFI to include Kaplan</w:t>
      </w:r>
      <w:r>
        <w:rPr>
          <w:rFonts w:ascii="MS PGothic" w:cs="MS PGothic" w:eastAsia="MS PGothic" w:hAnsi="MS PGothic"/>
          <w:sz w:val="18"/>
          <w:szCs w:val="18"/>
          <w:color w:val="auto"/>
        </w:rPr>
        <w:t>‑</w:t>
      </w:r>
      <w:r>
        <w:rPr>
          <w:rFonts w:ascii="Arial" w:cs="Arial" w:eastAsia="Arial" w:hAnsi="Arial"/>
          <w:sz w:val="18"/>
          <w:szCs w:val="18"/>
          <w:color w:val="auto"/>
        </w:rPr>
        <w:t>Meier overall survival curves as well as additional safety and dosing information. The overall survival information is based on three</w:t>
      </w:r>
      <w:r>
        <w:rPr>
          <w:rFonts w:ascii="MS PGothic" w:cs="MS PGothic" w:eastAsia="MS PGothic" w:hAnsi="MS PGothic"/>
          <w:sz w:val="18"/>
          <w:szCs w:val="18"/>
          <w:color w:val="auto"/>
        </w:rPr>
        <w:t>‑</w:t>
      </w:r>
      <w:r>
        <w:rPr>
          <w:rFonts w:ascii="Arial" w:cs="Arial" w:eastAsia="Arial" w:hAnsi="Arial"/>
          <w:sz w:val="18"/>
          <w:szCs w:val="18"/>
          <w:color w:val="auto"/>
        </w:rPr>
        <w:t>year data from COMFORT</w:t>
      </w:r>
      <w:r>
        <w:rPr>
          <w:rFonts w:ascii="MS PGothic" w:cs="MS PGothic" w:eastAsia="MS PGothic" w:hAnsi="MS PGothic"/>
          <w:sz w:val="18"/>
          <w:szCs w:val="18"/>
          <w:color w:val="auto"/>
        </w:rPr>
        <w:t>‑</w:t>
      </w:r>
      <w:r>
        <w:rPr>
          <w:rFonts w:ascii="Arial" w:cs="Arial" w:eastAsia="Arial" w:hAnsi="Arial"/>
          <w:sz w:val="18"/>
          <w:szCs w:val="18"/>
          <w:color w:val="auto"/>
        </w:rPr>
        <w:t>I and II, and shows that at three years the probability of survival for patients treated with JAKAFI in COMFORT</w:t>
      </w:r>
      <w:r>
        <w:rPr>
          <w:rFonts w:ascii="MS PGothic" w:cs="MS PGothic" w:eastAsia="MS PGothic" w:hAnsi="MS PGothic"/>
          <w:sz w:val="18"/>
          <w:szCs w:val="18"/>
          <w:color w:val="auto"/>
        </w:rPr>
        <w:t>‑</w:t>
      </w:r>
      <w:r>
        <w:rPr>
          <w:rFonts w:ascii="Arial" w:cs="Arial" w:eastAsia="Arial" w:hAnsi="Arial"/>
          <w:sz w:val="18"/>
          <w:szCs w:val="18"/>
          <w:color w:val="auto"/>
        </w:rPr>
        <w:t>I was 70% and for those patients originally randomized to placebo it was 61%. In COMFORT</w:t>
      </w:r>
      <w:r>
        <w:rPr>
          <w:rFonts w:ascii="MS PGothic" w:cs="MS PGothic" w:eastAsia="MS PGothic" w:hAnsi="MS PGothic"/>
          <w:sz w:val="18"/>
          <w:szCs w:val="18"/>
          <w:color w:val="auto"/>
        </w:rPr>
        <w:t>‑</w:t>
      </w:r>
      <w:r>
        <w:rPr>
          <w:rFonts w:ascii="Arial" w:cs="Arial" w:eastAsia="Arial" w:hAnsi="Arial"/>
          <w:sz w:val="18"/>
          <w:szCs w:val="18"/>
          <w:color w:val="auto"/>
        </w:rPr>
        <w: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8"/>
          <w:szCs w:val="8"/>
          <w:color w:val="auto"/>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3"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w:t>
      </w:r>
      <w:r>
        <w:rPr>
          <w:rFonts w:ascii="MS PGothic" w:cs="MS PGothic" w:eastAsia="MS PGothic" w:hAnsi="MS PGothic"/>
          <w:sz w:val="17"/>
          <w:szCs w:val="17"/>
          <w:color w:val="auto"/>
        </w:rPr>
        <w:t>‑</w:t>
      </w:r>
      <w:r>
        <w:rPr>
          <w:rFonts w:ascii="Arial" w:cs="Arial" w:eastAsia="Arial" w:hAnsi="Arial"/>
          <w:sz w:val="17"/>
          <w:szCs w:val="17"/>
          <w:color w:val="auto"/>
        </w:rPr>
        <w:t>hematologic adverse events (incidence &gt;10%) were headache, abdominal pain, diarrhea, dizziness, fatigue, pruritus, dyspnea and muscle spasms.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commercial milestones as well as royalties from product sales outside the United States. We hold patents that cover the composition of matter and use of ruxolitinib which patents, including applicable extensions, expire in late 2027.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Indications - ICLUSIG (ponatinib)</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in Oncology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future of cancer treatment lies in the use of targeted therapies, which aim to block, directly or indirectly, the effects of cancer-causing mutations, and immune therapies, which seek to recruit the patient’s own immune system to tackle cancer. Our most advanced programs are detailed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JAK Inhibition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our development program to improve and expand therapeutic options for patients with MF, we are currently recruiting Phase II trials combining ruxolitinib with our clinical candidates such as itacitinib (JAK1), parsaclisib (formerly INCB50465; PI3Kδ), and INCB53914 (PIM) in patients with refractory MF.</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GVHD is a condition that can occur after an allogeneic bone marrow transplant (the transfer of genetically dissimilar stem cells or tissue). In GVHD, the donated bone marrow or peripheral blood stem cells view the recipient’s body as foreign and attack the body. 12-month survival rates in patients with Grade III or IV steroid-refractory acute GVHD are 50% or less and the diagnosed incidence of acute and chronic GVHD is approximately 20,000 per year across the United States, Europe and Japan.</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Building upon positive, independently published third-party data of ruxolitinib in GVHD, we initiated the REACH clinical program to evaluate ruxolitinib in patients with steroid-refractory GVHD. The result of REACH1, a pivotal Phase II trial in steroid-refractory acute GVHD, formed the basis for a supplemental new drug application (sNDA), which was accepted by the FDA for Priority Review in October 2018. In February 2019, the FDA extended the sNDA review period by three months. REACH2, the Novartis-sponsored Phase III trial in steroid-refractory acute GVHD, 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REACH3, the Phase III trial in steroid-refractory chronic GVHD that is co-sponsored by Incyte and Novartis, are both underway. In June 2016, we announced that the FDA granted Breakthrough Therapy designation for ruxolitinib in patients with acute GVHD. In April 2016, we announced an agreement with Eli Lilly and Company enabling us to develop and commercialize ruxolitinib in the United States for the treatment of GVHD. We also announced an agreement with Novartis granting Novartis exclusive research, development and commercialization rights for ruxolitinib in GVHD outside the United States.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data from a proof-of-concept trial of itacitinib, a selective JAK1 inhibitor, in patients with acute GVHD, a pivotal trial (GRAVITAS-301) investigating itacitinib for the treatment of patients with treatment-naïve acute GVHD was initiated in July 2017. The FDA has granted itacitinib orphan drug status for GVHD.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positive proof-of-concept data, we initiated a pivotal program investigating ruxolitinib for the treatment of patients with essential thrombocythemia. ET is a Philadelphia chromosome negative myeloproliferative neoplasm, characterized by the overproduction of platelets in the bone marrow. The pivotal RESET trial is enrolling ET patients that are refractory to or intolerant of hydroxyurea, the current standard of care for first-line treatment of these patients. The clinical program to evaluate itacitinib in solid tumors includes a clinical trial in combination with AstraZeneca/MedImmune’s EGFR inhibitor osimertinib.</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FGFR1/2/3 Inhibition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Pemigatinib is an inhibitor of the FGFR isoforms 1, 2 and 3 that has demonstrated potency and selectivity in preclinical studies. The FGFR family of receptor tyrosine kinases can act as oncogenic drivers in a number of liquid and solid tumor types. We initiated the FIGHT clinical program to evaluate pemigatinib across a spectrum of cancers that are driven by FGF/FGFR mutations. The program currently has three Phase II trials– FIGHT-201 in patients with bladder cancer, FIGHT-202 in patients with cholangiocarcinoma, and FIGHT-203 in patients with 8p11 myeloproliferative syndrome (8p11 MPN). Based on data generated from ongoing trials in patients with FGFR-driven cholangiocarcinoma, bladder cancer, and 8p11 MPN, we are planning to initiate a pivotal tumor-agnostic trial evaluating pemigatinib in patients with driver-activations of FGF/FGFR later in 2019.</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October 2018, we announced positive data from the FIGHT-202 trial evaluating pemigatinib in patients with advanced/metastatic or surgically unresectable cholangiocarcinoma who failed at least one previous treatment. In February 2019, we announced that the FDA granted Breakthrough Therapy designation for pemigatinib in patients with previously treated, advanced/metastatic or unresectable FGFR2 translocated cholangiocarcinoma.</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Cholangiocarcinoma is a cancer that arises from the cells within the bile ducts. It is often diagnosed late (stages III and IV) and the prognosis is poor. The incidence of cholangiocarcinoma with FGFR2 translocation is increasing, and is currently estimated at 2,000-3,000 patients in the U.S., Europe and Japan.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PD-1 Antagonism</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2017, we and MacroGenics, Inc. announced an exclusive global collaboration and license agreement for MacroGenics’ INCMGA0012, an investigational monoclonal antibody that inhibits PD-1. Under this collaboration, we obtained exclusive worldwide rights for the development and commercialization of INCMGA0012 in all indications. Enrollment in the dose escalation portion of the Phase I study of INCMGA0012 has been completed and the molecule is currently being evaluated as monotherapy across four solid tumor types in the dose expansion portion of the study. Registration-directed trials in MSI-high endometrial cancer, merkel cell carcinoma, and anal cancer were initiated in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PI3K-delta Inhibition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PI3K-delta pathway mediates oncogenic signaling in B cell malignancies. Parsaclisib (formerly INCB50465) is a PI3K-delta inhibitor that has demonstrated potency and selectivity in preclinical studies and has potential therapeutic utility in the treatment of patients with lymphoma. We initiated the CITADEL clinical program to evaluate parsaclisib in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non-Hodgkin lymphomas, and we are currently running Phase II trials in follicular lymphoma, marginal zone lymphoma and mantle cell lymphoma.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Indication</w:t>
            </w:r>
          </w:p>
        </w:tc>
        <w:tc>
          <w:tcPr>
            <w:tcW w:w="45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Status Update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Ruxolitinib</w:t>
            </w:r>
          </w:p>
        </w:tc>
        <w:tc>
          <w:tcPr>
            <w:tcW w:w="2700" w:type="dxa"/>
            <w:vAlign w:val="bottom"/>
            <w:shd w:val="clear" w:color="auto" w:fill="CCEEFF"/>
          </w:tcPr>
          <w:p>
            <w:pPr>
              <w:ind w:left="60"/>
              <w:spacing w:after="0" w:line="191" w:lineRule="exact"/>
              <w:rPr>
                <w:sz w:val="20"/>
                <w:szCs w:val="20"/>
                <w:color w:val="auto"/>
              </w:rPr>
            </w:pPr>
            <w:r>
              <w:rPr>
                <w:rFonts w:ascii="Arial" w:cs="Arial" w:eastAsia="Arial" w:hAnsi="Arial"/>
                <w:sz w:val="18"/>
                <w:szCs w:val="18"/>
                <w:color w:val="auto"/>
              </w:rPr>
              <w:t>Steroid-refractory acute GVHD</w:t>
            </w:r>
          </w:p>
        </w:tc>
        <w:tc>
          <w:tcPr>
            <w:tcW w:w="4560" w:type="dxa"/>
            <w:vAlign w:val="bottom"/>
            <w:shd w:val="clear" w:color="auto" w:fill="CCEEFF"/>
          </w:tcPr>
          <w:p>
            <w:pPr>
              <w:ind w:left="180"/>
              <w:spacing w:after="0" w:line="191" w:lineRule="exact"/>
              <w:rPr>
                <w:sz w:val="20"/>
                <w:szCs w:val="20"/>
                <w:color w:val="auto"/>
              </w:rPr>
            </w:pPr>
            <w:r>
              <w:rPr>
                <w:rFonts w:ascii="Arial" w:cs="Arial" w:eastAsia="Arial" w:hAnsi="Arial"/>
                <w:sz w:val="18"/>
                <w:szCs w:val="18"/>
                <w:color w:val="auto"/>
                <w:w w:val="96"/>
              </w:rPr>
              <w:t>sNDA accepted for Priority Review (based on REACH1),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700" w:type="dxa"/>
            <w:vAlign w:val="bottom"/>
            <w:shd w:val="clear" w:color="auto" w:fill="CCEEFF"/>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review period extended by three months; Phase III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(REACH2)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80" w:type="dxa"/>
            <w:vAlign w:val="bottom"/>
          </w:tcPr>
          <w:p>
            <w:pPr>
              <w:spacing w:after="0" w:line="198" w:lineRule="exact"/>
              <w:rPr>
                <w:sz w:val="20"/>
                <w:szCs w:val="20"/>
                <w:color w:val="auto"/>
              </w:rPr>
            </w:pPr>
            <w:r>
              <w:rPr>
                <w:rFonts w:ascii="Arial" w:cs="Arial" w:eastAsia="Arial" w:hAnsi="Arial"/>
                <w:sz w:val="18"/>
                <w:szCs w:val="18"/>
                <w:b w:val="1"/>
                <w:bCs w:val="1"/>
                <w:color w:val="auto"/>
              </w:rPr>
              <w:t>Ruxolitinib</w:t>
            </w:r>
          </w:p>
        </w:tc>
        <w:tc>
          <w:tcPr>
            <w:tcW w:w="2700" w:type="dxa"/>
            <w:vAlign w:val="bottom"/>
          </w:tcPr>
          <w:p>
            <w:pPr>
              <w:ind w:left="60"/>
              <w:spacing w:after="0" w:line="198" w:lineRule="exact"/>
              <w:rPr>
                <w:sz w:val="20"/>
                <w:szCs w:val="20"/>
                <w:color w:val="auto"/>
              </w:rPr>
            </w:pPr>
            <w:r>
              <w:rPr>
                <w:rFonts w:ascii="Arial" w:cs="Arial" w:eastAsia="Arial" w:hAnsi="Arial"/>
                <w:sz w:val="18"/>
                <w:szCs w:val="18"/>
                <w:color w:val="auto"/>
              </w:rPr>
              <w:t>Steroid-refractory chronic GVHD</w:t>
            </w:r>
          </w:p>
        </w:tc>
        <w:tc>
          <w:tcPr>
            <w:tcW w:w="4560" w:type="dxa"/>
            <w:vAlign w:val="bottom"/>
          </w:tcPr>
          <w:p>
            <w:pPr>
              <w:ind w:left="180"/>
              <w:spacing w:after="0" w:line="198" w:lineRule="exact"/>
              <w:rPr>
                <w:sz w:val="20"/>
                <w:szCs w:val="20"/>
                <w:color w:val="auto"/>
              </w:rPr>
            </w:pPr>
            <w:r>
              <w:rPr>
                <w:rFonts w:ascii="Arial" w:cs="Arial" w:eastAsia="Arial" w:hAnsi="Arial"/>
                <w:sz w:val="18"/>
                <w:szCs w:val="18"/>
                <w:color w:val="auto"/>
              </w:rPr>
              <w:t>Phase III (REACH3)</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(JAK1/JAK2)</w:t>
            </w:r>
          </w:p>
        </w:tc>
        <w:tc>
          <w:tcPr>
            <w:tcW w:w="27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Ruxolitinib</w:t>
            </w:r>
          </w:p>
        </w:tc>
        <w:tc>
          <w:tcPr>
            <w:tcW w:w="2700" w:type="dxa"/>
            <w:vAlign w:val="bottom"/>
            <w:shd w:val="clear" w:color="auto" w:fill="CCEEFF"/>
          </w:tcPr>
          <w:p>
            <w:pPr>
              <w:ind w:left="60"/>
              <w:spacing w:after="0" w:line="198" w:lineRule="exact"/>
              <w:rPr>
                <w:sz w:val="20"/>
                <w:szCs w:val="20"/>
                <w:color w:val="auto"/>
              </w:rPr>
            </w:pPr>
            <w:r>
              <w:rPr>
                <w:rFonts w:ascii="Arial" w:cs="Arial" w:eastAsia="Arial" w:hAnsi="Arial"/>
                <w:sz w:val="18"/>
                <w:szCs w:val="18"/>
                <w:color w:val="auto"/>
              </w:rPr>
              <w:t>Essential thrombocythemia</w:t>
            </w:r>
          </w:p>
        </w:tc>
        <w:tc>
          <w:tcPr>
            <w:tcW w:w="456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color w:val="auto"/>
              </w:rPr>
              <w:t>Phase II (RESET)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70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80" w:type="dxa"/>
            <w:vAlign w:val="bottom"/>
          </w:tcPr>
          <w:p>
            <w:pPr>
              <w:spacing w:after="0" w:line="198" w:lineRule="exact"/>
              <w:rPr>
                <w:sz w:val="20"/>
                <w:szCs w:val="20"/>
                <w:color w:val="auto"/>
              </w:rPr>
            </w:pPr>
            <w:r>
              <w:rPr>
                <w:rFonts w:ascii="Arial" w:cs="Arial" w:eastAsia="Arial" w:hAnsi="Arial"/>
                <w:sz w:val="18"/>
                <w:szCs w:val="18"/>
                <w:b w:val="1"/>
                <w:bCs w:val="1"/>
                <w:color w:val="auto"/>
              </w:rPr>
              <w:t>Ruxolitinib</w:t>
            </w:r>
          </w:p>
        </w:tc>
        <w:tc>
          <w:tcPr>
            <w:tcW w:w="2700" w:type="dxa"/>
            <w:vAlign w:val="bottom"/>
          </w:tcPr>
          <w:p>
            <w:pPr>
              <w:ind w:left="60"/>
              <w:spacing w:after="0" w:line="198" w:lineRule="exact"/>
              <w:rPr>
                <w:sz w:val="20"/>
                <w:szCs w:val="20"/>
                <w:color w:val="auto"/>
              </w:rPr>
            </w:pPr>
            <w:r>
              <w:rPr>
                <w:rFonts w:ascii="Arial" w:cs="Arial" w:eastAsia="Arial" w:hAnsi="Arial"/>
                <w:sz w:val="18"/>
                <w:szCs w:val="18"/>
                <w:color w:val="auto"/>
              </w:rPr>
              <w:t>Refractory myelofibrosis</w:t>
            </w:r>
          </w:p>
        </w:tc>
        <w:tc>
          <w:tcPr>
            <w:tcW w:w="4560" w:type="dxa"/>
            <w:vAlign w:val="bottom"/>
          </w:tcPr>
          <w:p>
            <w:pPr>
              <w:ind w:left="180"/>
              <w:spacing w:after="0" w:line="198" w:lineRule="exact"/>
              <w:rPr>
                <w:sz w:val="20"/>
                <w:szCs w:val="20"/>
                <w:color w:val="auto"/>
              </w:rPr>
            </w:pPr>
            <w:r>
              <w:rPr>
                <w:rFonts w:ascii="Arial" w:cs="Arial" w:eastAsia="Arial" w:hAnsi="Arial"/>
                <w:sz w:val="18"/>
                <w:szCs w:val="18"/>
                <w:color w:val="auto"/>
              </w:rPr>
              <w:t>Phase II in combination with parsaclisib (PI3Kδ),</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(JAK1/JAK2)</w:t>
            </w:r>
          </w:p>
        </w:tc>
        <w:tc>
          <w:tcPr>
            <w:tcW w:w="270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INCB53914 (PIM), or itacitinib (JAK1)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Itacitinib (JAK1)</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Treatment-naïve acute GVHD</w:t>
            </w: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Phase III (GRAVITAS-301)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Itacitinib (JAK1)</w:t>
            </w:r>
          </w:p>
        </w:tc>
        <w:tc>
          <w:tcPr>
            <w:tcW w:w="2700" w:type="dxa"/>
            <w:vAlign w:val="bottom"/>
          </w:tcPr>
          <w:p>
            <w:pPr>
              <w:ind w:left="60"/>
              <w:spacing w:after="0"/>
              <w:rPr>
                <w:sz w:val="20"/>
                <w:szCs w:val="20"/>
                <w:color w:val="auto"/>
              </w:rPr>
            </w:pPr>
            <w:r>
              <w:rPr>
                <w:rFonts w:ascii="Arial" w:cs="Arial" w:eastAsia="Arial" w:hAnsi="Arial"/>
                <w:sz w:val="18"/>
                <w:szCs w:val="18"/>
                <w:color w:val="auto"/>
              </w:rPr>
              <w:t>Treatment-naïve chronic GVHD</w:t>
            </w:r>
          </w:p>
        </w:tc>
        <w:tc>
          <w:tcPr>
            <w:tcW w:w="4560" w:type="dxa"/>
            <w:vAlign w:val="bottom"/>
          </w:tcPr>
          <w:p>
            <w:pPr>
              <w:ind w:left="180"/>
              <w:spacing w:after="0"/>
              <w:rPr>
                <w:sz w:val="20"/>
                <w:szCs w:val="20"/>
                <w:color w:val="auto"/>
              </w:rPr>
            </w:pPr>
            <w:r>
              <w:rPr>
                <w:rFonts w:ascii="Arial" w:cs="Arial" w:eastAsia="Arial" w:hAnsi="Arial"/>
                <w:sz w:val="18"/>
                <w:szCs w:val="18"/>
                <w:color w:val="auto"/>
              </w:rPr>
              <w:t>Phase III (GRAVITAS-309)</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Itacitinib (JAK1)</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NSCLC</w:t>
            </w: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Phase I/II in combination with osimertinib (EGFR)</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80" w:type="dxa"/>
            <w:vAlign w:val="bottom"/>
          </w:tcPr>
          <w:p>
            <w:pPr>
              <w:spacing w:after="0" w:line="198" w:lineRule="exact"/>
              <w:rPr>
                <w:sz w:val="20"/>
                <w:szCs w:val="20"/>
                <w:color w:val="auto"/>
              </w:rPr>
            </w:pPr>
            <w:r>
              <w:rPr>
                <w:rFonts w:ascii="Arial" w:cs="Arial" w:eastAsia="Arial" w:hAnsi="Arial"/>
                <w:sz w:val="18"/>
                <w:szCs w:val="18"/>
                <w:b w:val="1"/>
                <w:bCs w:val="1"/>
                <w:color w:val="auto"/>
              </w:rPr>
              <w:t>Pemigatinib</w:t>
            </w:r>
          </w:p>
        </w:tc>
        <w:tc>
          <w:tcPr>
            <w:tcW w:w="2700" w:type="dxa"/>
            <w:vAlign w:val="bottom"/>
          </w:tcPr>
          <w:p>
            <w:pPr>
              <w:ind w:left="60"/>
              <w:spacing w:after="0" w:line="198" w:lineRule="exact"/>
              <w:rPr>
                <w:sz w:val="20"/>
                <w:szCs w:val="20"/>
                <w:color w:val="auto"/>
              </w:rPr>
            </w:pPr>
            <w:r>
              <w:rPr>
                <w:rFonts w:ascii="Arial" w:cs="Arial" w:eastAsia="Arial" w:hAnsi="Arial"/>
                <w:sz w:val="18"/>
                <w:szCs w:val="18"/>
                <w:color w:val="auto"/>
              </w:rPr>
              <w:t>Bladder cancer</w:t>
            </w:r>
          </w:p>
        </w:tc>
        <w:tc>
          <w:tcPr>
            <w:tcW w:w="4560" w:type="dxa"/>
            <w:vAlign w:val="bottom"/>
          </w:tcPr>
          <w:p>
            <w:pPr>
              <w:ind w:left="180"/>
              <w:spacing w:after="0" w:line="198" w:lineRule="exact"/>
              <w:rPr>
                <w:sz w:val="20"/>
                <w:szCs w:val="20"/>
                <w:color w:val="auto"/>
              </w:rPr>
            </w:pPr>
            <w:r>
              <w:rPr>
                <w:rFonts w:ascii="Arial" w:cs="Arial" w:eastAsia="Arial" w:hAnsi="Arial"/>
                <w:sz w:val="18"/>
                <w:szCs w:val="18"/>
                <w:color w:val="auto"/>
              </w:rPr>
              <w:t>Phase II (FIGHT-201)</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(FGFR1/2/3)</w:t>
            </w:r>
          </w:p>
        </w:tc>
        <w:tc>
          <w:tcPr>
            <w:tcW w:w="27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Pemigatinib</w:t>
            </w:r>
          </w:p>
        </w:tc>
        <w:tc>
          <w:tcPr>
            <w:tcW w:w="2700" w:type="dxa"/>
            <w:vAlign w:val="bottom"/>
            <w:shd w:val="clear" w:color="auto" w:fill="CCEEFF"/>
          </w:tcPr>
          <w:p>
            <w:pPr>
              <w:ind w:left="60"/>
              <w:spacing w:after="0" w:line="198" w:lineRule="exact"/>
              <w:rPr>
                <w:sz w:val="20"/>
                <w:szCs w:val="20"/>
                <w:color w:val="auto"/>
              </w:rPr>
            </w:pPr>
            <w:r>
              <w:rPr>
                <w:rFonts w:ascii="Arial" w:cs="Arial" w:eastAsia="Arial" w:hAnsi="Arial"/>
                <w:sz w:val="18"/>
                <w:szCs w:val="18"/>
                <w:color w:val="auto"/>
              </w:rPr>
              <w:t>Cholangiocarcinoma</w:t>
            </w:r>
          </w:p>
        </w:tc>
        <w:tc>
          <w:tcPr>
            <w:tcW w:w="456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color w:val="auto"/>
              </w:rPr>
              <w:t>Phase II (FIGHT-202); Phase III (FIGHT-302) now</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(FGFR1/2/3)</w:t>
            </w:r>
          </w:p>
        </w:tc>
        <w:tc>
          <w:tcPr>
            <w:tcW w:w="2700" w:type="dxa"/>
            <w:vAlign w:val="bottom"/>
            <w:shd w:val="clear" w:color="auto" w:fill="CCEEFF"/>
          </w:tcPr>
          <w:p>
            <w:pPr>
              <w:spacing w:after="0"/>
              <w:rPr>
                <w:sz w:val="20"/>
                <w:szCs w:val="20"/>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recruiting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80" w:type="dxa"/>
            <w:vAlign w:val="bottom"/>
          </w:tcPr>
          <w:p>
            <w:pPr>
              <w:spacing w:after="0" w:line="198" w:lineRule="exact"/>
              <w:rPr>
                <w:sz w:val="20"/>
                <w:szCs w:val="20"/>
                <w:color w:val="auto"/>
              </w:rPr>
            </w:pPr>
            <w:r>
              <w:rPr>
                <w:rFonts w:ascii="Arial" w:cs="Arial" w:eastAsia="Arial" w:hAnsi="Arial"/>
                <w:sz w:val="18"/>
                <w:szCs w:val="18"/>
                <w:b w:val="1"/>
                <w:bCs w:val="1"/>
                <w:color w:val="auto"/>
              </w:rPr>
              <w:t>Pemigatinib</w:t>
            </w:r>
          </w:p>
        </w:tc>
        <w:tc>
          <w:tcPr>
            <w:tcW w:w="2700" w:type="dxa"/>
            <w:vAlign w:val="bottom"/>
          </w:tcPr>
          <w:p>
            <w:pPr>
              <w:ind w:left="60"/>
              <w:spacing w:after="0" w:line="198" w:lineRule="exact"/>
              <w:rPr>
                <w:sz w:val="20"/>
                <w:szCs w:val="20"/>
                <w:color w:val="auto"/>
              </w:rPr>
            </w:pPr>
            <w:r>
              <w:rPr>
                <w:rFonts w:ascii="Arial" w:cs="Arial" w:eastAsia="Arial" w:hAnsi="Arial"/>
                <w:sz w:val="18"/>
                <w:szCs w:val="18"/>
                <w:color w:val="auto"/>
              </w:rPr>
              <w:t>8p11 MPN</w:t>
            </w:r>
          </w:p>
        </w:tc>
        <w:tc>
          <w:tcPr>
            <w:tcW w:w="4560" w:type="dxa"/>
            <w:vAlign w:val="bottom"/>
          </w:tcPr>
          <w:p>
            <w:pPr>
              <w:ind w:left="180"/>
              <w:spacing w:after="0" w:line="198" w:lineRule="exact"/>
              <w:rPr>
                <w:sz w:val="20"/>
                <w:szCs w:val="20"/>
                <w:color w:val="auto"/>
              </w:rPr>
            </w:pPr>
            <w:r>
              <w:rPr>
                <w:rFonts w:ascii="Arial" w:cs="Arial" w:eastAsia="Arial" w:hAnsi="Arial"/>
                <w:sz w:val="18"/>
                <w:szCs w:val="18"/>
                <w:color w:val="auto"/>
              </w:rPr>
              <w:t>Phase II (FIGHT-203)</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(FGFR1/2/3)</w:t>
            </w:r>
          </w:p>
        </w:tc>
        <w:tc>
          <w:tcPr>
            <w:tcW w:w="27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Pemigatinib</w:t>
            </w:r>
          </w:p>
        </w:tc>
        <w:tc>
          <w:tcPr>
            <w:tcW w:w="7260" w:type="dxa"/>
            <w:vAlign w:val="bottom"/>
            <w:gridSpan w:val="2"/>
            <w:shd w:val="clear" w:color="auto" w:fill="CCEEFF"/>
          </w:tcPr>
          <w:p>
            <w:pPr>
              <w:ind w:left="60"/>
              <w:spacing w:after="0" w:line="198" w:lineRule="exact"/>
              <w:rPr>
                <w:sz w:val="20"/>
                <w:szCs w:val="20"/>
                <w:color w:val="auto"/>
              </w:rPr>
            </w:pPr>
            <w:r>
              <w:rPr>
                <w:rFonts w:ascii="Arial" w:cs="Arial" w:eastAsia="Arial" w:hAnsi="Arial"/>
                <w:sz w:val="18"/>
                <w:szCs w:val="18"/>
                <w:color w:val="auto"/>
              </w:rPr>
              <w:t>Solid tumors with driver activations of Pivotal program in preparation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(FGFR1/2/3)</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FGF/FGFR</w:t>
            </w:r>
          </w:p>
        </w:tc>
        <w:tc>
          <w:tcPr>
            <w:tcW w:w="4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Arial" w:cs="Arial" w:eastAsia="Arial" w:hAnsi="Arial"/>
                <w:sz w:val="18"/>
                <w:szCs w:val="18"/>
                <w:b w:val="1"/>
                <w:bCs w:val="1"/>
                <w:color w:val="auto"/>
              </w:rPr>
              <w:t>INCMGA0012 (PD-1)</w:t>
            </w:r>
            <w:r>
              <w:rPr>
                <w:rFonts w:ascii="Arial" w:cs="Arial" w:eastAsia="Arial" w:hAnsi="Arial"/>
                <w:sz w:val="8"/>
                <w:szCs w:val="8"/>
                <w:b w:val="1"/>
                <w:bCs w:val="1"/>
                <w:color w:val="auto"/>
              </w:rPr>
              <w:t>1</w:t>
            </w:r>
          </w:p>
        </w:tc>
        <w:tc>
          <w:tcPr>
            <w:tcW w:w="2700" w:type="dxa"/>
            <w:vAlign w:val="bottom"/>
          </w:tcPr>
          <w:p>
            <w:pPr>
              <w:ind w:left="60"/>
              <w:spacing w:after="0" w:line="201" w:lineRule="exact"/>
              <w:rPr>
                <w:sz w:val="20"/>
                <w:szCs w:val="20"/>
                <w:color w:val="auto"/>
              </w:rPr>
            </w:pPr>
            <w:r>
              <w:rPr>
                <w:rFonts w:ascii="Arial" w:cs="Arial" w:eastAsia="Arial" w:hAnsi="Arial"/>
                <w:sz w:val="18"/>
                <w:szCs w:val="18"/>
                <w:color w:val="auto"/>
              </w:rPr>
              <w:t>Solid tumors</w:t>
            </w:r>
          </w:p>
        </w:tc>
        <w:tc>
          <w:tcPr>
            <w:tcW w:w="4560" w:type="dxa"/>
            <w:vAlign w:val="bottom"/>
          </w:tcPr>
          <w:p>
            <w:pPr>
              <w:ind w:left="180"/>
              <w:spacing w:after="0" w:line="201" w:lineRule="exact"/>
              <w:rPr>
                <w:sz w:val="20"/>
                <w:szCs w:val="20"/>
                <w:color w:val="auto"/>
              </w:rPr>
            </w:pPr>
            <w:r>
              <w:rPr>
                <w:rFonts w:ascii="Arial" w:cs="Arial" w:eastAsia="Arial" w:hAnsi="Arial"/>
                <w:sz w:val="18"/>
                <w:szCs w:val="18"/>
                <w:color w:val="auto"/>
                <w:w w:val="97"/>
              </w:rPr>
              <w:t>Phase II trials (MSI-high endometrial cancer, merkel cell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carcinoma, anal cancer)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Parsaclisib (PI3Kδ)</w:t>
            </w:r>
          </w:p>
        </w:tc>
        <w:tc>
          <w:tcPr>
            <w:tcW w:w="27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Non-Hodgkin lymphoma</w:t>
            </w:r>
          </w:p>
        </w:tc>
        <w:tc>
          <w:tcPr>
            <w:tcW w:w="4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Phase II (CITADEL-203, follicular lymphoma); (CITADEL-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204, marginal zone lymphoma); (CITADEL-205, mantel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Borders>
              <w:bottom w:val="single" w:sz="8" w:color="auto"/>
            </w:tcBorders>
            <w:shd w:val="clear" w:color="auto" w:fill="CCEEFF"/>
          </w:tcPr>
          <w:p>
            <w:pPr>
              <w:spacing w:after="0"/>
              <w:rPr>
                <w:sz w:val="20"/>
                <w:szCs w:val="20"/>
                <w:color w:val="auto"/>
              </w:rPr>
            </w:pPr>
          </w:p>
        </w:tc>
        <w:tc>
          <w:tcPr>
            <w:tcW w:w="2700" w:type="dxa"/>
            <w:vAlign w:val="bottom"/>
            <w:tcBorders>
              <w:bottom w:val="single" w:sz="8" w:color="auto"/>
            </w:tcBorders>
            <w:shd w:val="clear" w:color="auto" w:fill="CCEEFF"/>
          </w:tcPr>
          <w:p>
            <w:pPr>
              <w:spacing w:after="0"/>
              <w:rPr>
                <w:sz w:val="20"/>
                <w:szCs w:val="20"/>
                <w:color w:val="auto"/>
              </w:rPr>
            </w:pPr>
          </w:p>
        </w:tc>
        <w:tc>
          <w:tcPr>
            <w:tcW w:w="4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cell lymphoma)</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hanging="117"/>
        <w:spacing w:after="0"/>
        <w:tabs>
          <w:tab w:leader="none" w:pos="120" w:val="left"/>
        </w:tabs>
        <w:numPr>
          <w:ilvl w:val="0"/>
          <w:numId w:val="7"/>
        </w:numPr>
        <w:rPr>
          <w:rFonts w:ascii="Arial" w:cs="Arial" w:eastAsia="Arial" w:hAnsi="Arial"/>
          <w:sz w:val="9"/>
          <w:szCs w:val="9"/>
          <w:color w:val="auto"/>
        </w:rPr>
      </w:pPr>
      <w:r>
        <w:rPr>
          <w:rFonts w:ascii="Arial" w:cs="Arial" w:eastAsia="Arial" w:hAnsi="Arial"/>
          <w:sz w:val="18"/>
          <w:szCs w:val="18"/>
          <w:color w:val="auto"/>
        </w:rPr>
        <w:t>INCMGA0012 licensed from MacroGenics.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Programs</w:t>
      </w:r>
    </w:p>
    <w:p>
      <w:pPr>
        <w:spacing w:after="0" w:line="225"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We also have a number of other earlier-stage clinical programs, as detailed in the table below. We intend to describe these programs more fully if we obtain clinical proof</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concept and establish that a program warrants further development in a specific indication or group of indications.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Small molecules</w:t>
            </w:r>
          </w:p>
        </w:tc>
        <w:tc>
          <w:tcPr>
            <w:tcW w:w="30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Monoclonal antibodies</w:t>
            </w:r>
          </w:p>
        </w:tc>
        <w:tc>
          <w:tcPr>
            <w:tcW w:w="36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b w:val="1"/>
                <w:bCs w:val="1"/>
                <w:color w:val="auto"/>
              </w:rPr>
              <w:t>Bispecific antibodies</w:t>
            </w: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INCB53914 (PIM)</w:t>
            </w:r>
          </w:p>
        </w:tc>
        <w:tc>
          <w:tcPr>
            <w:tcW w:w="3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INCAGN1876 (GITR)</w:t>
            </w:r>
            <w:r>
              <w:rPr>
                <w:rFonts w:ascii="Arial" w:cs="Arial" w:eastAsia="Arial" w:hAnsi="Arial"/>
                <w:sz w:val="8"/>
                <w:szCs w:val="8"/>
                <w:color w:val="auto"/>
              </w:rPr>
              <w:t>2</w:t>
            </w:r>
          </w:p>
        </w:tc>
        <w:tc>
          <w:tcPr>
            <w:tcW w:w="36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MCLA-145 (PD-L1xCD137)</w:t>
            </w:r>
            <w:r>
              <w:rPr>
                <w:rFonts w:ascii="Arial" w:cs="Arial" w:eastAsia="Arial" w:hAnsi="Arial"/>
                <w:sz w:val="8"/>
                <w:szCs w:val="8"/>
                <w:color w:val="auto"/>
              </w:rPr>
              <w:t>3</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INCB59872 (LSD1)</w:t>
            </w:r>
          </w:p>
        </w:tc>
        <w:tc>
          <w:tcPr>
            <w:tcW w:w="3000" w:type="dxa"/>
            <w:vAlign w:val="bottom"/>
          </w:tcPr>
          <w:p>
            <w:pPr>
              <w:ind w:left="580"/>
              <w:spacing w:after="0"/>
              <w:rPr>
                <w:sz w:val="20"/>
                <w:szCs w:val="20"/>
                <w:color w:val="auto"/>
              </w:rPr>
            </w:pPr>
            <w:r>
              <w:rPr>
                <w:rFonts w:ascii="Arial" w:cs="Arial" w:eastAsia="Arial" w:hAnsi="Arial"/>
                <w:sz w:val="18"/>
                <w:szCs w:val="18"/>
                <w:color w:val="auto"/>
              </w:rPr>
              <w:t>INCAGN1949 (OX40)</w:t>
            </w:r>
            <w:r>
              <w:rPr>
                <w:rFonts w:ascii="Arial" w:cs="Arial" w:eastAsia="Arial" w:hAnsi="Arial"/>
                <w:sz w:val="8"/>
                <w:szCs w:val="8"/>
                <w:color w:val="auto"/>
              </w:rPr>
              <w:t>2</w:t>
            </w:r>
          </w:p>
        </w:tc>
        <w:tc>
          <w:tcPr>
            <w:tcW w:w="362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INCB62079 (FGFR4)</w:t>
            </w:r>
          </w:p>
        </w:tc>
        <w:tc>
          <w:tcPr>
            <w:tcW w:w="3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INCAGN2390 (TIM-3)</w:t>
            </w:r>
            <w:r>
              <w:rPr>
                <w:rFonts w:ascii="Arial" w:cs="Arial" w:eastAsia="Arial" w:hAnsi="Arial"/>
                <w:sz w:val="8"/>
                <w:szCs w:val="8"/>
                <w:color w:val="auto"/>
              </w:rPr>
              <w:t>2</w:t>
            </w:r>
          </w:p>
        </w:tc>
        <w:tc>
          <w:tcPr>
            <w:tcW w:w="362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INCB81776 (AXL/MER)</w:t>
            </w:r>
          </w:p>
        </w:tc>
        <w:tc>
          <w:tcPr>
            <w:tcW w:w="3000" w:type="dxa"/>
            <w:vAlign w:val="bottom"/>
          </w:tcPr>
          <w:p>
            <w:pPr>
              <w:ind w:left="580"/>
              <w:spacing w:after="0"/>
              <w:rPr>
                <w:sz w:val="20"/>
                <w:szCs w:val="20"/>
                <w:color w:val="auto"/>
              </w:rPr>
            </w:pPr>
            <w:r>
              <w:rPr>
                <w:rFonts w:ascii="Arial" w:cs="Arial" w:eastAsia="Arial" w:hAnsi="Arial"/>
                <w:sz w:val="18"/>
                <w:szCs w:val="18"/>
                <w:color w:val="auto"/>
              </w:rPr>
              <w:t>INCAGN2385 (LAG-3)</w:t>
            </w:r>
            <w:r>
              <w:rPr>
                <w:rFonts w:ascii="Arial" w:cs="Arial" w:eastAsia="Arial" w:hAnsi="Arial"/>
                <w:sz w:val="8"/>
                <w:szCs w:val="8"/>
                <w:color w:val="auto"/>
              </w:rPr>
              <w:t>2</w:t>
            </w:r>
          </w:p>
        </w:tc>
        <w:tc>
          <w:tcPr>
            <w:tcW w:w="362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INCB01158 (ARG)</w:t>
            </w:r>
            <w:r>
              <w:rPr>
                <w:rFonts w:ascii="Arial" w:cs="Arial" w:eastAsia="Arial" w:hAnsi="Arial"/>
                <w:sz w:val="8"/>
                <w:szCs w:val="8"/>
                <w:color w:val="auto"/>
              </w:rPr>
              <w:t>1</w:t>
            </w:r>
          </w:p>
        </w:tc>
        <w:tc>
          <w:tcPr>
            <w:tcW w:w="30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Epacadostat (IDO1)</w:t>
            </w:r>
          </w:p>
        </w:tc>
        <w:tc>
          <w:tcPr>
            <w:tcW w:w="300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6"/>
        </w:trPr>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INCB86550 (PD-L1)</w:t>
            </w:r>
          </w:p>
        </w:tc>
        <w:tc>
          <w:tcPr>
            <w:tcW w:w="3000" w:type="dxa"/>
            <w:vAlign w:val="bottom"/>
            <w:tcBorders>
              <w:bottom w:val="single" w:sz="8" w:color="auto"/>
            </w:tcBorders>
            <w:shd w:val="clear" w:color="auto" w:fill="CCEEFF"/>
          </w:tcPr>
          <w:p>
            <w:pPr>
              <w:spacing w:after="0"/>
              <w:rPr>
                <w:sz w:val="18"/>
                <w:szCs w:val="18"/>
                <w:color w:val="auto"/>
              </w:rPr>
            </w:pPr>
          </w:p>
        </w:tc>
        <w:tc>
          <w:tcPr>
            <w:tcW w:w="3620" w:type="dxa"/>
            <w:vAlign w:val="bottom"/>
            <w:tcBorders>
              <w:bottom w:val="single" w:sz="8" w:color="auto"/>
            </w:tcBorders>
            <w:shd w:val="clear" w:color="auto" w:fill="CCEEFF"/>
          </w:tcPr>
          <w:p>
            <w:pPr>
              <w:spacing w:after="0"/>
              <w:rPr>
                <w:sz w:val="18"/>
                <w:szCs w:val="18"/>
                <w:color w:val="auto"/>
              </w:rPr>
            </w:pPr>
          </w:p>
        </w:tc>
      </w:tr>
    </w:tbl>
    <w:p>
      <w:pPr>
        <w:spacing w:after="0" w:line="202" w:lineRule="exact"/>
        <w:rPr>
          <w:sz w:val="20"/>
          <w:szCs w:val="20"/>
          <w:color w:val="auto"/>
        </w:rPr>
      </w:pPr>
    </w:p>
    <w:p>
      <w:pPr>
        <w:ind w:left="120" w:hanging="117"/>
        <w:spacing w:after="0"/>
        <w:tabs>
          <w:tab w:leader="none" w:pos="120" w:val="left"/>
        </w:tabs>
        <w:numPr>
          <w:ilvl w:val="0"/>
          <w:numId w:val="8"/>
        </w:numPr>
        <w:rPr>
          <w:rFonts w:ascii="Arial" w:cs="Arial" w:eastAsia="Arial" w:hAnsi="Arial"/>
          <w:sz w:val="9"/>
          <w:szCs w:val="9"/>
          <w:color w:val="auto"/>
        </w:rPr>
      </w:pPr>
      <w:r>
        <w:rPr>
          <w:rFonts w:ascii="Arial" w:cs="Arial" w:eastAsia="Arial" w:hAnsi="Arial"/>
          <w:sz w:val="18"/>
          <w:szCs w:val="18"/>
          <w:color w:val="auto"/>
        </w:rPr>
        <w:t>INCB01158 development in collaboration with Calithera Biosciences, Inc.</w:t>
      </w:r>
    </w:p>
    <w:p>
      <w:pPr>
        <w:spacing w:after="0" w:line="23" w:lineRule="exact"/>
        <w:rPr>
          <w:rFonts w:ascii="Arial" w:cs="Arial" w:eastAsia="Arial" w:hAnsi="Arial"/>
          <w:sz w:val="9"/>
          <w:szCs w:val="9"/>
          <w:color w:val="auto"/>
        </w:rPr>
      </w:pPr>
    </w:p>
    <w:p>
      <w:pPr>
        <w:ind w:left="120" w:hanging="117"/>
        <w:spacing w:after="0"/>
        <w:tabs>
          <w:tab w:leader="none" w:pos="120" w:val="left"/>
        </w:tabs>
        <w:numPr>
          <w:ilvl w:val="0"/>
          <w:numId w:val="8"/>
        </w:numPr>
        <w:rPr>
          <w:rFonts w:ascii="Arial" w:cs="Arial" w:eastAsia="Arial" w:hAnsi="Arial"/>
          <w:sz w:val="9"/>
          <w:szCs w:val="9"/>
          <w:color w:val="auto"/>
        </w:rPr>
      </w:pPr>
      <w:r>
        <w:rPr>
          <w:rFonts w:ascii="Arial" w:cs="Arial" w:eastAsia="Arial" w:hAnsi="Arial"/>
          <w:sz w:val="18"/>
          <w:szCs w:val="18"/>
          <w:color w:val="auto"/>
        </w:rPr>
        <w:t>Discovery collaboration with Agenus Inc.</w:t>
      </w:r>
    </w:p>
    <w:p>
      <w:pPr>
        <w:spacing w:after="0" w:line="9" w:lineRule="exact"/>
        <w:rPr>
          <w:rFonts w:ascii="Arial" w:cs="Arial" w:eastAsia="Arial" w:hAnsi="Arial"/>
          <w:sz w:val="9"/>
          <w:szCs w:val="9"/>
          <w:color w:val="auto"/>
        </w:rPr>
      </w:pPr>
    </w:p>
    <w:p>
      <w:pPr>
        <w:ind w:left="120" w:hanging="117"/>
        <w:spacing w:after="0"/>
        <w:tabs>
          <w:tab w:leader="none" w:pos="120" w:val="left"/>
        </w:tabs>
        <w:numPr>
          <w:ilvl w:val="0"/>
          <w:numId w:val="8"/>
        </w:numPr>
        <w:rPr>
          <w:rFonts w:ascii="Arial" w:cs="Arial" w:eastAsia="Arial" w:hAnsi="Arial"/>
          <w:sz w:val="9"/>
          <w:szCs w:val="9"/>
          <w:color w:val="auto"/>
        </w:rPr>
      </w:pPr>
      <w:r>
        <w:rPr>
          <w:rFonts w:ascii="Arial" w:cs="Arial" w:eastAsia="Arial" w:hAnsi="Arial"/>
          <w:sz w:val="18"/>
          <w:szCs w:val="18"/>
          <w:color w:val="auto"/>
        </w:rPr>
        <w:t>MCLA-145 development in collaboration with Merus N.V.</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outside Oncology</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June 2018, we announced that a Phase II trial of ruxolitinib cream for the topical treatment of atopic dermatitis showed a significant benefit over vehicle control and a global, pivotal Phase III program was initiated in December 2018. Atopic dermatitis is a skin disorder that causes the skin to become red, scaly, and itchy. Onset can occur at any age, but is much more common in infants and children. United States and European prevalence are estimated at 10.3 million patients and 6.5 million patients, respectively. A Phase II trial of ruxolitinib cream in patients with vitiligo, a long term skin condition characterized by patches of the skin losing their pigment, was initiated in June 2017.</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Phase II trial of INCB54707, a JAK1 selective inhibitor, is ongoing in patients with hidradenitis suppurativa, an inflammatory skin disease.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Phase II trial of itacitinib, a JAK1 selective inhibitor, has been initiated in patients with ulcerative colitis.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Phase II trials of parsaclisib, a PI3Kδ inhibitor, in pemphigus vulgaris, autoimmune hemolytic anemia and Sjögren's syndrome are all underway.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5754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28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Indication</w:t>
            </w:r>
          </w:p>
        </w:tc>
        <w:tc>
          <w:tcPr>
            <w:tcW w:w="4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Status Update</w:t>
            </w:r>
          </w:p>
        </w:tc>
      </w:tr>
      <w:tr>
        <w:trPr>
          <w:trHeight w:val="22"/>
        </w:trPr>
        <w:tc>
          <w:tcPr>
            <w:tcW w:w="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Ruxolitinib cream</w:t>
            </w:r>
            <w:r>
              <w:rPr>
                <w:rFonts w:ascii="Arial" w:cs="Arial" w:eastAsia="Arial" w:hAnsi="Arial"/>
                <w:sz w:val="18"/>
                <w:szCs w:val="18"/>
                <w:b w:val="1"/>
                <w:bCs w:val="1"/>
                <w:color w:val="auto"/>
                <w:vertAlign w:val="superscript"/>
              </w:rPr>
              <w:t>1</w:t>
            </w:r>
          </w:p>
        </w:tc>
        <w:tc>
          <w:tcPr>
            <w:tcW w:w="2800" w:type="dxa"/>
            <w:vAlign w:val="bottom"/>
            <w:shd w:val="clear" w:color="auto" w:fill="CCEEFF"/>
          </w:tcPr>
          <w:p>
            <w:pPr>
              <w:ind w:left="340"/>
              <w:spacing w:after="0" w:line="191" w:lineRule="exact"/>
              <w:rPr>
                <w:sz w:val="20"/>
                <w:szCs w:val="20"/>
                <w:color w:val="auto"/>
              </w:rPr>
            </w:pPr>
            <w:r>
              <w:rPr>
                <w:rFonts w:ascii="Arial" w:cs="Arial" w:eastAsia="Arial" w:hAnsi="Arial"/>
                <w:sz w:val="18"/>
                <w:szCs w:val="18"/>
                <w:color w:val="auto"/>
              </w:rPr>
              <w:t>Atopic dermatitis</w:t>
            </w:r>
          </w:p>
        </w:tc>
        <w:tc>
          <w:tcPr>
            <w:tcW w:w="4400" w:type="dxa"/>
            <w:vAlign w:val="bottom"/>
            <w:shd w:val="clear" w:color="auto" w:fill="CCEEFF"/>
          </w:tcPr>
          <w:p>
            <w:pPr>
              <w:ind w:left="40"/>
              <w:spacing w:after="0" w:line="191" w:lineRule="exact"/>
              <w:rPr>
                <w:sz w:val="20"/>
                <w:szCs w:val="20"/>
                <w:color w:val="auto"/>
              </w:rPr>
            </w:pPr>
            <w:r>
              <w:rPr>
                <w:rFonts w:ascii="Arial" w:cs="Arial" w:eastAsia="Arial" w:hAnsi="Arial"/>
                <w:sz w:val="18"/>
                <w:szCs w:val="18"/>
                <w:color w:val="auto"/>
              </w:rPr>
              <w:t>Phase III</w:t>
            </w:r>
          </w:p>
        </w:tc>
      </w:tr>
      <w:tr>
        <w:trPr>
          <w:trHeight w:val="234"/>
        </w:trPr>
        <w:tc>
          <w:tcPr>
            <w:tcW w:w="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80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line="198" w:lineRule="exact"/>
              <w:rPr>
                <w:sz w:val="20"/>
                <w:szCs w:val="20"/>
                <w:color w:val="auto"/>
              </w:rPr>
            </w:pPr>
            <w:r>
              <w:rPr>
                <w:rFonts w:ascii="Arial" w:cs="Arial" w:eastAsia="Arial" w:hAnsi="Arial"/>
                <w:sz w:val="18"/>
                <w:szCs w:val="18"/>
                <w:b w:val="1"/>
                <w:bCs w:val="1"/>
                <w:color w:val="auto"/>
              </w:rPr>
              <w:t>Ruxolitinib cream</w:t>
            </w:r>
            <w:r>
              <w:rPr>
                <w:rFonts w:ascii="Arial" w:cs="Arial" w:eastAsia="Arial" w:hAnsi="Arial"/>
                <w:sz w:val="18"/>
                <w:szCs w:val="18"/>
                <w:b w:val="1"/>
                <w:bCs w:val="1"/>
                <w:color w:val="auto"/>
                <w:vertAlign w:val="superscript"/>
              </w:rPr>
              <w:t>1</w:t>
            </w:r>
          </w:p>
        </w:tc>
        <w:tc>
          <w:tcPr>
            <w:tcW w:w="2800" w:type="dxa"/>
            <w:vAlign w:val="bottom"/>
          </w:tcPr>
          <w:p>
            <w:pPr>
              <w:ind w:left="340"/>
              <w:spacing w:after="0" w:line="198" w:lineRule="exact"/>
              <w:rPr>
                <w:sz w:val="20"/>
                <w:szCs w:val="20"/>
                <w:color w:val="auto"/>
              </w:rPr>
            </w:pPr>
            <w:r>
              <w:rPr>
                <w:rFonts w:ascii="Arial" w:cs="Arial" w:eastAsia="Arial" w:hAnsi="Arial"/>
                <w:sz w:val="18"/>
                <w:szCs w:val="18"/>
                <w:color w:val="auto"/>
              </w:rPr>
              <w:t>Vitiligo</w:t>
            </w:r>
          </w:p>
        </w:tc>
        <w:tc>
          <w:tcPr>
            <w:tcW w:w="4400" w:type="dxa"/>
            <w:vAlign w:val="bottom"/>
          </w:tcPr>
          <w:p>
            <w:pPr>
              <w:ind w:left="40"/>
              <w:spacing w:after="0" w:line="198" w:lineRule="exact"/>
              <w:rPr>
                <w:sz w:val="20"/>
                <w:szCs w:val="20"/>
                <w:color w:val="auto"/>
              </w:rPr>
            </w:pPr>
            <w:r>
              <w:rPr>
                <w:rFonts w:ascii="Arial" w:cs="Arial" w:eastAsia="Arial" w:hAnsi="Arial"/>
                <w:sz w:val="18"/>
                <w:szCs w:val="18"/>
                <w:color w:val="auto"/>
              </w:rPr>
              <w:t>Phase II; Phase III in preparation</w:t>
            </w:r>
          </w:p>
        </w:tc>
      </w:tr>
      <w:tr>
        <w:trPr>
          <w:trHeight w:val="234"/>
        </w:trPr>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(JAK1/JAK2)</w:t>
            </w:r>
          </w:p>
        </w:tc>
        <w:tc>
          <w:tcPr>
            <w:tcW w:w="28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INCB54707 (JAK1)</w:t>
            </w:r>
          </w:p>
        </w:tc>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Hidradenitis suppurativa</w:t>
            </w:r>
          </w:p>
        </w:tc>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Phase II</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b w:val="1"/>
                <w:bCs w:val="1"/>
                <w:color w:val="auto"/>
              </w:rPr>
              <w:t>Itacitinib (JAK1)</w:t>
            </w:r>
          </w:p>
        </w:tc>
        <w:tc>
          <w:tcPr>
            <w:tcW w:w="2800" w:type="dxa"/>
            <w:vAlign w:val="bottom"/>
          </w:tcPr>
          <w:p>
            <w:pPr>
              <w:ind w:left="340"/>
              <w:spacing w:after="0"/>
              <w:rPr>
                <w:sz w:val="20"/>
                <w:szCs w:val="20"/>
                <w:color w:val="auto"/>
              </w:rPr>
            </w:pPr>
            <w:r>
              <w:rPr>
                <w:rFonts w:ascii="Arial" w:cs="Arial" w:eastAsia="Arial" w:hAnsi="Arial"/>
                <w:sz w:val="18"/>
                <w:szCs w:val="18"/>
                <w:color w:val="auto"/>
              </w:rPr>
              <w:t>Ulcerative colitis</w:t>
            </w:r>
          </w:p>
        </w:tc>
        <w:tc>
          <w:tcPr>
            <w:tcW w:w="4400" w:type="dxa"/>
            <w:vAlign w:val="bottom"/>
          </w:tcPr>
          <w:p>
            <w:pPr>
              <w:ind w:left="40"/>
              <w:spacing w:after="0"/>
              <w:rPr>
                <w:sz w:val="20"/>
                <w:szCs w:val="20"/>
                <w:color w:val="auto"/>
              </w:rPr>
            </w:pPr>
            <w:r>
              <w:rPr>
                <w:rFonts w:ascii="Arial" w:cs="Arial" w:eastAsia="Arial" w:hAnsi="Arial"/>
                <w:sz w:val="18"/>
                <w:szCs w:val="18"/>
                <w:color w:val="auto"/>
              </w:rPr>
              <w:t>Phase II</w:t>
            </w:r>
          </w:p>
        </w:tc>
      </w:tr>
      <w:tr>
        <w:trPr>
          <w:trHeight w:val="202"/>
        </w:trPr>
        <w:tc>
          <w:tcPr>
            <w:tcW w:w="20" w:type="dxa"/>
            <w:vAlign w:val="bottom"/>
          </w:tcPr>
          <w:p>
            <w:pPr>
              <w:spacing w:after="0"/>
              <w:rPr>
                <w:sz w:val="17"/>
                <w:szCs w:val="17"/>
                <w:color w:val="auto"/>
              </w:rPr>
            </w:pPr>
          </w:p>
        </w:tc>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Parsaclisib (PI3Kδ)</w:t>
            </w:r>
          </w:p>
        </w:tc>
        <w:tc>
          <w:tcPr>
            <w:tcW w:w="2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Pemphigus vulgaris, autoimmune</w:t>
            </w:r>
          </w:p>
        </w:tc>
        <w:tc>
          <w:tcPr>
            <w:tcW w:w="44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Phase II</w:t>
            </w: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hemolytic anemia, Sjögren's</w:t>
            </w:r>
          </w:p>
        </w:tc>
        <w:tc>
          <w:tcPr>
            <w:tcW w:w="44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40" w:type="dxa"/>
            <w:vAlign w:val="bottom"/>
            <w:tcBorders>
              <w:bottom w:val="single" w:sz="8" w:color="auto"/>
            </w:tcBorders>
            <w:shd w:val="clear" w:color="auto" w:fill="CCEEFF"/>
          </w:tcPr>
          <w:p>
            <w:pPr>
              <w:spacing w:after="0"/>
              <w:rPr>
                <w:sz w:val="20"/>
                <w:szCs w:val="20"/>
                <w:color w:val="auto"/>
              </w:rPr>
            </w:pPr>
          </w:p>
        </w:tc>
        <w:tc>
          <w:tcPr>
            <w:tcW w:w="28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syndrome</w:t>
            </w:r>
          </w:p>
        </w:tc>
        <w:tc>
          <w:tcPr>
            <w:tcW w:w="4400" w:type="dxa"/>
            <w:vAlign w:val="bottom"/>
            <w:tcBorders>
              <w:bottom w:val="single" w:sz="8" w:color="auto"/>
            </w:tcBorders>
            <w:shd w:val="clear" w:color="auto" w:fill="CCEEFF"/>
          </w:tcPr>
          <w:p>
            <w:pPr>
              <w:spacing w:after="0"/>
              <w:rPr>
                <w:sz w:val="20"/>
                <w:szCs w:val="20"/>
                <w:color w:val="auto"/>
              </w:rPr>
            </w:pPr>
          </w:p>
        </w:tc>
      </w:tr>
    </w:tbl>
    <w:p>
      <w:pPr>
        <w:spacing w:after="0" w:line="202" w:lineRule="exact"/>
        <w:rPr>
          <w:sz w:val="20"/>
          <w:szCs w:val="20"/>
          <w:color w:val="auto"/>
        </w:rPr>
      </w:pPr>
    </w:p>
    <w:p>
      <w:pPr>
        <w:ind w:firstLine="3"/>
        <w:spacing w:after="0" w:line="277" w:lineRule="auto"/>
        <w:tabs>
          <w:tab w:leader="none" w:pos="122" w:val="left"/>
        </w:tabs>
        <w:numPr>
          <w:ilvl w:val="0"/>
          <w:numId w:val="9"/>
        </w:numPr>
        <w:rPr>
          <w:rFonts w:ascii="Arial" w:cs="Arial" w:eastAsia="Arial" w:hAnsi="Arial"/>
          <w:sz w:val="18"/>
          <w:szCs w:val="18"/>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Eli Lilly and Company, in which Lilly received exclusive worldwide development and commercialization rights to the compound for inflammatory and autoimmune diseases. 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January 2016, Lilly submitted a New Drug Application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Japan's Ministry of Health, Labor and Welfare (MHLW) granted marketing approval for OLUMIANTfor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Rheumatoid Arthritis. </w:t>
      </w:r>
      <w:r>
        <w:rPr>
          <w:rFonts w:ascii="Arial" w:cs="Arial" w:eastAsia="Arial" w:hAnsi="Arial"/>
          <w:sz w:val="18"/>
          <w:szCs w:val="18"/>
          <w:color w:val="auto"/>
        </w:rPr>
        <w:t>Rheumatoid arthritis is an autoimmune disease characterized by aberrant or abnormal</w:t>
      </w:r>
      <w:r>
        <w:rPr>
          <w:rFonts w:ascii="Arial" w:cs="Arial" w:eastAsia="Arial" w:hAnsi="Arial"/>
          <w:sz w:val="18"/>
          <w:szCs w:val="18"/>
          <w:i w:val="1"/>
          <w:iCs w:val="1"/>
          <w:color w:val="auto"/>
        </w:rPr>
        <w:t xml:space="preserve"> </w:t>
      </w:r>
      <w:r>
        <w:rPr>
          <w:rFonts w:ascii="Arial" w:cs="Arial" w:eastAsia="Arial" w:hAnsi="Arial"/>
          <w:sz w:val="18"/>
          <w:szCs w:val="18"/>
          <w:color w:val="auto"/>
        </w:rPr>
        <w:t>immune mechanisms that lead to joint inflammation and swelling and, in some patients, the progressive destruction of joints. Rheumatoid arthritis can also affect connective tissue in the skin and organs of the body.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Current rheumatoid arthritis treatments include the use of non</w:t>
      </w:r>
      <w:r>
        <w:rPr>
          <w:rFonts w:ascii="MS PGothic" w:cs="MS PGothic" w:eastAsia="MS PGothic" w:hAnsi="MS PGothic"/>
          <w:sz w:val="17"/>
          <w:szCs w:val="17"/>
          <w:color w:val="auto"/>
        </w:rPr>
        <w:t>‑</w:t>
      </w:r>
      <w:r>
        <w:rPr>
          <w:rFonts w:ascii="Arial" w:cs="Arial" w:eastAsia="Arial" w:hAnsi="Arial"/>
          <w:sz w:val="17"/>
          <w:szCs w:val="17"/>
          <w:color w:val="auto"/>
        </w:rPr>
        <w:t>steroidal anti</w:t>
      </w:r>
      <w:r>
        <w:rPr>
          <w:rFonts w:ascii="MS PGothic" w:cs="MS PGothic" w:eastAsia="MS PGothic" w:hAnsi="MS PGothic"/>
          <w:sz w:val="17"/>
          <w:szCs w:val="17"/>
          <w:color w:val="auto"/>
        </w:rPr>
        <w:t>‑</w:t>
      </w:r>
      <w:r>
        <w:rPr>
          <w:rFonts w:ascii="Arial" w:cs="Arial" w:eastAsia="Arial" w:hAnsi="Arial"/>
          <w:sz w:val="17"/>
          <w:szCs w:val="17"/>
          <w:color w:val="auto"/>
        </w:rPr>
        <w:t>inflammatory drugs, disease</w:t>
      </w:r>
      <w:r>
        <w:rPr>
          <w:rFonts w:ascii="MS PGothic" w:cs="MS PGothic" w:eastAsia="MS PGothic" w:hAnsi="MS PGothic"/>
          <w:sz w:val="17"/>
          <w:szCs w:val="17"/>
          <w:color w:val="auto"/>
        </w:rPr>
        <w:t>‑</w:t>
      </w:r>
      <w:r>
        <w:rPr>
          <w:rFonts w:ascii="Arial" w:cs="Arial" w:eastAsia="Arial" w:hAnsi="Arial"/>
          <w:sz w:val="17"/>
          <w:szCs w:val="17"/>
          <w:color w:val="auto"/>
        </w:rPr>
        <w:t>modifying anti</w:t>
      </w:r>
      <w:r>
        <w:rPr>
          <w:rFonts w:ascii="MS PGothic" w:cs="MS PGothic" w:eastAsia="MS PGothic" w:hAnsi="MS PGothic"/>
          <w:sz w:val="17"/>
          <w:szCs w:val="17"/>
          <w:color w:val="auto"/>
        </w:rPr>
        <w:t>‑</w:t>
      </w:r>
      <w:r>
        <w:rPr>
          <w:rFonts w:ascii="Arial" w:cs="Arial" w:eastAsia="Arial" w:hAnsi="Arial"/>
          <w:sz w:val="17"/>
          <w:szCs w:val="17"/>
          <w:color w:val="auto"/>
        </w:rPr>
        <w:t>rheumatic drugs, such as methotrexate, and the newer biological response modifiers that target pro</w:t>
      </w:r>
      <w:r>
        <w:rPr>
          <w:rFonts w:ascii="MS PGothic" w:cs="MS PGothic" w:eastAsia="MS PGothic" w:hAnsi="MS PGothic"/>
          <w:sz w:val="17"/>
          <w:szCs w:val="17"/>
          <w:color w:val="auto"/>
        </w:rPr>
        <w:t>‑</w:t>
      </w:r>
      <w:r>
        <w:rPr>
          <w:rFonts w:ascii="Arial" w:cs="Arial" w:eastAsia="Arial" w:hAnsi="Arial"/>
          <w:sz w:val="17"/>
          <w:szCs w:val="17"/>
          <w:color w:val="auto"/>
        </w:rPr>
        <w:t>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Atopic Dermatitis. </w:t>
      </w:r>
      <w:r>
        <w:rPr>
          <w:rFonts w:ascii="Arial" w:cs="Arial" w:eastAsia="Arial" w:hAnsi="Arial"/>
          <w:sz w:val="18"/>
          <w:szCs w:val="18"/>
          <w:color w:val="auto"/>
        </w:rPr>
        <w:t>Atopic dermatitis (AtD) is a condition that makes the skin red and itchy and which is common in</w:t>
      </w:r>
      <w:r>
        <w:rPr>
          <w:rFonts w:ascii="Arial" w:cs="Arial" w:eastAsia="Arial" w:hAnsi="Arial"/>
          <w:sz w:val="18"/>
          <w:szCs w:val="18"/>
          <w:i w:val="1"/>
          <w:iCs w:val="1"/>
          <w:color w:val="auto"/>
        </w:rPr>
        <w:t xml:space="preserve"> </w:t>
      </w:r>
      <w:r>
        <w:rPr>
          <w:rFonts w:ascii="Arial" w:cs="Arial" w:eastAsia="Arial" w:hAnsi="Arial"/>
          <w:sz w:val="18"/>
          <w:szCs w:val="18"/>
          <w:color w:val="auto"/>
        </w:rPr>
        <w:t>children but can occur at any age. Atopic dermatitis is long lasting and tends to flare periodically and then subside. Lilly has conducted a Phase IIa trial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atopic dermatitis.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Phase III program to evaluate the safety and efficacy of baricitinib in patients with moderate to severe AtD is ongoing. In February 2019, we and Lilly announced that baricitinib met the primary endpoint in BREEZE-AD1 and BREEZE-AD2, two Phase III studies evaluating the efficacy and safety of baricitinib monotherapy for the treatment of adult patients with moderate to severe atopic dermatitis. These are two of five studies that will be part of the placebo-controlled data program intended to support global registrations.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Systemic Lupus Erythematosus. </w:t>
      </w:r>
      <w:r>
        <w:rPr>
          <w:rFonts w:ascii="Arial" w:cs="Arial" w:eastAsia="Arial" w:hAnsi="Arial"/>
          <w:sz w:val="17"/>
          <w:szCs w:val="17"/>
          <w:color w:val="auto"/>
        </w:rPr>
        <w:t>Systemic lupus erythematosus (SLE) is a chronic disease that causes inflammation.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a Phase III trial of baricitinib in patients with SLE.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Alopecia Areata</w:t>
      </w:r>
      <w:r>
        <w:rPr>
          <w:rFonts w:ascii="Arial" w:cs="Arial" w:eastAsia="Arial" w:hAnsi="Arial"/>
          <w:sz w:val="18"/>
          <w:szCs w:val="18"/>
          <w:color w:val="auto"/>
        </w:rPr>
        <w:t>. Alopecia areata is an autoimmune disorder in which the immune system attacks the hair follicles,</w:t>
      </w:r>
      <w:r>
        <w:rPr>
          <w:rFonts w:ascii="Arial" w:cs="Arial" w:eastAsia="Arial" w:hAnsi="Arial"/>
          <w:sz w:val="18"/>
          <w:szCs w:val="18"/>
          <w:i w:val="1"/>
          <w:iCs w:val="1"/>
          <w:color w:val="auto"/>
        </w:rPr>
        <w:t xml:space="preserve"> </w:t>
      </w:r>
      <w:r>
        <w:rPr>
          <w:rFonts w:ascii="Arial" w:cs="Arial" w:eastAsia="Arial" w:hAnsi="Arial"/>
          <w:sz w:val="18"/>
          <w:szCs w:val="18"/>
          <w:color w:val="auto"/>
        </w:rPr>
        <w:t>causing hair loss in patches. Lilly is currently running a Phase II/III trial to evaluate the safety and efficacy of baricitinib in patients with severe alopecia areata.</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Psoriatic Arthritis</w:t>
      </w:r>
      <w:r>
        <w:rPr>
          <w:rFonts w:ascii="Arial" w:cs="Arial" w:eastAsia="Arial" w:hAnsi="Arial"/>
          <w:sz w:val="17"/>
          <w:szCs w:val="17"/>
          <w:color w:val="auto"/>
        </w:rPr>
        <w:t>. Psoriatic arthritis (PsA) is an inflammatory arthritis that is seen in association with skin</w:t>
      </w:r>
      <w:r>
        <w:rPr>
          <w:rFonts w:ascii="Arial" w:cs="Arial" w:eastAsia="Arial" w:hAnsi="Arial"/>
          <w:sz w:val="17"/>
          <w:szCs w:val="17"/>
          <w:i w:val="1"/>
          <w:iCs w:val="1"/>
          <w:color w:val="auto"/>
        </w:rPr>
        <w:t xml:space="preserve"> </w:t>
      </w:r>
      <w:r>
        <w:rPr>
          <w:rFonts w:ascii="Arial" w:cs="Arial" w:eastAsia="Arial" w:hAnsi="Arial"/>
          <w:sz w:val="17"/>
          <w:szCs w:val="17"/>
          <w:color w:val="auto"/>
        </w:rPr>
        <w:t>psoriasis. It causes joint pain and swelling that can lead to damage of the joint if the inflammation is not controlled. Baricitinib has been shown to inhibit the JAK-STAT pathway in related conditions such as psoriasis in Phase II trials, and based on its activity profile, baricitinib also has the potential to demonstrate positive clinical outcomes in PsA. Lilly is planning a Phase III program to evaluate the safety and efficacy of baricitinib in patients with PsA.</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exercised our co-development options in rheumatoid arthritis, atopic dermatitis, psoriatic arthritis, alopecia areata, systematic lupus erythematosus and axial spondyloarthritis to fund 30% of future global development costs through regulatory approval, including post-launch studies required by a regulatory authority, in exchange for increased tiered royalties ranging up to the high twenties on potential future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w:t>
      </w:r>
      <w:r>
        <w:rPr>
          <w:rFonts w:ascii="MS PGothic" w:cs="MS PGothic" w:eastAsia="MS PGothic" w:hAnsi="MS PGothic"/>
          <w:sz w:val="18"/>
          <w:szCs w:val="18"/>
          <w:color w:val="auto"/>
        </w:rPr>
        <w:t>‑</w:t>
      </w:r>
      <w:r>
        <w:rPr>
          <w:rFonts w:ascii="Arial" w:cs="Arial" w:eastAsia="Arial" w:hAnsi="Arial"/>
          <w:sz w:val="18"/>
          <w:szCs w:val="18"/>
          <w:color w:val="auto"/>
        </w:rPr>
        <w:t>up compounds in all indications. Capmatinib is being evaluated in patients with hepatocellular carcinoma, non</w:t>
      </w:r>
      <w:r>
        <w:rPr>
          <w:rFonts w:ascii="MS PGothic" w:cs="MS PGothic" w:eastAsia="MS PGothic" w:hAnsi="MS PGothic"/>
          <w:sz w:val="18"/>
          <w:szCs w:val="18"/>
          <w:color w:val="auto"/>
        </w:rPr>
        <w:t>‑</w:t>
      </w:r>
      <w:r>
        <w:rPr>
          <w:rFonts w:ascii="Arial" w:cs="Arial" w:eastAsia="Arial" w:hAnsi="Arial"/>
          <w:sz w:val="18"/>
          <w:szCs w:val="18"/>
          <w:color w:val="auto"/>
        </w:rPr>
        <w:t>small cell lung cancer and other solid tumors, and may have potential utility as a combination agent.</w:t>
      </w:r>
    </w:p>
    <w:p>
      <w:pPr>
        <w:spacing w:after="0" w:line="20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MET is a clinically validated receptor kinase cancer target. Abnormal MET activation in cancer correlates with poor prognosis. Dysregulation of the MET pathway triggers tumor growth, formation of new blood vessels that supply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tumor with nutrients, and causes cancer to spread to other organs. Dysregulation of the MET pathway is seen in many types of cancers, including lung, kidney, liver, stomach, breast and brain.</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October 2018, we and Novartis announced positive preliminary results of the GEOMETRY mono-1 trial of capmatinib in patients with advanced non-small cell lung cancer (NSCLC) harboring MET exon-14 skipping mutations. NSCLC is the most common type of lung cancer, impacting more than 2 million people per year. Approximately 3-4 percent of all patients with NSCLC have an identified MET mutation. Though rare, this mutation is an indicator of especially poor prognosis and there is currently no approved therapy designed to target this mutation.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0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Indication</w:t>
            </w:r>
          </w:p>
        </w:tc>
        <w:tc>
          <w:tcPr>
            <w:tcW w:w="49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Status Update</w:t>
            </w: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Baricitinib (JAK1/JAK2)</w:t>
            </w:r>
            <w:r>
              <w:rPr>
                <w:rFonts w:ascii="Arial" w:cs="Arial" w:eastAsia="Arial" w:hAnsi="Arial"/>
                <w:sz w:val="8"/>
                <w:szCs w:val="8"/>
                <w:b w:val="1"/>
                <w:bCs w:val="1"/>
                <w:color w:val="auto"/>
              </w:rPr>
              <w:t>1</w:t>
            </w: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Atopic dermatitis</w:t>
            </w:r>
          </w:p>
        </w:tc>
        <w:tc>
          <w:tcPr>
            <w:tcW w:w="4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Phase III</w:t>
            </w:r>
          </w:p>
        </w:tc>
      </w:tr>
      <w:tr>
        <w:trPr>
          <w:trHeight w:val="216"/>
        </w:trPr>
        <w:tc>
          <w:tcPr>
            <w:tcW w:w="2100" w:type="dxa"/>
            <w:vAlign w:val="bottom"/>
          </w:tcPr>
          <w:p>
            <w:pPr>
              <w:spacing w:after="0"/>
              <w:rPr>
                <w:sz w:val="20"/>
                <w:szCs w:val="20"/>
                <w:color w:val="auto"/>
              </w:rPr>
            </w:pPr>
            <w:r>
              <w:rPr>
                <w:rFonts w:ascii="Arial" w:cs="Arial" w:eastAsia="Arial" w:hAnsi="Arial"/>
                <w:sz w:val="18"/>
                <w:szCs w:val="18"/>
                <w:b w:val="1"/>
                <w:bCs w:val="1"/>
                <w:color w:val="auto"/>
              </w:rPr>
              <w:t>Baricitinib (JAK1/JAK2)</w:t>
            </w:r>
            <w:r>
              <w:rPr>
                <w:rFonts w:ascii="Arial" w:cs="Arial" w:eastAsia="Arial" w:hAnsi="Arial"/>
                <w:sz w:val="8"/>
                <w:szCs w:val="8"/>
                <w:b w:val="1"/>
                <w:bCs w:val="1"/>
                <w:color w:val="auto"/>
              </w:rPr>
              <w:t>1</w:t>
            </w:r>
          </w:p>
        </w:tc>
        <w:tc>
          <w:tcPr>
            <w:tcW w:w="6960" w:type="dxa"/>
            <w:vAlign w:val="bottom"/>
            <w:gridSpan w:val="2"/>
          </w:tcPr>
          <w:p>
            <w:pPr>
              <w:ind w:left="100"/>
              <w:spacing w:after="0"/>
              <w:rPr>
                <w:sz w:val="20"/>
                <w:szCs w:val="20"/>
                <w:color w:val="auto"/>
              </w:rPr>
            </w:pPr>
            <w:r>
              <w:rPr>
                <w:rFonts w:ascii="Arial" w:cs="Arial" w:eastAsia="Arial" w:hAnsi="Arial"/>
                <w:sz w:val="18"/>
                <w:szCs w:val="18"/>
                <w:color w:val="auto"/>
              </w:rPr>
              <w:t>Systemic lupus erythematosusPhase III</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Baricitinib (JAK1/JAK2)</w:t>
            </w:r>
            <w:r>
              <w:rPr>
                <w:rFonts w:ascii="Arial" w:cs="Arial" w:eastAsia="Arial" w:hAnsi="Arial"/>
                <w:sz w:val="8"/>
                <w:szCs w:val="8"/>
                <w:b w:val="1"/>
                <w:bCs w:val="1"/>
                <w:color w:val="auto"/>
              </w:rPr>
              <w:t>1</w:t>
            </w: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Psoriatic arthritis</w:t>
            </w:r>
          </w:p>
        </w:tc>
        <w:tc>
          <w:tcPr>
            <w:tcW w:w="4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Lilly is planning a Phase III program</w:t>
            </w:r>
          </w:p>
        </w:tc>
      </w:tr>
      <w:tr>
        <w:trPr>
          <w:trHeight w:val="216"/>
        </w:trPr>
        <w:tc>
          <w:tcPr>
            <w:tcW w:w="2100" w:type="dxa"/>
            <w:vAlign w:val="bottom"/>
          </w:tcPr>
          <w:p>
            <w:pPr>
              <w:spacing w:after="0"/>
              <w:rPr>
                <w:sz w:val="20"/>
                <w:szCs w:val="20"/>
                <w:color w:val="auto"/>
              </w:rPr>
            </w:pPr>
            <w:r>
              <w:rPr>
                <w:rFonts w:ascii="Arial" w:cs="Arial" w:eastAsia="Arial" w:hAnsi="Arial"/>
                <w:sz w:val="18"/>
                <w:szCs w:val="18"/>
                <w:b w:val="1"/>
                <w:bCs w:val="1"/>
                <w:color w:val="auto"/>
              </w:rPr>
              <w:t>Baricitinib (JAK1/JAK2)</w:t>
            </w:r>
            <w:r>
              <w:rPr>
                <w:rFonts w:ascii="Arial" w:cs="Arial" w:eastAsia="Arial" w:hAnsi="Arial"/>
                <w:sz w:val="8"/>
                <w:szCs w:val="8"/>
                <w:b w:val="1"/>
                <w:bCs w:val="1"/>
                <w:color w:val="auto"/>
              </w:rPr>
              <w:t>1</w:t>
            </w:r>
          </w:p>
        </w:tc>
        <w:tc>
          <w:tcPr>
            <w:tcW w:w="1980" w:type="dxa"/>
            <w:vAlign w:val="bottom"/>
          </w:tcPr>
          <w:p>
            <w:pPr>
              <w:ind w:left="100"/>
              <w:spacing w:after="0"/>
              <w:rPr>
                <w:sz w:val="20"/>
                <w:szCs w:val="20"/>
                <w:color w:val="auto"/>
              </w:rPr>
            </w:pPr>
            <w:r>
              <w:rPr>
                <w:rFonts w:ascii="Arial" w:cs="Arial" w:eastAsia="Arial" w:hAnsi="Arial"/>
                <w:sz w:val="18"/>
                <w:szCs w:val="18"/>
                <w:color w:val="auto"/>
              </w:rPr>
              <w:t>Severe alopecia areata</w:t>
            </w:r>
          </w:p>
        </w:tc>
        <w:tc>
          <w:tcPr>
            <w:tcW w:w="4980" w:type="dxa"/>
            <w:vAlign w:val="bottom"/>
          </w:tcPr>
          <w:p>
            <w:pPr>
              <w:ind w:left="300"/>
              <w:spacing w:after="0"/>
              <w:rPr>
                <w:sz w:val="20"/>
                <w:szCs w:val="20"/>
                <w:color w:val="auto"/>
              </w:rPr>
            </w:pPr>
            <w:r>
              <w:rPr>
                <w:rFonts w:ascii="Arial" w:cs="Arial" w:eastAsia="Arial" w:hAnsi="Arial"/>
                <w:sz w:val="18"/>
                <w:szCs w:val="18"/>
                <w:color w:val="auto"/>
              </w:rPr>
              <w:t>Phase II/III</w:t>
            </w: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Capmatinib (MET)</w:t>
            </w:r>
            <w:r>
              <w:rPr>
                <w:rFonts w:ascii="Arial" w:cs="Arial" w:eastAsia="Arial" w:hAnsi="Arial"/>
                <w:sz w:val="8"/>
                <w:szCs w:val="8"/>
                <w:b w:val="1"/>
                <w:bCs w:val="1"/>
                <w:color w:val="auto"/>
              </w:rPr>
              <w:t>2</w:t>
            </w:r>
          </w:p>
        </w:tc>
        <w:tc>
          <w:tcPr>
            <w:tcW w:w="19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NSCLC, liver cancer</w:t>
            </w:r>
          </w:p>
        </w:tc>
        <w:tc>
          <w:tcPr>
            <w:tcW w:w="49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5"/>
              </w:rPr>
              <w:t>NDA (NSCLC patients with MET exon 14 skipping mutations)</w:t>
            </w:r>
          </w:p>
        </w:tc>
      </w:tr>
      <w:tr>
        <w:trPr>
          <w:trHeight w:val="230"/>
        </w:trPr>
        <w:tc>
          <w:tcPr>
            <w:tcW w:w="210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spacing w:after="0"/>
              <w:rPr>
                <w:sz w:val="20"/>
                <w:szCs w:val="20"/>
                <w:color w:val="auto"/>
              </w:rPr>
            </w:pPr>
          </w:p>
        </w:tc>
        <w:tc>
          <w:tcPr>
            <w:tcW w:w="49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expected this year (by Novartis)</w:t>
            </w:r>
          </w:p>
        </w:tc>
      </w:tr>
    </w:tbl>
    <w:p>
      <w:pPr>
        <w:spacing w:after="0" w:line="94" w:lineRule="exact"/>
        <w:rPr>
          <w:sz w:val="20"/>
          <w:szCs w:val="20"/>
          <w:color w:val="auto"/>
        </w:rPr>
      </w:pPr>
    </w:p>
    <w:p>
      <w:pPr>
        <w:ind w:left="120" w:hanging="117"/>
        <w:spacing w:after="0"/>
        <w:tabs>
          <w:tab w:leader="none" w:pos="120" w:val="left"/>
        </w:tabs>
        <w:numPr>
          <w:ilvl w:val="0"/>
          <w:numId w:val="10"/>
        </w:numPr>
        <w:rPr>
          <w:rFonts w:ascii="Arial" w:cs="Arial" w:eastAsia="Arial" w:hAnsi="Arial"/>
          <w:sz w:val="9"/>
          <w:szCs w:val="9"/>
          <w:color w:val="auto"/>
        </w:rPr>
      </w:pPr>
      <w:r>
        <w:rPr>
          <w:rFonts w:ascii="Arial" w:cs="Arial" w:eastAsia="Arial" w:hAnsi="Arial"/>
          <w:sz w:val="18"/>
          <w:szCs w:val="18"/>
          <w:color w:val="auto"/>
        </w:rPr>
        <w:t>Baricitinib licensed to Lilly</w:t>
      </w:r>
    </w:p>
    <w:p>
      <w:pPr>
        <w:spacing w:after="0" w:line="23" w:lineRule="exact"/>
        <w:rPr>
          <w:rFonts w:ascii="Arial" w:cs="Arial" w:eastAsia="Arial" w:hAnsi="Arial"/>
          <w:sz w:val="9"/>
          <w:szCs w:val="9"/>
          <w:color w:val="auto"/>
        </w:rPr>
      </w:pPr>
    </w:p>
    <w:p>
      <w:pPr>
        <w:ind w:left="120" w:hanging="117"/>
        <w:spacing w:after="0"/>
        <w:tabs>
          <w:tab w:leader="none" w:pos="120" w:val="left"/>
        </w:tabs>
        <w:numPr>
          <w:ilvl w:val="0"/>
          <w:numId w:val="10"/>
        </w:numPr>
        <w:rPr>
          <w:rFonts w:ascii="Arial" w:cs="Arial" w:eastAsia="Arial" w:hAnsi="Arial"/>
          <w:sz w:val="9"/>
          <w:szCs w:val="9"/>
          <w:color w:val="auto"/>
        </w:rPr>
      </w:pPr>
      <w:r>
        <w:rPr>
          <w:rFonts w:ascii="Arial" w:cs="Arial" w:eastAsia="Arial" w:hAnsi="Arial"/>
          <w:sz w:val="18"/>
          <w:szCs w:val="18"/>
          <w:color w:val="auto"/>
        </w:rPr>
        <w:t>Capmatinib licensed to Novartis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 ruxolitinib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in all indications. We retained options to co</w:t>
      </w:r>
      <w:r>
        <w:rPr>
          <w:rFonts w:ascii="MS PGothic" w:cs="MS PGothic" w:eastAsia="MS PGothic" w:hAnsi="MS PGothic"/>
          <w:sz w:val="17"/>
          <w:szCs w:val="17"/>
          <w:color w:val="auto"/>
        </w:rPr>
        <w:t>‑</w:t>
      </w:r>
      <w:r>
        <w:rPr>
          <w:rFonts w:ascii="Arial" w:cs="Arial" w:eastAsia="Arial" w:hAnsi="Arial"/>
          <w:sz w:val="17"/>
          <w:szCs w:val="17"/>
          <w:color w:val="auto"/>
        </w:rPr>
        <w:t>develop and to co</w:t>
      </w:r>
      <w:r>
        <w:rPr>
          <w:rFonts w:ascii="MS PGothic" w:cs="MS PGothic" w:eastAsia="MS PGothic" w:hAnsi="MS PGothic"/>
          <w:sz w:val="17"/>
          <w:szCs w:val="17"/>
          <w:color w:val="auto"/>
        </w:rPr>
        <w:t>‑</w:t>
      </w:r>
      <w:r>
        <w:rPr>
          <w:rFonts w:ascii="Arial" w:cs="Arial" w:eastAsia="Arial" w:hAnsi="Arial"/>
          <w:sz w:val="17"/>
          <w:szCs w:val="17"/>
          <w:color w:val="auto"/>
        </w:rPr>
        <w:t>promote capmatinib in the United States.</w:t>
      </w:r>
    </w:p>
    <w:p>
      <w:pPr>
        <w:spacing w:after="0" w:line="206"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Under this agreement, we received an upfront payment and immediate milestone payment totaling $210.0 million and were initially eligible to receive additional payments of up to approximately $1.2 billion if defined development and commercialization milestones are achieved. We are also eligible to receive tiered, double</w:t>
      </w:r>
      <w:r>
        <w:rPr>
          <w:rFonts w:ascii="MS PGothic" w:cs="MS PGothic" w:eastAsia="MS PGothic" w:hAnsi="MS PGothic"/>
          <w:sz w:val="18"/>
          <w:szCs w:val="18"/>
          <w:color w:val="auto"/>
        </w:rPr>
        <w:t>‑</w:t>
      </w:r>
      <w:r>
        <w:rPr>
          <w:rFonts w:ascii="Arial" w:cs="Arial" w:eastAsia="Arial" w:hAnsi="Arial"/>
          <w:sz w:val="18"/>
          <w:szCs w:val="18"/>
          <w:color w:val="auto"/>
        </w:rPr>
        <w:t>digit royalties ranging from the upper</w:t>
      </w:r>
      <w:r>
        <w:rPr>
          <w:rFonts w:ascii="MS PGothic" w:cs="MS PGothic" w:eastAsia="MS PGothic" w:hAnsi="MS PGothic"/>
          <w:sz w:val="18"/>
          <w:szCs w:val="18"/>
          <w:color w:val="auto"/>
        </w:rPr>
        <w:t>‑</w:t>
      </w:r>
      <w:r>
        <w:rPr>
          <w:rFonts w:ascii="Arial" w:cs="Arial" w:eastAsia="Arial" w:hAnsi="Arial"/>
          <w:sz w:val="18"/>
          <w:szCs w:val="18"/>
          <w:color w:val="auto"/>
        </w:rPr>
        <w:t>teens to the mid</w:t>
      </w:r>
      <w:r>
        <w:rPr>
          <w:rFonts w:ascii="MS PGothic" w:cs="MS PGothic" w:eastAsia="MS PGothic" w:hAnsi="MS PGothic"/>
          <w:sz w:val="18"/>
          <w:szCs w:val="18"/>
          <w:color w:val="auto"/>
        </w:rPr>
        <w:t>‑</w:t>
      </w:r>
      <w:r>
        <w:rPr>
          <w:rFonts w:ascii="Arial" w:cs="Arial" w:eastAsia="Arial" w:hAnsi="Arial"/>
          <w:sz w:val="18"/>
          <w:szCs w:val="18"/>
          <w:color w:val="auto"/>
        </w:rPr>
        <w:t>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 In December 2018, we recognized a $60.0 million milestone for Novartis achieving annual net sales of a JAK licensed product of $900.0 million.</w:t>
      </w:r>
    </w:p>
    <w:p>
      <w:pPr>
        <w:spacing w:after="0" w:line="17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The Novartis agreement will continue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until Novartis has no royalty payment obligations with respect to such program or, if earlier, the termination of the agreement or any program in accordance with the terms of the agreement. Royalties are payable by Novartis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by Novartis for convenience. The agreement may also be terminated by either party under certain other circumstances, including material breach.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w:t>
      </w:r>
      <w:r>
        <w:rPr>
          <w:rFonts w:ascii="MS PGothic" w:cs="MS PGothic" w:eastAsia="MS PGothic" w:hAnsi="MS PGothic"/>
          <w:sz w:val="18"/>
          <w:szCs w:val="18"/>
          <w:color w:val="auto"/>
        </w:rPr>
        <w:t>‑</w:t>
      </w:r>
      <w:r>
        <w:rPr>
          <w:rFonts w:ascii="Arial" w:cs="Arial" w:eastAsia="Arial" w:hAnsi="Arial"/>
          <w:sz w:val="18"/>
          <w:szCs w:val="18"/>
          <w:color w:val="auto"/>
        </w:rPr>
        <w:t>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pacing w:after="0" w:line="2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We previously had retained an option to co-promote products in the United States but, in March 2016, we waived our co-promotion option as part of an amendment to the agreement.</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2010, we elected to co-develop baricitinib with Lilly in rheumatoid arthritis and we are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we entered into an amendment to the agreement with Lilly that allows us to engage in the development and commercialization of ruxolitinib in the GVHD field. We paid Lilly an upfront payment of $35.0 million and Lilly is eligible to receive up to $40.0 million in additional regulatory milestone payments relating to ruxolitinib in the GVHD field.</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2017, the European Commission announced the approval of baricitinib as OLUMIANT, triggering a $65.0 million milestone payment from Lilly. In July 2017, Japan's MHLW granted marketing approval for OLUMIANT, triggering a $15.0 million milestone payment from Lilly. In December 2017, we recognized a $30.0 million milestone payment for the first patient treated in the atopic dermatitis Phase III program for baricitinib. In June 2018, the FDA approved the 2mg dose of OLUMIANT, triggering a $100.0 million milestone payment from Lilly. In September 2018,</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 $20.0 million milestone payment for the first patient treated in the systemic lupus erythematosus Phase III program for baricitinib.</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 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7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8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MacroGenics will be eligible to receive up to $420.0 million in future contingent development and regulatory milestones, and up to $330.0 million in commercial milestones as well as tiered royalties ranging from 15% to 24% of global net sales.</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 to $65.0 million in potential commercial milestones. Syros is also eligible to receive low single-digit royalties on net sales of products resulting from the collaboration.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2018, we entered into a research collaboration and licensing agreement with Innovent Biologics, Inc. Under the terms of this agreement, Innovent received exclusive development and commercialization rights to our clinical-stage product candidates pemigatinib, itacitinib and parsaclisib in hematology and oncology in Mainland China, Hong Kong, Macau and Taiwan. In January 2019, we received an upfront payment under this agreement of $40.0 million.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Incyte’s Approach to Drug Discovery and Development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productivity in drug discovery is primarily a result of our core competency in medicinal chemistry which is tightly integrated with, and supported by, an experienced team of biologists and pharmaceutical scientists with expertise in multiple therapeutic areas. This discovery team operates in concert with an equally experienced drug development organization with expertise in clinical sciences, statistics, and regulatory affairs. Our drug development organization manages our clinical programs and utilizes clinical research organizations (CROs), expert scientific advisory boards, and leading consultants and suppliers as appropriate to ensure our clinical trials are conducted efficiently, effectively, and in accordance with regulatory and compliance guidelines.</w:t>
      </w:r>
    </w:p>
    <w:p>
      <w:pPr>
        <w:spacing w:after="0" w:line="18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To succeed in our objective to discover and advance novel therapeutics that address serious unmet medical needs, we have established a broad range of discovery capabilities in</w:t>
      </w:r>
      <w:r>
        <w:rPr>
          <w:rFonts w:ascii="MS PGothic" w:cs="MS PGothic" w:eastAsia="MS PGothic" w:hAnsi="MS PGothic"/>
          <w:sz w:val="18"/>
          <w:szCs w:val="18"/>
          <w:color w:val="auto"/>
        </w:rPr>
        <w:t>‑</w:t>
      </w:r>
      <w:r>
        <w:rPr>
          <w:rFonts w:ascii="Arial" w:cs="Arial" w:eastAsia="Arial" w:hAnsi="Arial"/>
          <w:sz w:val="18"/>
          <w:szCs w:val="18"/>
          <w:color w:val="auto"/>
        </w:rPr>
        <w:t>house, including target validation, high</w:t>
      </w:r>
      <w:r>
        <w:rPr>
          <w:rFonts w:ascii="MS PGothic" w:cs="MS PGothic" w:eastAsia="MS PGothic" w:hAnsi="MS PGothic"/>
          <w:sz w:val="18"/>
          <w:szCs w:val="18"/>
          <w:color w:val="auto"/>
        </w:rPr>
        <w:t>‑</w:t>
      </w:r>
      <w:r>
        <w:rPr>
          <w:rFonts w:ascii="Arial" w:cs="Arial" w:eastAsia="Arial" w:hAnsi="Arial"/>
          <w:sz w:val="18"/>
          <w:szCs w:val="18"/>
          <w:color w:val="auto"/>
        </w:rPr>
        <w:t>throughput screening, medicinal chemistry, computational chemistry, and pharmacological and ADME (absorption, distribution, metabolism and excretion) assessment. We augment these capabilities through collaborations with academic and contract laboratory resources with relevant expertise.</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to our small molecule expertise, we have added biotherapeutic antibody discovery capabilities. The collaboration with Agenus has provided us with access to their antibody discovery platform and provided us with both clinical antibodies and pre-clinical candidates. Recently, we have expanded our discovery reach to include bispecific antibodies through a collaboration with Merus. We are complementing these collaborations by building in-house antibody discovery, pharmacology, ADME and CMC capabilities and will partner these efforts with our small molecule portfolio.</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Driven by a target- and pathway-centric discovery process, our pipeline has grown and is currently focused primarily in the area of oncology. We conduct a limited number of discovery programs in parallel at any one time. This focus allows us to allocate resources to our selected programs at a level that we believe is competitive with larger pharmaceutical companies. We continually modify the resourcing of our discovery efforts with the goals of maximizing information content when and where we need it and ensuring that each program, regardless of stage, is executed in the most efficient and data-rich manner possible. We believe this approach has played a critical role in the development of our product portfolio.</w:t>
      </w:r>
    </w:p>
    <w:p>
      <w:pPr>
        <w:spacing w:after="0" w:line="16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Once our compounds reach clinical development, our objective is to rapidly progress the lead candidate into a proof</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concept clinical trial to quickly assess the therapeutic potential of the clinical candidate itself as well as its underlying mechanism of action. This information is then used to evaluate the compound’s development opportunities, identify the most appropriate indication or indications to pursue, and develop a clinical and regulatory plan to advance the molecule forward.</w:t>
      </w:r>
    </w:p>
    <w:p>
      <w:pPr>
        <w:spacing w:after="0" w:line="20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development teams are responsible for ensuring that our clinical candidates are expeditiously progressed through clinical safety, proof-of-concept, and formal efficacy/pivotal trials. Our development teams include employees with expertise in drug development, including clinical trial design, statistics, regulatory affairs, medical affairs,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pharmacovigilance and project management. We have also built internal process chemistry and formulation teams that work closely with external GMP contract manufacturers to support our drug development efforts.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Incyte’s Commercial Strategy</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Our strategy is to develop and commercialize our compounds on our own in selected markets where we believe a company of our size can successfully compete, such as in myelofibrosis, polycythemia vera, and other oncology indications. In November 2011, we received regulatory approval of JAKAFI (ruxolitinib) in the United States for the treatment of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Since that time, we have focused on increasing utilization of JAKAFI in this patient population. In December 2014, JAKAFI was approved for the treatment of patients with polycythemia vera who have had an inadequate response to or are intolerant of hydroxyurea. JAKAFI is the only FDA</w:t>
      </w:r>
      <w:r>
        <w:rPr>
          <w:rFonts w:ascii="MS PGothic" w:cs="MS PGothic" w:eastAsia="MS PGothic" w:hAnsi="MS PGothic"/>
          <w:sz w:val="17"/>
          <w:szCs w:val="17"/>
          <w:color w:val="auto"/>
        </w:rPr>
        <w:t>‑</w:t>
      </w:r>
      <w:r>
        <w:rPr>
          <w:rFonts w:ascii="Arial" w:cs="Arial" w:eastAsia="Arial" w:hAnsi="Arial"/>
          <w:sz w:val="17"/>
          <w:szCs w:val="17"/>
          <w:color w:val="auto"/>
        </w:rPr>
        <w:t>approved product to treat these two diseases. We have expanded the marketing, medical, sales and operational infrastructure to support continued commercialization of JAKAFI in its two indications and to prepare for potential future indications of JAKAFI in the United States. We are expanding marketing, medical and operational infrastructure outside of the United States and within the United States to prepare for potential approval of other products.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rights to ruxolitinib outside the United States as well as for pipeline compounds that are outside of our core expertise, would require expensive clinical studies, or could be used in combination with other compounds or biologics, we have established or may in the future establish collaborations or strategic relationships to support development and commercialization, such as our collaborations with Novartis and Lilly for our JAK inhibitors. We believe the key benefits to entering into strategic relationships include the potential to receive upfront payments and future milestones and royalties in exchange for certain rights to our compounds, as well as the potential to expedite the development and commercialization of certain of our compounds.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ICLUSIG is approved in the European Union for the treatment of adult patients with CML who are resistant to dasatinib or nilotinib; who are intolerant to dasatinib or nilotinib and for whom subsequent treatment with imatinib is not clinically appropriate, or who have the T315I mutation. ICLUSIG is also indicated in adult patients with Philadelphia positive AML who are resistant to dasatinib; who are intolerant to dasatinib and for whom subsequent treatment with imatinib is not clinically appropriate, or who have the T315I mutation. We are focused on increasing the utilization of ICLUSIG in this patient population within our territory as appropriate.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also see Note 18 of Notes to the Consolidated Financial Statements included in this Annual Report on Form 10-K for financial information about geographic areas.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regard the protection of patents and other enforceable intellectual property rights that we own or license as critical to our business and competitive position. Accordingly, we rely on patent, trade secret and copyright law, as well as nondisclosure and other contractual arrangements, to protect our intellectual property. We have established a patent portfolio of patents and patent applications owned or licensed by us that cover aspects of all our drug products and drug candidates. The patents and patent applications relating to our drug products and drug candidates generally include claims directed to the compounds, methods of using the compounds, formulations of the compounds, pharmaceutical salt forms of the compounds, and methods of manufacturing the compounds. Our policy is to pursue patent applications on inventions and discoveries that we believe are commercially important to the development and growth of our business. The following table sets forth the status of the patents and patent applications in the United States, the European Union, and Japan,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covering our drug products and drug candidates in key programs that show at least proof of concept in their respective clinical development programs: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Status of United States Patent Estate</w:t>
            </w:r>
          </w:p>
        </w:tc>
        <w:tc>
          <w:tcPr>
            <w:tcW w:w="200" w:type="dxa"/>
            <w:vAlign w:val="bottom"/>
          </w:tcPr>
          <w:p>
            <w:pPr>
              <w:spacing w:after="0"/>
              <w:rPr>
                <w:sz w:val="14"/>
                <w:szCs w:val="14"/>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1"/>
              </w:rPr>
              <w:t>Status of European Union</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Japan Patent Estate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(Earliest Anticipated Expirations,</w:t>
            </w:r>
          </w:p>
        </w:tc>
        <w:tc>
          <w:tcPr>
            <w:tcW w:w="200" w:type="dxa"/>
            <w:vAlign w:val="bottom"/>
          </w:tcPr>
          <w:p>
            <w:pPr>
              <w:spacing w:after="0"/>
              <w:rPr>
                <w:sz w:val="12"/>
                <w:szCs w:val="12"/>
                <w:color w:val="auto"/>
              </w:rPr>
            </w:pP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(Earliest Anticipated Expirations,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Drug/Drug Candidate (Target)</w:t>
            </w:r>
          </w:p>
        </w:tc>
        <w:tc>
          <w:tcPr>
            <w:tcW w:w="24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Subject to Potential Extensions</w:t>
            </w:r>
          </w:p>
        </w:tc>
        <w:tc>
          <w:tcPr>
            <w:tcW w:w="200" w:type="dxa"/>
            <w:vAlign w:val="bottom"/>
          </w:tcPr>
          <w:p>
            <w:pPr>
              <w:spacing w:after="0"/>
              <w:rPr>
                <w:sz w:val="12"/>
                <w:szCs w:val="12"/>
                <w:color w:val="auto"/>
              </w:rPr>
            </w:pP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Subject to Potential Extensions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2"/>
              </w:rPr>
              <w:t>and Payment of Maintenance Fees)</w:t>
            </w:r>
          </w:p>
        </w:tc>
        <w:tc>
          <w:tcPr>
            <w:tcW w:w="200" w:type="dxa"/>
            <w:vAlign w:val="bottom"/>
          </w:tcPr>
          <w:p>
            <w:pPr>
              <w:spacing w:after="0"/>
              <w:rPr>
                <w:sz w:val="14"/>
                <w:szCs w:val="14"/>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2"/>
              </w:rPr>
              <w:t>and Payment of Maintenance Fees)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ruxolitinib (JAK)</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Granted and pending (2026)</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Granted and pending (2026)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baricitinib (JAK)</w:t>
            </w:r>
          </w:p>
        </w:tc>
        <w:tc>
          <w:tcPr>
            <w:tcW w:w="2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Granted and pending (2029)</w:t>
            </w: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Granted and pending (2029)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epacadostat (IDO)</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Granted and pending (2029)</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Granted and pending (2029)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itacitinib (JAK)</w:t>
            </w:r>
          </w:p>
        </w:tc>
        <w:tc>
          <w:tcPr>
            <w:tcW w:w="2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Granted and pending (2031)</w:t>
            </w: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Granted and pending (2031)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capmatinib (cMET)</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Granted and pending (2027)</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Granted and pending (2027)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parsaclisib (PI3Kδ)</w:t>
            </w:r>
          </w:p>
        </w:tc>
        <w:tc>
          <w:tcPr>
            <w:tcW w:w="2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Granted and pending (2032)</w:t>
            </w: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Granted and pending (2032)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pemigatinib (FGFR)</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Granted and pending (2033)</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Granted and pending (2033)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ponatinib (BCR ABL)</w:t>
            </w:r>
          </w:p>
        </w:tc>
        <w:tc>
          <w:tcPr>
            <w:tcW w:w="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Granted and pending (2026)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INCMGA0012 (PD-1)</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Pending (2036)</w:t>
            </w: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Pending (2036)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We may seek to license rights relating to technologies, drug candidates or drug products in connection with our drug discovery and development programs and commercialization activities. Under these licenses, such as our licenses from Agenus, ARIAD, Calithera, MacroGenics and Merus we may be required to pay up</w:t>
      </w:r>
      <w:r>
        <w:rPr>
          <w:rFonts w:ascii="MS PGothic" w:cs="MS PGothic" w:eastAsia="MS PGothic" w:hAnsi="MS PGothic"/>
          <w:sz w:val="18"/>
          <w:szCs w:val="18"/>
          <w:color w:val="auto"/>
        </w:rPr>
        <w:t>‑</w:t>
      </w:r>
      <w:r>
        <w:rPr>
          <w:rFonts w:ascii="Arial" w:cs="Arial" w:eastAsia="Arial" w:hAnsi="Arial"/>
          <w:sz w:val="18"/>
          <w:szCs w:val="18"/>
          <w:color w:val="auto"/>
        </w:rPr>
        <w:t>front fees, license fees, milestone payments and royalties on sales of future products.</w:t>
      </w:r>
    </w:p>
    <w:p>
      <w:pPr>
        <w:spacing w:after="0" w:line="2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Although we believe our rights under patents and patent applications provide a competitive advantage, the patent positions of pharmaceutical and biotechnology companies are highly uncertain and involve complex legal and factual questions. We may not be able to develop patentable products or processes, and may not be able to obtain patents in the United States or elsewhere from pending applications. Even if patent claims are allowed, the claims may not issue, or in the event of issuance, may not be valid or enforceable or may not be sufficient to protect the technology owned by or licensed to us or provide us with a competitive advantage. Any patent or other intellectual property rights that we own or obtain may be circumvented, challenged or invalidated by our competitors. Others may have patents that relate to our business or technology and that may prevent us from marketing our drug candidates unless we are able to obtain a license to those patents. In addition, litigation or other proceedings may be necessary to defend against claims of infringement, to enforce patents, to protect our other intellectual property rights, to determine the scope and validity of the proprietary rights of third parties or to defend ourselves in patent or other intellectual property right suits brought by third parties. We could incur substantial costs in such litigation or other proceedings. An adverse outcome in any such litigation or proceeding could subject us to significant liability.</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 respect to proprietary information that is not patentable, and for inventions for which patents are difficult to enforce, we rely on trade secret protection and confidentiality agreements to protect our interests. While we require all employees, consultants and potential business partners to enter into confidentiality agreements, we may not be able to adequately protect our trade secrets or other proprietary information. Others may independently develop substantially equivalent proprietary information and techniques or otherwise gain access to our trade secrets.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drug discovery, development and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JAKAFI, ICLUSIG and our drug candidates.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81" w:lineRule="exact"/>
        <w:rPr>
          <w:sz w:val="20"/>
          <w:szCs w:val="20"/>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JAKAFI, ICLUSIG or our drug candidates.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any drug candidate that we successfully develop may compete with existing therapies that have long histories of safe and effective use. Competition may also arise from:</w:t>
      </w:r>
    </w:p>
    <w:p>
      <w:pPr>
        <w:spacing w:after="0" w:line="170" w:lineRule="exact"/>
        <w:rPr>
          <w:sz w:val="20"/>
          <w:szCs w:val="20"/>
          <w:color w:val="auto"/>
        </w:rPr>
      </w:pPr>
    </w:p>
    <w:p>
      <w:pPr>
        <w:ind w:left="980" w:hanging="329"/>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drug development technologies and methods of preventing or reducing the incidence of disease;</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compounds;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or commercially successful than ours.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w:t>
      </w:r>
      <w:r>
        <w:rPr>
          <w:rFonts w:ascii="MS PGothic" w:cs="MS PGothic" w:eastAsia="MS PGothic" w:hAnsi="MS PGothic"/>
          <w:sz w:val="16"/>
          <w:szCs w:val="16"/>
          <w:color w:val="auto"/>
        </w:rPr>
        <w:t>‑</w:t>
      </w:r>
      <w:r>
        <w:rPr>
          <w:rFonts w:ascii="Arial" w:cs="Arial" w:eastAsia="Arial" w:hAnsi="Arial"/>
          <w:sz w:val="16"/>
          <w:szCs w:val="16"/>
          <w:color w:val="auto"/>
        </w:rPr>
        <w:t>price countries, could be reduced by generic competition or by parallel importation of our product. Alternatively, governments in those countries could require that we grant compulsory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Our ongoing research and development activities and any manufacturing and marketing of our approved drug products and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w:t>
      </w:r>
      <w:r>
        <w:rPr>
          <w:rFonts w:ascii="MS PGothic" w:cs="MS PGothic" w:eastAsia="MS PGothic" w:hAnsi="MS PGothic"/>
          <w:sz w:val="18"/>
          <w:szCs w:val="18"/>
          <w:color w:val="auto"/>
        </w:rPr>
        <w:t>‑</w:t>
      </w:r>
      <w:r>
        <w:rPr>
          <w:rFonts w:ascii="Arial" w:cs="Arial" w:eastAsia="Arial" w:hAnsi="Arial"/>
          <w:sz w:val="18"/>
          <w:szCs w:val="18"/>
          <w:color w:val="auto"/>
        </w:rPr>
        <w:t>keeping, labeling, storage, approval, advertising, promotion, sale and distribution and import and export, of these products.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FDA Review and Approval Process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170" w:lineRule="exact"/>
        <w:rPr>
          <w:sz w:val="20"/>
          <w:szCs w:val="20"/>
          <w:color w:val="auto"/>
        </w:rPr>
      </w:pPr>
    </w:p>
    <w:p>
      <w:pPr>
        <w:ind w:left="98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and Good Manufacturing Practice regulations;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clinical trials in three phases, as described below, to establish the safety and efficacy of the drug for each indication;</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of an NDA or Biologics License Application (BLA) to the FDA for review;</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Even after initial FDA approval has been obtained, post</w:t>
      </w:r>
      <w:r>
        <w:rPr>
          <w:rFonts w:ascii="MS PGothic" w:cs="MS PGothic" w:eastAsia="MS PGothic" w:hAnsi="MS PGothic"/>
          <w:sz w:val="17"/>
          <w:szCs w:val="17"/>
          <w:color w:val="auto"/>
        </w:rPr>
        <w:t>‑</w:t>
      </w:r>
      <w:r>
        <w:rPr>
          <w:rFonts w:ascii="Arial" w:cs="Arial" w:eastAsia="Arial" w:hAnsi="Arial"/>
          <w:sz w:val="17"/>
          <w:szCs w:val="17"/>
          <w:color w:val="auto"/>
        </w:rPr>
        <w: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w:t>
      </w:r>
      <w:r>
        <w:rPr>
          <w:rFonts w:ascii="MS PGothic" w:cs="MS PGothic" w:eastAsia="MS PGothic" w:hAnsi="MS PGothic"/>
          <w:sz w:val="17"/>
          <w:szCs w:val="17"/>
          <w:color w:val="auto"/>
        </w:rPr>
        <w:t>‑</w:t>
      </w:r>
      <w:r>
        <w:rPr>
          <w:rFonts w:ascii="Arial" w:cs="Arial" w:eastAsia="Arial" w:hAnsi="Arial"/>
          <w:sz w:val="17"/>
          <w:szCs w:val="17"/>
          <w:color w:val="auto"/>
        </w:rPr>
        <w:t>approval safety reporting to monitor the side effects of the drug. Results of post</w:t>
      </w:r>
      <w:r>
        <w:rPr>
          <w:rFonts w:ascii="MS PGothic" w:cs="MS PGothic" w:eastAsia="MS PGothic" w:hAnsi="MS PGothic"/>
          <w:sz w:val="17"/>
          <w:szCs w:val="17"/>
          <w:color w:val="auto"/>
        </w:rPr>
        <w:t>‑</w:t>
      </w:r>
      <w:r>
        <w:rPr>
          <w:rFonts w:ascii="Arial" w:cs="Arial" w:eastAsia="Arial" w:hAnsi="Arial"/>
          <w:sz w:val="17"/>
          <w:szCs w:val="17"/>
          <w:color w:val="auto"/>
        </w:rPr>
        <w: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87" w:lineRule="exact"/>
        <w:rPr>
          <w:sz w:val="20"/>
          <w:szCs w:val="20"/>
          <w:color w:val="auto"/>
        </w:rPr>
      </w:pPr>
    </w:p>
    <w:p>
      <w:pPr>
        <w:ind w:left="980" w:hanging="329"/>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4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8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The FDA’s fast track, breakthrough therapy, accelerated approval, and priority review designation programs are intended to facilitate the development and expedite the review and approval of drug candidates intended for the treatment of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guarantee that the FDA will grant any of our requests for any of these expedited program designations, that any such designations would affect the time of review or that the FDA will approve the NDA or BLA submitted for any of our drug candidates, whether or not these designations are granted. Additionally, FDA approval of a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93"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w:t>
      </w:r>
      <w:r>
        <w:rPr>
          <w:rFonts w:ascii="MS PGothic" w:cs="MS PGothic" w:eastAsia="MS PGothic" w:hAnsi="MS PGothic"/>
          <w:sz w:val="17"/>
          <w:szCs w:val="17"/>
          <w:color w:val="auto"/>
        </w:rPr>
        <w:t>‑</w:t>
      </w:r>
      <w:r>
        <w:rPr>
          <w:rFonts w:ascii="Arial" w:cs="Arial" w:eastAsia="Arial" w:hAnsi="Arial"/>
          <w:sz w:val="17"/>
          <w:szCs w:val="17"/>
          <w:color w:val="auto"/>
        </w:rPr>
        <w:t>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within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20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2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 year exclusive marketing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of Manufacturing Process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Even when NDA or BLA approval is obtained, a marketed product, such as JAKAFI,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78"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We and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are subject to current Good Manufacturing Practices, which are extensive regulations governing manufacturing processes, including but not limited to stability testing, record keeping and quality standards as defined by the International Council for Harmonisation of Technical Requirements for Pharmaceuticals for Human Use, or ICH, FDA and the European Medicines Agency. Similar regulations are in effect in other countries. Manufacturing facilities are subject to inspection by the applicable regulatory authorities and are subject to manufacturing licenses where applicable. These facilities, whether our own or our contract manufacturers, must be inspected before we can use them in commercial manufacturing of our related products. We or our contract manufacturers may not be able to comply with applicable Good Manufacturing Practices and FDA or other regulatory requirements. If we or our contract manufacturers fail to comply, we or our contract manufacturers may be subject to legal or regulatory action, such as suspension of manufacturing license,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20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Approval Regulation</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w:t>
      </w:r>
      <w:r>
        <w:rPr>
          <w:rFonts w:ascii="MS PGothic" w:cs="MS PGothic" w:eastAsia="MS PGothic" w:hAnsi="MS PGothic"/>
          <w:sz w:val="17"/>
          <w:szCs w:val="17"/>
          <w:color w:val="auto"/>
        </w:rPr>
        <w:t>‑</w:t>
      </w:r>
      <w:r>
        <w:rPr>
          <w:rFonts w:ascii="Arial" w:cs="Arial" w:eastAsia="Arial" w:hAnsi="Arial"/>
          <w:sz w:val="17"/>
          <w:szCs w:val="17"/>
          <w:color w:val="auto"/>
        </w:rPr>
        <w:t>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or PDMA, which, among other things, imposes various requirements in connection with the distribution of product samples to physicians.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inspections related to manufacturing, we are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There are a variety of state laws and regulations that apply in the states or localities where JAKAFI and our drug candidates are or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Exclusivity</w:t>
      </w:r>
    </w:p>
    <w:p>
      <w:pPr>
        <w:spacing w:after="0" w:line="22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w:t>
      </w:r>
      <w:r>
        <w:rPr>
          <w:rFonts w:ascii="MS PGothic" w:cs="MS PGothic" w:eastAsia="MS PGothic" w:hAnsi="MS PGothic"/>
          <w:sz w:val="16"/>
          <w:szCs w:val="16"/>
          <w:color w:val="auto"/>
        </w:rPr>
        <w:t>‑</w:t>
      </w:r>
      <w:r>
        <w:rPr>
          <w:rFonts w:ascii="Arial" w:cs="Arial" w:eastAsia="Arial" w:hAnsi="Arial"/>
          <w:sz w:val="16"/>
          <w:szCs w:val="16"/>
          <w:color w:val="auto"/>
        </w:rPr>
        <w:t>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Outside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competent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non-US countries prior to the commencement of clinical trials or marketing of the product in those countries. Certain countries outside of the United States have a process that requires the submission of a clinical trial application, or CTA, much like an IND prior to the commencement of human clinical trials. In Europe, a CTA must be submitted to the competent national health authority and to independent ethics committees in each country in which a company plans to conduct clinical trials. Once the CTA is approved in accordance with a country’s requirements, clinical trial development may proceed in that country and are conducted in accordance with GCP and other applicable regulatory requirements.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obtain regulatory approval of an investigational drug under EU regulatory systems, we must submit a marketing authorization application (MAA). This application is similar to the NDA in the United States, with the exception of, among other things, regional and/or country-specific document requirements. Drugs can be authorized in the EU by using (i) the centralized authorization procedure, (ii) the mutual recognition procedure, (iii) the decentralized procedure or (iv) national authorization procedures.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European Medicines Agency (EMA) implemented the centralized procedure for the approval of human drugs to facilitate marketing authorizations that are valid throughout the EU. This procedure results in a single marketing authorization granted by the European Commission that is valid across the EU. Under the centralized procedure, the maximum timeframe for the evaluation of a marketing authorization application by the EMA is 210 days (excluding clock stops, when additional written or oral information is to be provided by the applicant in response to questions asked by the Committee for Medicinal Products for Human Use (CHMP)). A positive opinion on the MAA by the CHMP then needs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be endorsed by the European Commission. Accelerated assessment might be granted by the CHMP in exceptional cases, in which case the EMA ensures that the evaluation for the opinion of the CHMP is completed within 150 days (excluding clock stops) and the opinion issued thereafter.</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mutual recognition procedure (MRP) for the approval of human drugs is an alternative approach to facilitate individual national marketing authorizations within the EU. The MRP may be applied for all human drugs for which the centralized procedure is not obligatory. The MRP is based on the principle of the mutual recognition by EU member states of their respective national marketing authorizations. Based on a marketing authorization in the reference member state, the applicant may apply for marketing authorizations in other member states. In such case, the reference member state shall update its existing assessment report about the drug. After the assessment is completed, copies of the report are sent to all member states, together with the approved summary of product characteristics, labeling and package leaflet. The concerned member states then recognize the decision of the reference member state and the summary of product characteristics, labeling and package leaflet. National marketing authorizations shall be granted within 30 days after acknowledgement of the agreement.</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Should any Member State refuse to recognize the marketing authorization by the reference member state, the member states shall make all efforts to reach a consensus. If this fails, the procedure is submitted to an EMA scientific committee for arbitration. The opinion of this EMA Committee is then forwarded to the Commission, for the start of the decision making process. As in the centralized procedure, this process entails consulting various European Commission Directorates General and the Standing Committee on Human Medicinal Products or Veterinary Medicinal Products, as appropriate.</w:t>
      </w:r>
    </w:p>
    <w:p>
      <w:pPr>
        <w:spacing w:after="0" w:line="193"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6"/>
          <w:szCs w:val="16"/>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w:t>
      </w:r>
      <w:r>
        <w:rPr>
          <w:rFonts w:ascii="MS PGothic" w:cs="MS PGothic" w:eastAsia="MS PGothic" w:hAnsi="MS PGothic"/>
          <w:sz w:val="16"/>
          <w:szCs w:val="16"/>
          <w:color w:val="auto"/>
        </w:rPr>
        <w:t>‑</w:t>
      </w:r>
      <w:r>
        <w:rPr>
          <w:rFonts w:ascii="Arial" w:cs="Arial" w:eastAsia="Arial" w:hAnsi="Arial"/>
          <w:sz w:val="16"/>
          <w:szCs w:val="16"/>
          <w:color w:val="auto"/>
        </w:rPr>
        <w:t>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other countries outside of the EU, such as non-EU countries in Eastern Europe, Middle-East, Latin America, Japan or other countries in Asia, the requirements governing the conduct of clinical trials, product licensing, pricing and reimbursement vary. In all cases, again, the clinical trials are conducted in accordance with GCP and the other applicable regulatory requirements.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manufacturing strategy is to contract with third parties to manufacture the raw materials, our active pharmaceutical ingredients, or API, and finished dosage form for clinical and commercial uses. We currently do not operate manufacturing facilities for clinical or commercial production of JAKAFI, ICLUSIG, or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continue to build and maintain our supply chain and quality assurance resources.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Manufacturing of our Products</w:t>
      </w:r>
    </w:p>
    <w:p>
      <w:pPr>
        <w:spacing w:after="0" w:line="225"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color w:val="auto"/>
        </w:rPr>
        <w:t>Our supply chain for manufacturing raw materials, API and drug product ready for distribution and commercialization is a multi</w:t>
      </w:r>
      <w:r>
        <w:rPr>
          <w:rFonts w:ascii="MS PGothic" w:cs="MS PGothic" w:eastAsia="MS PGothic" w:hAnsi="MS PGothic"/>
          <w:sz w:val="17"/>
          <w:szCs w:val="17"/>
          <w:color w:val="auto"/>
        </w:rPr>
        <w:t>‑</w:t>
      </w:r>
      <w:r>
        <w:rPr>
          <w:rFonts w:ascii="Arial" w:cs="Arial" w:eastAsia="Arial" w:hAnsi="Arial"/>
          <w:sz w:val="17"/>
          <w:szCs w:val="17"/>
          <w:color w:val="auto"/>
        </w:rPr>
        <w:t>step international process. Establishing and managing the supply chain requires a significant financial commitment and the creation and maintenance of numerous third</w:t>
      </w:r>
      <w:r>
        <w:rPr>
          <w:rFonts w:ascii="MS PGothic" w:cs="MS PGothic" w:eastAsia="MS PGothic" w:hAnsi="MS PGothic"/>
          <w:sz w:val="17"/>
          <w:szCs w:val="17"/>
          <w:color w:val="auto"/>
        </w:rPr>
        <w:t>‑</w:t>
      </w:r>
      <w:r>
        <w:rPr>
          <w:rFonts w:ascii="Arial" w:cs="Arial" w:eastAsia="Arial" w:hAnsi="Arial"/>
          <w:sz w:val="17"/>
          <w:szCs w:val="17"/>
          <w:color w:val="auto"/>
        </w:rPr>
        <w:t>party contractual relationships.</w:t>
      </w:r>
    </w:p>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contract with third parties to manufacture JAKAFI, ICLUSIG, and our drug candidates for clinical and commercial purposes. Third-party manufacturers supply raw materials, and other third-party manufacturers convert these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raw materials into API or convert the API into final dosage form. For most of our drug candidates, once our raw materials are produced, we rely on one third-party to manufacture the API, another to make finished drug product and a third to package and label the finished product. For ruxolitinib phosphate, the API for JAKAFI, we have two qualified third-party contract manufacturers from which we can source drug substance. The manufacturing of Ponatinib, the API for ICLUSIG, is the sole responsibility of Takeda, the intellectual property holder. We procure API from Takeda, which outsources the API manufacturing to a third party.</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rely on third-party contract manufacturers to tablet or capsulate all of our active pharmaceutical ingredients for clinical and commercial uses. For JAKAFI, we have two qualified third-party manufacturers from which we can source commercial drug product. For ICLUSIG we have two qualified third-party manufacturers from which we can source commercial drug product. Secondary packaging of ICLUSIG is performed by a qualified third-party manufacturer. Primary packaged product for ICLUSIG can be used for clinical and commercial purposes.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may not be able to obtain sufficient quantities of any of our raw materials, drug candidates, API, or finished goods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or interruption of commercial supply which could have a material adverse effect on our business.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established a quality assurance program intended to ensure that our third-party manufacturers and service providers produce materials and provide services, as applicable, in accordance with the FDA and EMA’s current Good Manufacturing Practices and other applicable regulations. Our quality assurance program extends to our licensed facilities that oversee the manufacturing and distribution activities.</w:t>
      </w:r>
    </w:p>
    <w:p>
      <w:pPr>
        <w:spacing w:after="0" w:line="187"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For our future products, we intend to continue to establish third</w:t>
      </w:r>
      <w:r>
        <w:rPr>
          <w:rFonts w:ascii="MS PGothic" w:cs="MS PGothic" w:eastAsia="MS PGothic" w:hAnsi="MS PGothic"/>
          <w:sz w:val="18"/>
          <w:szCs w:val="18"/>
          <w:color w:val="auto"/>
        </w:rPr>
        <w:t>‑</w:t>
      </w:r>
      <w:r>
        <w:rPr>
          <w:rFonts w:ascii="Arial" w:cs="Arial" w:eastAsia="Arial" w:hAnsi="Arial"/>
          <w:sz w:val="18"/>
          <w:szCs w:val="18"/>
          <w:color w:val="auto"/>
        </w:rPr>
        <w:t>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meet customer demand for commercial products will be adversely affected.</w:t>
      </w:r>
    </w:p>
    <w:p>
      <w:pPr>
        <w:spacing w:after="0" w:line="206"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Third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party Manufacturers</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are independent entities, under contract with us, who are subject to their own unique operational and financial risks which are out of our control. If we or any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206"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We believe the technology used to manufacture our products is proprietary. For products manufactured by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we have licensed the necessary aspects of this manufacturing technology that we believe is proprietary to us to enable them to manufacture the products for us. We have agreements with these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that are intended to restrict these manufacturers from using or revealing our technology, but we cannot be certain that these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will comply with these restrictions.</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believe there are multiple third parties capable of providing most of the materials and services we need in order to manufacture API and distribute finished goods, and that supply of materials that cannot be second sourced can be managed with inventory planning, there is always a risk that we may underestimate demand, and that our manufacturing capacity through third-party manufacturers may not be sufficient. In addition, because of the significant lead times involved in our supply chain for ruxolitinib phosphate, we may have less flexibility to adjust our supply in response to changes in demand than if we had shorter lead times. Our strategy is to maintain 24 months of safety stock of API to be able to respond to changes in demand to provide on-time supply of drug product as well as at least 6 months of semi-finished goods inventory.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Access to Supplies and Materials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third-party manufacturers need access to certain supplies and products to manufacture JAKAFI, ICLUSIG, and our drug candidates. If delivery of material from their suppliers were interrupted for any reason or if they are unable to purchase sufficient quantities of raw materials used to manufacture JAKAFI, ICLUSIG, and our drug candidates, they may be unable to ship JAKAFI and ICLUSIG for commercial supply or to supply our drug candidates in development for clinical trials. For example, currently raw materials used to manufacture ruxolitinib phosphate, the API in JAKAFI, are supplied by Chinese-based companies. As a result, an international trade dispute between China and the United States or any other actions by the Chinese government that would limit or prevent Chinese companies from supplying these materials would adversely affect our ability to manufacture and supply our products to meet market needs and have a material and adverse effect on our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2018, we had 1,367 employees, including 748 in research and development, 129 in medical affairs, 289 in sales and marketing and 201 in operations support, finance and administrative positions. Geographically, 1,106 employees were based in the United States and 261 employees were based in Europe and Japan. None of our employees are covered by collective bargaining agreements, and management considers relations with our employees to be good.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 xml:space="preserve">We were incorporated in Delaware in 1991 and our website is located at </w:t>
      </w:r>
      <w:r>
        <w:rPr>
          <w:rFonts w:ascii="Arial" w:cs="Arial" w:eastAsia="Arial" w:hAnsi="Arial"/>
          <w:sz w:val="18"/>
          <w:szCs w:val="18"/>
          <w:i w:val="1"/>
          <w:iCs w:val="1"/>
          <w:color w:val="auto"/>
        </w:rPr>
        <w:t>www.incyte.com</w:t>
      </w:r>
      <w:r>
        <w:rPr>
          <w:rFonts w:ascii="Arial" w:cs="Arial" w:eastAsia="Arial" w:hAnsi="Arial"/>
          <w:sz w:val="18"/>
          <w:szCs w:val="18"/>
          <w:color w:val="auto"/>
        </w:rPr>
        <w:t>. We make available free of charge on our website our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7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JAKAFI is our first and, currently, only product marketed by us that is approved for sale in the United States. It was approved by the U.S. Food and Drug Administration, or FDA, in November 2011 for the treatment of patients with intermediate or high</w:t>
      </w:r>
      <w:r>
        <w:rPr>
          <w:rFonts w:ascii="MS PGothic" w:cs="MS PGothic" w:eastAsia="MS PGothic" w:hAnsi="MS PGothic"/>
          <w:sz w:val="16"/>
          <w:szCs w:val="16"/>
          <w:color w:val="auto"/>
        </w:rPr>
        <w:t>‑</w:t>
      </w:r>
      <w:r>
        <w:rPr>
          <w:rFonts w:ascii="Arial" w:cs="Arial" w:eastAsia="Arial" w:hAnsi="Arial"/>
          <w:sz w:val="16"/>
          <w:szCs w:val="16"/>
          <w:color w:val="auto"/>
        </w:rPr>
        <w:t>risk myelofibrosis and in December 2014 for the treatment of patients with polycythemia vera who have had an inadequate response to or are intolerant of hydroxyurea, which we refer to as uncontrolled polycythemia vera. Although we have received regulatory approval for these indications, such approval does not guarantee future revenues. While in June 2016 we acquired exclusive rights to develop and commercialize ICLUSIG in the European Union, or EU, and other countries and in June 2018 the FDA approved for sale OLUMIANT (baricitinib), which we exclusively licensed to Eli Lilly and Company, for the treatment of specified rheumatoid arthritis indications, we anticipate that JAKAFI product sales will continue to contribute a significant percentage of our total revenues over the next several years.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commercial success of JAKAFI and our ability to generate and maintain revenues from the sale of JAKAFI will depend on a number of factors, including:</w:t>
      </w:r>
    </w:p>
    <w:p>
      <w:pPr>
        <w:spacing w:after="0" w:line="170" w:lineRule="exact"/>
        <w:rPr>
          <w:sz w:val="20"/>
          <w:szCs w:val="20"/>
          <w:color w:val="auto"/>
        </w:rPr>
      </w:pPr>
    </w:p>
    <w:p>
      <w:pPr>
        <w:ind w:left="980" w:hanging="329"/>
        <w:spacing w:after="0" w:line="224" w:lineRule="exact"/>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patients with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or uncontrolled polycythemia vera who are diagnosed with the disease and the number of such patients that may be treated with JAKAFI;</w:t>
      </w:r>
    </w:p>
    <w:p>
      <w:pPr>
        <w:spacing w:after="0" w:line="201" w:lineRule="exact"/>
        <w:rPr>
          <w:rFonts w:ascii="Arial" w:cs="Arial" w:eastAsia="Arial" w:hAnsi="Arial"/>
          <w:sz w:val="17"/>
          <w:szCs w:val="17"/>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obtain and maintain sufficient coverage or reimbursement by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25"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manufacture JAKAFI in sufficient quantities with acceptable quality;</w:t>
      </w:r>
    </w:p>
    <w:p>
      <w:pPr>
        <w:spacing w:after="0" w:line="203"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company and our third</w:t>
      </w:r>
      <w:r>
        <w:rPr>
          <w:rFonts w:ascii="MS PGothic" w:cs="MS PGothic" w:eastAsia="MS PGothic" w:hAnsi="MS PGothic"/>
          <w:sz w:val="17"/>
          <w:szCs w:val="17"/>
          <w:color w:val="auto"/>
        </w:rPr>
        <w:t>‑</w:t>
      </w:r>
      <w:r>
        <w:rPr>
          <w:rFonts w:ascii="Arial" w:cs="Arial" w:eastAsia="Arial" w:hAnsi="Arial"/>
          <w:sz w:val="17"/>
          <w:szCs w:val="17"/>
          <w:color w:val="auto"/>
        </w:rPr>
        <w:t>party providers to provide marketing and distribution support for</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not successful in commercializing JAKAFI in the United States, or are significantly delayed or limited in doing so, our business may be materially harmed and we may need to delay other drug discovery and development initiatives or even significantly curtail operations.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our receipt of royalties under our collaboration agreements with Novartis for sales of JAKAVI outside the United States and with Lilly for worldwide sales of OLUMIANT will depend on factors similar to those listed above for jurisdictions outside the United States.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8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We may not be able to sell our products on a profitable basis or our profitability may be reduced if we are required to sell our products at lower than anticipated prices or reimbursement is unavailable or limited in scope or amount. JAKAFI and ICLUSIG are expensive and almost all patients will require some form of third-party coverage to afford their cost. Our future revenues and profitability will be adversely affected if we cannot depend on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 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third-party payors of health care costs, which could be affected by current and potential healthcare reform legislation.” If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refuse to provide coverage and reimbursement with respect to our products, determine to provide a lower level of coverage and reimbursement than anticipated, or reduce previously approved levels of coverage and reimbursement, then our pricing or reimbursement for our products may be affected and our product sales, results of operations or financial condition could be harmed.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Prior to our commercialization of JAKAFI, we had no experience selling and marketing drug products and with pricing and obtaining adequate third</w:t>
      </w:r>
      <w:r>
        <w:rPr>
          <w:rFonts w:ascii="MS PGothic" w:cs="MS PGothic" w:eastAsia="MS PGothic" w:hAnsi="MS PGothic"/>
          <w:sz w:val="17"/>
          <w:szCs w:val="17"/>
          <w:color w:val="auto"/>
        </w:rPr>
        <w:t>‑</w:t>
      </w:r>
      <w:r>
        <w:rPr>
          <w:rFonts w:ascii="Arial" w:cs="Arial" w:eastAsia="Arial" w:hAnsi="Arial"/>
          <w:sz w:val="17"/>
          <w:szCs w:val="17"/>
          <w:color w:val="auto"/>
        </w:rPr>
        <w:t>party reimbursement for drug products. Under our collaboration and license agreement with Novartis, we have retained commercialization rights to JAKAFI in the United States. We have established commercial capabilities in the United States, but cannot guarantee that we will be able to enter into and maintain any marketing, distribution or third</w:t>
      </w:r>
      <w:r>
        <w:rPr>
          <w:rFonts w:ascii="MS PGothic" w:cs="MS PGothic" w:eastAsia="MS PGothic" w:hAnsi="MS PGothic"/>
          <w:sz w:val="17"/>
          <w:szCs w:val="17"/>
          <w:color w:val="auto"/>
        </w:rPr>
        <w:t>‑</w:t>
      </w:r>
      <w:r>
        <w:rPr>
          <w:rFonts w:ascii="Arial" w:cs="Arial" w:eastAsia="Arial" w:hAnsi="Arial"/>
          <w:sz w:val="17"/>
          <w:szCs w:val="17"/>
          <w:color w:val="auto"/>
        </w:rPr>
        <w:t>party logistics agreements with third</w:t>
      </w:r>
      <w:r>
        <w:rPr>
          <w:rFonts w:ascii="MS PGothic" w:cs="MS PGothic" w:eastAsia="MS PGothic" w:hAnsi="MS PGothic"/>
          <w:sz w:val="17"/>
          <w:szCs w:val="17"/>
          <w:color w:val="auto"/>
        </w:rPr>
        <w:t>‑</w:t>
      </w:r>
      <w:r>
        <w:rPr>
          <w:rFonts w:ascii="Arial" w:cs="Arial" w:eastAsia="Arial" w:hAnsi="Arial"/>
          <w:sz w:val="17"/>
          <w:szCs w:val="17"/>
          <w:color w:val="auto"/>
        </w:rPr>
        <w:t>party providers on acceptable terms, if at all. In connection with our June 2016 acquisition from ARIAD Pharmaceuticals, Inc. we licensed rights to develop and commercialize ICLUSIG in certain countries and we acquired the European sales, marketing and distribution operations of ARIAD. We may not be able to maintain those operations or retain their personnel or distribution arrangements. We may not be able to correctly judge the size and experience of the sales and marketing force and the scale of distribution capabilities necessary to successfully market and sell our products. Establishing and maintaining sales, marketing and distribution capabilities are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labeling, advertising, promotion, risk mitigation, and adverse event reporting requirements.</w:t>
      </w:r>
    </w:p>
    <w:p>
      <w:pPr>
        <w:spacing w:after="0" w:line="20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The commercialization of our products is subject to post</w:t>
      </w:r>
      <w:r>
        <w:rPr>
          <w:rFonts w:ascii="MS PGothic" w:cs="MS PGothic" w:eastAsia="MS PGothic" w:hAnsi="MS PGothic"/>
          <w:sz w:val="16"/>
          <w:szCs w:val="16"/>
          <w:color w:val="auto"/>
        </w:rPr>
        <w:t>‑</w:t>
      </w:r>
      <w:r>
        <w:rPr>
          <w:rFonts w:ascii="Arial" w:cs="Arial" w:eastAsia="Arial" w:hAnsi="Arial"/>
          <w:sz w:val="16"/>
          <w:szCs w:val="16"/>
          <w:color w:val="auto"/>
        </w:rPr>
        <w: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testing of JAKAFI and ICLUSIG, the manufacturing, marketing and sale of JAKAFI and the marketing and sale of ICLUSIG expose us to product liability and other risks. Side effects and other problems experienced by patients from the use of our products could:</w:t>
      </w:r>
    </w:p>
    <w:p>
      <w:pPr>
        <w:spacing w:after="0" w:line="181" w:lineRule="exact"/>
        <w:rPr>
          <w:sz w:val="20"/>
          <w:szCs w:val="20"/>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Previously unknown risks and adverse effects of our products may also be discovered in connection with unapproved, or off</w:t>
      </w:r>
      <w:r>
        <w:rPr>
          <w:rFonts w:ascii="MS PGothic" w:cs="MS PGothic" w:eastAsia="MS PGothic" w:hAnsi="MS PGothic"/>
          <w:sz w:val="17"/>
          <w:szCs w:val="17"/>
          <w:color w:val="auto"/>
        </w:rPr>
        <w:t>‑</w:t>
      </w:r>
      <w:r>
        <w:rPr>
          <w:rFonts w:ascii="Arial" w:cs="Arial" w:eastAsia="Arial" w:hAnsi="Arial"/>
          <w:sz w:val="17"/>
          <w:szCs w:val="17"/>
          <w:color w:val="auto"/>
        </w:rPr>
        <w:t>label, uses of our products. We are prohibited by law from promoting or in any way supporting or encouraging the promotion of our products for off</w:t>
      </w:r>
      <w:r>
        <w:rPr>
          <w:rFonts w:ascii="MS PGothic" w:cs="MS PGothic" w:eastAsia="MS PGothic" w:hAnsi="MS PGothic"/>
          <w:sz w:val="17"/>
          <w:szCs w:val="17"/>
          <w:color w:val="auto"/>
        </w:rPr>
        <w:t>‑</w:t>
      </w:r>
      <w:r>
        <w:rPr>
          <w:rFonts w:ascii="Arial" w:cs="Arial" w:eastAsia="Arial" w:hAnsi="Arial"/>
          <w:sz w:val="17"/>
          <w:szCs w:val="17"/>
          <w:color w:val="auto"/>
        </w:rPr>
        <w:t>label uses, but physicians are permitted to use products for off</w:t>
      </w:r>
      <w:r>
        <w:rPr>
          <w:rFonts w:ascii="MS PGothic" w:cs="MS PGothic" w:eastAsia="MS PGothic" w:hAnsi="MS PGothic"/>
          <w:sz w:val="17"/>
          <w:szCs w:val="17"/>
          <w:color w:val="auto"/>
        </w:rPr>
        <w:t>‑</w:t>
      </w:r>
      <w:r>
        <w:rPr>
          <w:rFonts w:ascii="Arial" w:cs="Arial" w:eastAsia="Arial" w:hAnsi="Arial"/>
          <w:sz w:val="17"/>
          <w:szCs w:val="17"/>
          <w:color w:val="auto"/>
        </w:rPr>
        <w:t>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or uncontrolled polycythemia vera and as JAKAFI is studied in or used by patients for off</w:t>
      </w:r>
      <w:r>
        <w:rPr>
          <w:rFonts w:ascii="MS PGothic" w:cs="MS PGothic" w:eastAsia="MS PGothic" w:hAnsi="MS PGothic"/>
          <w:sz w:val="17"/>
          <w:szCs w:val="17"/>
          <w:color w:val="auto"/>
        </w:rPr>
        <w:t>‑</w:t>
      </w:r>
      <w:r>
        <w:rPr>
          <w:rFonts w:ascii="Arial" w:cs="Arial" w:eastAsia="Arial" w:hAnsi="Arial"/>
          <w:sz w:val="17"/>
          <w:szCs w:val="17"/>
          <w:color w:val="auto"/>
        </w:rPr>
        <w:t>label indications, regulatory authorities may delay or revoke their approvals, we may be required to conduct additional clinical trials, make changes in labeling 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w:t>
      </w:r>
    </w:p>
    <w:p>
      <w:pPr>
        <w:spacing w:after="0" w:line="188"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w:t>
      </w:r>
      <w:r>
        <w:rPr>
          <w:rFonts w:ascii="MS PGothic" w:cs="MS PGothic" w:eastAsia="MS PGothic" w:hAnsi="MS PGothic"/>
          <w:sz w:val="16"/>
          <w:szCs w:val="16"/>
          <w:color w:val="auto"/>
        </w:rPr>
        <w:t>‑</w:t>
      </w:r>
      <w:r>
        <w:rPr>
          <w:rFonts w:ascii="Arial" w:cs="Arial" w:eastAsia="Arial" w:hAnsi="Arial"/>
          <w:sz w:val="16"/>
          <w:szCs w:val="16"/>
          <w:color w:val="auto"/>
        </w:rPr>
        <w:t>existing and potentially life</w:t>
      </w:r>
      <w:r>
        <w:rPr>
          <w:rFonts w:ascii="MS PGothic" w:cs="MS PGothic" w:eastAsia="MS PGothic" w:hAnsi="MS PGothic"/>
          <w:sz w:val="16"/>
          <w:szCs w:val="16"/>
          <w:color w:val="auto"/>
        </w:rPr>
        <w:t>‑</w:t>
      </w:r>
      <w:r>
        <w:rPr>
          <w:rFonts w:ascii="Arial" w:cs="Arial" w:eastAsia="Arial" w:hAnsi="Arial"/>
          <w:sz w:val="16"/>
          <w:szCs w:val="16"/>
          <w:color w:val="auto"/>
        </w:rPr>
        <w:t>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Factors similar to those listed above also apply to our collaboration partner Novartis and to ICLUSIG for jurisdictions outside the United States.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w:t>
      </w:r>
      <w:r>
        <w:rPr>
          <w:rFonts w:ascii="MS PGothic" w:cs="MS PGothic" w:eastAsia="MS PGothic" w:hAnsi="MS PGothic"/>
          <w:sz w:val="17"/>
          <w:szCs w:val="17"/>
          <w:color w:val="auto"/>
        </w:rPr>
        <w:t>‑</w:t>
      </w:r>
      <w:r>
        <w:rPr>
          <w:rFonts w:ascii="Arial" w:cs="Arial" w:eastAsia="Arial" w:hAnsi="Arial"/>
          <w:sz w:val="17"/>
          <w:szCs w:val="17"/>
          <w:color w:val="auto"/>
        </w:rPr>
        <w:t>kickback provisions of the federal Social Security Act, and other state and federal laws and regulations. Federal and state anti</w:t>
      </w:r>
      <w:r>
        <w:rPr>
          <w:rFonts w:ascii="MS PGothic" w:cs="MS PGothic" w:eastAsia="MS PGothic" w:hAnsi="MS PGothic"/>
          <w:sz w:val="17"/>
          <w:szCs w:val="17"/>
          <w:color w:val="auto"/>
        </w:rPr>
        <w:t>‑</w:t>
      </w:r>
      <w:r>
        <w:rPr>
          <w:rFonts w:ascii="Arial" w:cs="Arial" w:eastAsia="Arial" w:hAnsi="Arial"/>
          <w:sz w:val="17"/>
          <w:szCs w:val="17"/>
          <w:color w:val="auto"/>
        </w:rPr>
        <w:t>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w:t>
      </w:r>
      <w:r>
        <w:rPr>
          <w:rFonts w:ascii="MS PGothic" w:cs="MS PGothic" w:eastAsia="MS PGothic" w:hAnsi="MS PGothic"/>
          <w:sz w:val="17"/>
          <w:szCs w:val="17"/>
          <w:color w:val="auto"/>
        </w:rPr>
        <w:t>‑</w:t>
      </w:r>
      <w:r>
        <w:rPr>
          <w:rFonts w:ascii="Arial" w:cs="Arial" w:eastAsia="Arial" w:hAnsi="Arial"/>
          <w:sz w:val="17"/>
          <w:szCs w:val="17"/>
          <w:color w:val="auto"/>
        </w:rPr>
        <w:t xml:space="preserve"> or state</w:t>
      </w:r>
      <w:r>
        <w:rPr>
          <w:rFonts w:ascii="MS PGothic" w:cs="MS PGothic" w:eastAsia="MS PGothic" w:hAnsi="MS PGothic"/>
          <w:sz w:val="17"/>
          <w:szCs w:val="17"/>
          <w:color w:val="auto"/>
        </w:rPr>
        <w:t>‑</w:t>
      </w:r>
      <w:r>
        <w:rPr>
          <w:rFonts w:ascii="Arial" w:cs="Arial" w:eastAsia="Arial" w:hAnsi="Arial"/>
          <w:sz w:val="17"/>
          <w:szCs w:val="17"/>
          <w:color w:val="auto"/>
        </w:rPr>
        <w:t>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204"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w:t>
      </w:r>
      <w:r>
        <w:rPr>
          <w:rFonts w:ascii="MS PGothic" w:cs="MS PGothic" w:eastAsia="MS PGothic" w:hAnsi="MS PGothic"/>
          <w:sz w:val="17"/>
          <w:szCs w:val="17"/>
          <w:color w:val="auto"/>
        </w:rPr>
        <w:t>‑</w:t>
      </w:r>
      <w:r>
        <w:rPr>
          <w:rFonts w:ascii="Arial" w:cs="Arial" w:eastAsia="Arial" w:hAnsi="Arial"/>
          <w:sz w:val="17"/>
          <w:szCs w:val="17"/>
          <w:color w:val="auto"/>
        </w:rPr>
        <w:t>label uses. We market JAKAFI for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and uncontrolled polycythemia vera and provide promotional materials to physicians regarding the use of JAKAFI for these indications. Although we believe that our promotional materials for physicians do not constitute off</w:t>
      </w:r>
      <w:r>
        <w:rPr>
          <w:rFonts w:ascii="MS PGothic" w:cs="MS PGothic" w:eastAsia="MS PGothic" w:hAnsi="MS PGothic"/>
          <w:sz w:val="17"/>
          <w:szCs w:val="17"/>
          <w:color w:val="auto"/>
        </w:rPr>
        <w:t>‑</w:t>
      </w:r>
      <w:r>
        <w:rPr>
          <w:rFonts w:ascii="Arial" w:cs="Arial" w:eastAsia="Arial" w:hAnsi="Arial"/>
          <w:sz w:val="17"/>
          <w:szCs w:val="17"/>
          <w:color w:val="auto"/>
        </w:rPr>
        <w:t>label promotion of JAKAFI, the FDA or other agencies may disagree. If the FDA or another agency determines that our promotional materials or other activities constitute off</w:t>
      </w:r>
      <w:r>
        <w:rPr>
          <w:rFonts w:ascii="MS PGothic" w:cs="MS PGothic" w:eastAsia="MS PGothic" w:hAnsi="MS PGothic"/>
          <w:sz w:val="17"/>
          <w:szCs w:val="17"/>
          <w:color w:val="auto"/>
        </w:rPr>
        <w:t>‑</w:t>
      </w:r>
      <w:r>
        <w:rPr>
          <w:rFonts w:ascii="Arial" w:cs="Arial" w:eastAsia="Arial" w:hAnsi="Arial"/>
          <w:sz w:val="17"/>
          <w:szCs w:val="17"/>
          <w:color w:val="auto"/>
        </w:rPr>
        <w:t>label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European Union and member countries impose similar strict restrictions on the promotion and marketing of drug products. The off-label promotion of medicinal products is prohibited in the EU and in other territories.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8" w:lineRule="exact"/>
        <w:rPr>
          <w:sz w:val="20"/>
          <w:szCs w:val="20"/>
          <w:color w:val="auto"/>
        </w:rPr>
      </w:pPr>
    </w:p>
    <w:p>
      <w:pPr>
        <w:jc w:val="both"/>
        <w:ind w:firstLine="648"/>
        <w:spacing w:after="0" w:line="224" w:lineRule="exact"/>
        <w:rPr>
          <w:sz w:val="20"/>
          <w:szCs w:val="20"/>
          <w:color w:val="auto"/>
        </w:rPr>
      </w:pPr>
      <w:r>
        <w:rPr>
          <w:rFonts w:ascii="Arial" w:cs="Arial" w:eastAsia="Arial" w:hAnsi="Arial"/>
          <w:sz w:val="16"/>
          <w:szCs w:val="16"/>
          <w:color w:val="auto"/>
        </w:rPr>
        <w:t>The majority of states also have statutes or regulations similar to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law and false claims laws, which apply to items and services reimbursed under Medicaid and other state programs, or, in several states, apply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regardless of the payor. In recent years, several states and localities, including California, Connecticut, the District of Columbia, Massachusetts, Minnesota, Nevada, New Mexico, Texas, Vermont, and West Virginia, have enacted legislation requiring pharmaceutical companies to establish marketing compliance programs, file periodic reports with the state or make periodic public disclosures on sales, marketing, pricing, clinical trials, and other activities. Similar legislation is being considered in other states. Additionally, as part of the Patient Protection and Affordable Care Act, the federal government has enacted the Physician Payment Sunshine provisions. The Sunshine provisions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 See also “—Other Risks Relating to our Business—If we fail to comply with the extensive legal and regulatory requirements affecting the health care industry, we could face increased costs, penalties and a loss of business”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January 2019, Celgene Corporation announced that it had submitted an NDA for fedratinib, a drug candidate for the treatment of myelofibrosis, and expected FDA approval by year-end 2019.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of United States Patent and Trademark Office denied a petition challenging our patent covering deuterated ruxolitinib analogs, although the challenging party retains the right to challenge the validity of the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a generic version of imatinib was launched in the United States in February 2016, and generic versions are expected to be launched in other markets. Although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our drug candidates, other than JAKAFI/JAKAVI, has received regulatory approval. Our ability to discover and develop drug candidates and to commercialize additional drug products will depend on our ability to:</w:t>
      </w:r>
    </w:p>
    <w:p>
      <w:pPr>
        <w:spacing w:after="0" w:line="170" w:lineRule="exact"/>
        <w:rPr>
          <w:sz w:val="20"/>
          <w:szCs w:val="20"/>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and enroll suitable human subjects, either in the United States or abroad, for our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and maintain necessary regulatory approvals for our products, both in the United States and abroad;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enter into arrangements with third parties to provide services or to manufacture our products on our behalf;</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deploy sales and marketing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We have limited experience with many of the activities listed above and may not be successful in discovering, developing, or commercializing additional drug products. Discovery and development of drug candidates are expensive, uncertain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do not know if our efforts will lead to discovery of any drug candidates that can be successfully developed and marketed. Of the compounds or biologics that we identify as potential drug products or that we may in</w:t>
      </w:r>
      <w:r>
        <w:rPr>
          <w:rFonts w:ascii="MS PGothic" w:cs="MS PGothic" w:eastAsia="MS PGothic" w:hAnsi="MS PGothic"/>
          <w:sz w:val="17"/>
          <w:szCs w:val="17"/>
          <w:color w:val="auto"/>
        </w:rPr>
        <w:t>‑</w:t>
      </w:r>
      <w:r>
        <w:rPr>
          <w:rFonts w:ascii="Arial" w:cs="Arial" w:eastAsia="Arial" w:hAnsi="Arial"/>
          <w:sz w:val="17"/>
          <w:szCs w:val="17"/>
          <w:color w:val="auto"/>
        </w:rPr>
        <w:t>license from other companies, including potential products for which we are conducting clinical trials, only a few, if any, are likely to lead to successful drug development programs and commercialized drug products.</w:t>
      </w: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invested significant resources in the development of our most advanced drug candidates. Ruxolitinib is in Phase III clinical trials for the treatment of patients with steroid-refractory graft-versus-host disease and is in other clinical trials. Itacitinib is in a Phase III clinical trial for the treatment of patients with acute graft-versus-host disease.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program. If a product is developed but not approved or marketed, we may have spent significant amounts of time and money on it, which could adversely affect our operating results and financial condition as well as our business plans.</w:t>
      </w:r>
    </w:p>
    <w:p>
      <w:pPr>
        <w:spacing w:after="0" w:line="14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drug candidates may be stopped, due to many potential factors, including:</w:t>
      </w:r>
    </w:p>
    <w:p>
      <w:pPr>
        <w:spacing w:after="0" w:line="189" w:lineRule="exact"/>
        <w:rPr>
          <w:sz w:val="20"/>
          <w:szCs w:val="20"/>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If clinical trials of any of our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8"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payors of health care costs, which could be affected by current and potential healthcare reform legislation.</w:t>
      </w:r>
    </w:p>
    <w:p>
      <w:pPr>
        <w:spacing w:after="0" w:line="203"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Our ability to commercialize our current and any future approved products successfully will depend in part on the extent to which adequate reimbursement levels for the cost of our products and related treatment are obtained from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insurers, government insurance programs, including Medicare and Medicaid, health maintenance organizations (HMOs) and other health care related organizations.</w:t>
      </w:r>
    </w:p>
    <w:p>
      <w:pPr>
        <w:spacing w:after="0" w:line="20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recent years, through legislative and regulatory actions, the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 Further federal and state proposals to regulate prices of pharmaceutical products and other health care reforms are possible, which could limit the prices that can be charged for any of our products and may further limit the commercial viability of our products and drug candidates. In certain foreign markets, pricing or profitability of prescription pharmaceuticals is subject to government control. If reimbursement for our products is unavailable or limited in scope or amount, or if pricing is set at unsatisfactory levels, our business could be materially harmed. There may be future changes that result in reductions in current coverage and reimbursement levels for our current or any future approved products, and we cannot predict the scope of any future changes or the impact that those changes would have on our operations.</w:t>
      </w:r>
    </w:p>
    <w:p>
      <w:pPr>
        <w:spacing w:after="0" w:line="17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w:t>
      </w:r>
      <w:r>
        <w:rPr>
          <w:rFonts w:ascii="MS PGothic" w:cs="MS PGothic" w:eastAsia="MS PGothic" w:hAnsi="MS PGothic"/>
          <w:sz w:val="18"/>
          <w:szCs w:val="18"/>
          <w:color w:val="auto"/>
        </w:rPr>
        <w:t>‑</w:t>
      </w:r>
      <w:r>
        <w:rPr>
          <w:rFonts w:ascii="Arial" w:cs="Arial" w:eastAsia="Arial" w:hAnsi="Arial"/>
          <w:sz w:val="18"/>
          <w:szCs w:val="18"/>
          <w:color w:val="auto"/>
        </w:rPr>
        <w: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203"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continuing efforts of legislatures, health agencies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licensed to Novartis rights to ruxolitinib outside of the United States and worldwide rights to our MET inhibitor compounds and licensed to Lilly worldwide rights to baricitinib. In addition, we have licensed to Innovent certain Asian rights to three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may arise if, among other things, there is a dispute about the achievement and payment of a milestone amount or the ownership of intellectual property that is developed during the course of a collaborative relationship.</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Innovent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Innovent Biologics, Inc., MacroGenics, Inc., Merus N.V.,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Even if any of our drug candidates receives regulatory approval, it could be subject to post</w:t>
      </w:r>
      <w:r>
        <w:rPr>
          <w:rFonts w:ascii="MS PGothic" w:cs="MS PGothic" w:eastAsia="MS PGothic" w:hAnsi="MS PGothic"/>
          <w:sz w:val="16"/>
          <w:szCs w:val="16"/>
          <w:color w:val="auto"/>
        </w:rPr>
        <w:t>‑</w:t>
      </w:r>
      <w:r>
        <w:rPr>
          <w:rFonts w:ascii="Arial" w:cs="Arial" w:eastAsia="Arial" w:hAnsi="Arial"/>
          <w:sz w:val="16"/>
          <w:szCs w:val="16"/>
          <w:color w:val="auto"/>
        </w:rPr>
        <w: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Even if we are successful in gaining regulatory approval of any of our drug candidates in addition to JAKAFI or acquire rights to approved drug products in addition to ICLUSIG, we may not generate significant product revenues and we may not become profitable if these drug products do not achieve an adequate level of acceptance. Physicians may not recommend our drug products until longer</w:t>
      </w:r>
      <w:r>
        <w:rPr>
          <w:rFonts w:ascii="MS PGothic" w:cs="MS PGothic" w:eastAsia="MS PGothic" w:hAnsi="MS PGothic"/>
          <w:sz w:val="16"/>
          <w:szCs w:val="16"/>
          <w:color w:val="auto"/>
        </w:rPr>
        <w:t>‑</w:t>
      </w:r>
      <w:r>
        <w:rPr>
          <w:rFonts w:ascii="Arial" w:cs="Arial" w:eastAsia="Arial" w:hAnsi="Arial"/>
          <w:sz w:val="16"/>
          <w:szCs w:val="16"/>
          <w:color w:val="auto"/>
        </w:rPr>
        <w:t>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and the effectiveness of our competitors in marketing their products.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w:t>
      </w:r>
    </w:p>
    <w:p>
      <w:pPr>
        <w:spacing w:after="0" w:line="170" w:lineRule="exact"/>
        <w:rPr>
          <w:sz w:val="20"/>
          <w:szCs w:val="20"/>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with acceptable quality and to offer our drug products for sale at competitive prices;</w:t>
      </w:r>
    </w:p>
    <w:p>
      <w:pPr>
        <w:spacing w:after="0" w:line="170" w:lineRule="exact"/>
        <w:rPr>
          <w:rFonts w:ascii="Arial" w:cs="Arial" w:eastAsia="Arial" w:hAnsi="Arial"/>
          <w:sz w:val="18"/>
          <w:szCs w:val="18"/>
          <w:color w:val="auto"/>
        </w:rPr>
      </w:pPr>
    </w:p>
    <w:p>
      <w:pPr>
        <w:ind w:left="980" w:hanging="329"/>
        <w:spacing w:after="0" w:line="224" w:lineRule="exact"/>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w:t>
      </w:r>
      <w:r>
        <w:rPr>
          <w:rFonts w:ascii="MS PGothic" w:cs="MS PGothic" w:eastAsia="MS PGothic" w:hAnsi="MS PGothic"/>
          <w:sz w:val="17"/>
          <w:szCs w:val="17"/>
          <w:color w:val="auto"/>
        </w:rPr>
        <w:t>‑</w:t>
      </w:r>
      <w:r>
        <w:rPr>
          <w:rFonts w:ascii="Arial" w:cs="Arial" w:eastAsia="Arial" w:hAnsi="Arial"/>
          <w:sz w:val="17"/>
          <w:szCs w:val="17"/>
          <w:color w:val="auto"/>
        </w:rPr>
        <w:t>party payors, regarding the safety, efficacy and benefits of our drug products compared to those of competing products or therapies;</w:t>
      </w:r>
    </w:p>
    <w:p>
      <w:pPr>
        <w:spacing w:after="0" w:line="201" w:lineRule="exact"/>
        <w:rPr>
          <w:rFonts w:ascii="Arial" w:cs="Arial" w:eastAsia="Arial" w:hAnsi="Arial"/>
          <w:sz w:val="17"/>
          <w:szCs w:val="17"/>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do not currently operate manufacturing facilities for clinical or commercial production of JAKAFI and our other drug candidates or for ICLUSIG. We currently hire third parties to manufacture the raw materials, active pharmaceutical ingredient, or API, and finished drug product of JAKAFI, ICLUSIG and our other drug candidates for clinical trials.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JAKAFI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JAKAFI, ICLUSIG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capacity is available when we need it even if we do not use all of the manufacturing capacity, and our business and operating results could be harmed.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Our activities, and the activities of our collaborators, partners and third</w:t>
      </w:r>
      <w:r>
        <w:rPr>
          <w:rFonts w:ascii="MS PGothic" w:cs="MS PGothic" w:eastAsia="MS PGothic" w:hAnsi="MS PGothic"/>
          <w:sz w:val="16"/>
          <w:szCs w:val="16"/>
          <w:color w:val="auto"/>
        </w:rPr>
        <w:t>‑</w:t>
      </w:r>
      <w:r>
        <w:rPr>
          <w:rFonts w:ascii="Arial" w:cs="Arial" w:eastAsia="Arial" w:hAnsi="Arial"/>
          <w:sz w:val="16"/>
          <w:szCs w:val="16"/>
          <w:color w:val="auto"/>
        </w:rPr>
        <w:t>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In addition, pharmaceutical and biotechnology companies have been the target of lawsuits and investigations alleging violations of government regulations, including claims asserting submission of incorrect pricing information, impermissible off</w:t>
      </w:r>
      <w:r>
        <w:rPr>
          <w:rFonts w:ascii="MS PGothic" w:cs="MS PGothic" w:eastAsia="MS PGothic" w:hAnsi="MS PGothic"/>
          <w:sz w:val="16"/>
          <w:szCs w:val="16"/>
          <w:color w:val="auto"/>
        </w:rPr>
        <w:t>‑</w:t>
      </w:r>
      <w:r>
        <w:rPr>
          <w:rFonts w:ascii="Arial" w:cs="Arial" w:eastAsia="Arial" w:hAnsi="Arial"/>
          <w:sz w:val="16"/>
          <w:szCs w:val="16"/>
          <w:color w:val="auto"/>
        </w:rPr>
        <w:t>label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w:t>
      </w:r>
      <w:r>
        <w:rPr>
          <w:rFonts w:ascii="MS PGothic" w:cs="MS PGothic" w:eastAsia="MS PGothic" w:hAnsi="MS PGothic"/>
          <w:sz w:val="16"/>
          <w:szCs w:val="16"/>
          <w:color w:val="auto"/>
        </w:rPr>
        <w:t>‑</w:t>
      </w:r>
      <w:r>
        <w:rPr>
          <w:rFonts w:ascii="Arial" w:cs="Arial" w:eastAsia="Arial" w:hAnsi="Arial"/>
          <w:sz w:val="16"/>
          <w:szCs w:val="16"/>
          <w:color w:val="auto"/>
        </w:rPr>
        <w:t>bribery or anti</w:t>
      </w:r>
      <w:r>
        <w:rPr>
          <w:rFonts w:ascii="MS PGothic" w:cs="MS PGothic" w:eastAsia="MS PGothic" w:hAnsi="MS PGothic"/>
          <w:sz w:val="16"/>
          <w:szCs w:val="16"/>
          <w:color w:val="auto"/>
        </w:rPr>
        <w:t>‑</w:t>
      </w:r>
      <w:r>
        <w:rPr>
          <w:rFonts w:ascii="Arial" w:cs="Arial" w:eastAsia="Arial" w:hAnsi="Arial"/>
          <w:sz w:val="16"/>
          <w:szCs w:val="16"/>
          <w:color w:val="auto"/>
        </w:rPr>
        <w:t>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w:t>
      </w:r>
      <w:r>
        <w:rPr>
          <w:rFonts w:ascii="MS PGothic" w:cs="MS PGothic" w:eastAsia="MS PGothic" w:hAnsi="MS PGothic"/>
          <w:sz w:val="16"/>
          <w:szCs w:val="16"/>
          <w:color w:val="auto"/>
        </w:rPr>
        <w:t>‑</w:t>
      </w:r>
      <w:r>
        <w:rPr>
          <w:rFonts w:ascii="Arial" w:cs="Arial" w:eastAsia="Arial" w:hAnsi="Arial"/>
          <w:sz w:val="16"/>
          <w:szCs w:val="16"/>
          <w:color w:val="auto"/>
        </w:rPr>
        <w:t>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facility in Wilmington, Delaware is our headquarters and is also where we conduct all of our drug discovery, research, development and marketing activities. In addition, natural disasters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and obtained the exclusive license to develop and commercialize ICLUSIG in Europe and other countries.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year ended December 31, 2018, we recorded unrealized losses related to our investments in Agenus Inc., Calithera Biosciences, Inc., Merus N.V. and Syros Pharmaceuticals, Inc., and we may in the future experience additional losses related to our investments. In addition, if we choose to issue shares of our stock as consideration for any acquisition, dilution to our stockholders could result.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associated with the expansion of our operations outside of the United States could adversely affect our business.</w:t>
      </w:r>
    </w:p>
    <w:p>
      <w:pPr>
        <w:spacing w:after="0" w:line="2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including our recent expansion in Japan. We have limited experience with conducting activities outside of the United States. International operations and business expansion plans are subject to numerous additional risks, including:</w:t>
      </w:r>
    </w:p>
    <w:p>
      <w:pPr>
        <w:spacing w:after="0" w:line="171" w:lineRule="exact"/>
        <w:rPr>
          <w:sz w:val="20"/>
          <w:szCs w:val="20"/>
          <w:color w:val="auto"/>
        </w:rPr>
      </w:pPr>
    </w:p>
    <w:p>
      <w:pPr>
        <w:jc w:val="both"/>
        <w:ind w:left="980" w:hanging="329"/>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w:t>
      </w:r>
    </w:p>
    <w:p>
      <w:pPr>
        <w:spacing w:after="0" w:line="181"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w:t>
      </w:r>
      <w:r>
        <w:rPr>
          <w:rFonts w:ascii="MS PGothic" w:cs="MS PGothic" w:eastAsia="MS PGothic" w:hAnsi="MS PGothic"/>
          <w:sz w:val="18"/>
          <w:szCs w:val="18"/>
          <w:color w:val="auto"/>
        </w:rPr>
        <w:t>‑</w:t>
      </w:r>
      <w:r>
        <w:rPr>
          <w:rFonts w:ascii="Arial" w:cs="Arial" w:eastAsia="Arial" w:hAnsi="Arial"/>
          <w:sz w:val="18"/>
          <w:szCs w:val="18"/>
          <w:color w:val="auto"/>
        </w:rPr>
        <w:t>reimbursement regimes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03"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1"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operate, including terrorism and political unrest, curtailment of trade and other business restrictions, and uncertainties associated with the future relationship between the United Kingdom and the European Union; and</w:t>
      </w:r>
    </w:p>
    <w:p>
      <w:pPr>
        <w:spacing w:after="0" w:line="181" w:lineRule="exact"/>
        <w:rPr>
          <w:rFonts w:ascii="Arial" w:cs="Arial" w:eastAsia="Arial" w:hAnsi="Arial"/>
          <w:sz w:val="18"/>
          <w:szCs w:val="18"/>
          <w:color w:val="auto"/>
        </w:rPr>
      </w:pPr>
    </w:p>
    <w:p>
      <w:pPr>
        <w:jc w:val="both"/>
        <w:ind w:left="980" w:hanging="329"/>
        <w:spacing w:after="0" w:line="220" w:lineRule="exact"/>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 or similar anti</w:t>
      </w:r>
      <w:r>
        <w:rPr>
          <w:rFonts w:ascii="MS PGothic" w:cs="MS PGothic" w:eastAsia="MS PGothic" w:hAnsi="MS PGothic"/>
          <w:sz w:val="18"/>
          <w:szCs w:val="18"/>
          <w:color w:val="auto"/>
        </w:rPr>
        <w:t>‑</w:t>
      </w:r>
      <w:r>
        <w:rPr>
          <w:rFonts w:ascii="Arial" w:cs="Arial" w:eastAsia="Arial" w:hAnsi="Arial"/>
          <w:sz w:val="18"/>
          <w:szCs w:val="18"/>
          <w:color w:val="auto"/>
        </w:rPr>
        <w:t>bribery or anti</w:t>
      </w:r>
      <w:r>
        <w:rPr>
          <w:rFonts w:ascii="MS PGothic" w:cs="MS PGothic" w:eastAsia="MS PGothic" w:hAnsi="MS PGothic"/>
          <w:sz w:val="18"/>
          <w:szCs w:val="18"/>
          <w:color w:val="auto"/>
        </w:rPr>
        <w:t>‑</w:t>
      </w:r>
      <w:r>
        <w:rPr>
          <w:rFonts w:ascii="Arial" w:cs="Arial" w:eastAsia="Arial" w:hAnsi="Arial"/>
          <w:sz w:val="18"/>
          <w:szCs w:val="18"/>
          <w:color w:val="auto"/>
        </w:rPr>
        <w:t>corruption laws and regulations, such as the U.K. Anti-Bribery Act and the U.K. Criminal Finances Act.</w:t>
      </w:r>
    </w:p>
    <w:p>
      <w:pPr>
        <w:spacing w:after="0" w:line="2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Due to historical net losses, we had an accumulated deficit of $1.9 billion as of December 31, 2018.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for several years, if ever.</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above and the significant uncertainties relating to our ability to generate commercially successful drug products. Even if we are successful in obtaining regulatory approvals for manufacturing and commercializing drug products in addition to JAKAFI and ICLUSIG, we may incur losses if our drug products do not generate significant revenues.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w:t>
      </w:r>
      <w:r>
        <w:rPr>
          <w:rFonts w:ascii="MS PGothic" w:cs="MS PGothic" w:eastAsia="MS PGothic" w:hAnsi="MS PGothic"/>
          <w:sz w:val="18"/>
          <w:szCs w:val="18"/>
          <w:color w:val="auto"/>
        </w:rPr>
        <w:t>‑</w:t>
      </w:r>
      <w:r>
        <w:rPr>
          <w:rFonts w:ascii="Arial" w:cs="Arial" w:eastAsia="Arial" w:hAnsi="Arial"/>
          <w:sz w:val="18"/>
          <w:szCs w:val="18"/>
          <w:color w:val="auto"/>
        </w:rPr>
        <w:t>forward.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exercise of any co</w:t>
      </w:r>
      <w:r>
        <w:rPr>
          <w:rFonts w:ascii="MS PGothic" w:cs="MS PGothic" w:eastAsia="MS PGothic" w:hAnsi="MS PGothic"/>
          <w:sz w:val="16"/>
          <w:szCs w:val="16"/>
          <w:color w:val="auto"/>
        </w:rPr>
        <w:t>‑</w:t>
      </w:r>
      <w:r>
        <w:rPr>
          <w:rFonts w:ascii="Arial" w:cs="Arial" w:eastAsia="Arial" w:hAnsi="Arial"/>
          <w:sz w:val="16"/>
          <w:szCs w:val="16"/>
          <w:color w:val="auto"/>
        </w:rPr>
        <w:t>development options with collaborators that may require us to fund future development;</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receipt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additional convertible debt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incur further indebtedness.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corporate bonds and money market funds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current revenues are derived from JAKAFI and ICLUSIG product sales, JAKAVI and OLUMIANT product royalties, collaborations and from licensing our intellectual property. If we are unable to achieve milestones, develop products or renew or enter into new collaborations, our revenues may decrease, and future milestone and royalty payments may not contribute significantly to revenues for several years, and may never result in revenues.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derived substantially all of our revenues for the year ended December 31, 2018 from JAKAFI and ICLUSIG product revenues, JAKAVI and OLUMIANT product royalties and our collaborations and licensing our intellectual property to others.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revenue. 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7" w:lineRule="exact"/>
        <w:rPr>
          <w:sz w:val="20"/>
          <w:szCs w:val="20"/>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 our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w:t>
      </w:r>
      <w:r>
        <w:rPr>
          <w:rFonts w:ascii="MS PGothic" w:cs="MS PGothic" w:eastAsia="MS PGothic" w:hAnsi="MS PGothic"/>
          <w:sz w:val="16"/>
          <w:szCs w:val="16"/>
          <w:color w:val="auto"/>
        </w:rPr>
        <w:t>‑</w:t>
      </w:r>
      <w:r>
        <w:rPr>
          <w:rFonts w:ascii="Arial" w:cs="Arial" w:eastAsia="Arial" w:hAnsi="Arial"/>
          <w:sz w:val="16"/>
          <w:szCs w:val="16"/>
          <w:color w:val="auto"/>
        </w:rPr>
        <w:t>infringing technology or license technology on a timely basis or on reasonable terms, our business could be harmed.</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2"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w:t>
      </w:r>
      <w:r>
        <w:rPr>
          <w:rFonts w:ascii="MS PGothic" w:cs="MS PGothic" w:eastAsia="MS PGothic" w:hAnsi="MS PGothic"/>
          <w:sz w:val="18"/>
          <w:szCs w:val="18"/>
          <w:color w:val="auto"/>
        </w:rPr>
        <w:t>‑</w:t>
      </w:r>
      <w:r>
        <w:rPr>
          <w:rFonts w:ascii="Arial" w:cs="Arial" w:eastAsia="Arial" w:hAnsi="Arial"/>
          <w:sz w:val="18"/>
          <w:szCs w:val="18"/>
          <w:color w:val="auto"/>
        </w:rPr>
        <w:t>licensed to us or subject to a collaboration with a third-party, the protection of the intellectual property rights may not be in our hands. If we do not control the intellectual property rights in</w:t>
      </w:r>
      <w:r>
        <w:rPr>
          <w:rFonts w:ascii="MS PGothic" w:cs="MS PGothic" w:eastAsia="MS PGothic" w:hAnsi="MS PGothic"/>
          <w:sz w:val="18"/>
          <w:szCs w:val="18"/>
          <w:color w:val="auto"/>
        </w:rPr>
        <w:t>‑</w:t>
      </w:r>
      <w:r>
        <w:rPr>
          <w:rFonts w:ascii="Arial" w:cs="Arial" w:eastAsia="Arial" w:hAnsi="Arial"/>
          <w:sz w:val="18"/>
          <w:szCs w:val="18"/>
          <w:color w:val="auto"/>
        </w:rPr>
        <w:t>licensed to us with respect to a drug candidate and the entity that controls the intellectual property rights does not adequately protect those rights, our rights may be impaired, which may impact our ability to develop, market and commercialize the in</w:t>
      </w:r>
      <w:r>
        <w:rPr>
          <w:rFonts w:ascii="MS PGothic" w:cs="MS PGothic" w:eastAsia="MS PGothic" w:hAnsi="MS PGothic"/>
          <w:sz w:val="18"/>
          <w:szCs w:val="18"/>
          <w:color w:val="auto"/>
        </w:rPr>
        <w:t>‑</w:t>
      </w:r>
      <w:r>
        <w:rPr>
          <w:rFonts w:ascii="Arial" w:cs="Arial" w:eastAsia="Arial" w:hAnsi="Arial"/>
          <w:sz w:val="18"/>
          <w:szCs w:val="18"/>
          <w:color w:val="auto"/>
        </w:rPr>
        <w:t>licensed drug candidate.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were amended in 1995 to change the term of patent protection from 17 years from patent issuance to 20 years from the earliest effective filing date of the application. Because the time from filing to issuance of biotechnology applications may be more than three years depending on the subject matter, a 20</w:t>
      </w:r>
      <w:r>
        <w:rPr>
          <w:rFonts w:ascii="MS PGothic" w:cs="MS PGothic" w:eastAsia="MS PGothic" w:hAnsi="MS PGothic"/>
          <w:sz w:val="18"/>
          <w:szCs w:val="18"/>
          <w:color w:val="auto"/>
        </w:rPr>
        <w:t>‑</w:t>
      </w:r>
      <w:r>
        <w:rPr>
          <w:rFonts w:ascii="Arial" w:cs="Arial" w:eastAsia="Arial" w:hAnsi="Arial"/>
          <w:sz w:val="18"/>
          <w:szCs w:val="18"/>
          <w:color w:val="auto"/>
        </w:rPr>
        <w:t>year patent term from the filing date may result in substantially shorter patent protection.</w:t>
      </w:r>
    </w:p>
    <w:p>
      <w:pPr>
        <w:spacing w:after="0" w:line="20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66"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Other changes in the United States patent laws or changes in the interpretation of patent laws could diminish the value of our patents or narrow the scope of our patent protection. For example, the Supreme Court of the United States recently ruled that isolated DNA sequences cannot be patented. Although we no longer receive significant revenues generated from our former information products business, the majority of our gene patent portfolio from that business consists of patents on isolated DNA sequences, and this ruling limits our ability to derive additional revenues from our gene patent portfolio. Additionally, the Supreme Court resolved a split among the circuit courts of appeals regarding antitrust challenges to settlements of patent infringement lawsuits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between brand</w:t>
      </w:r>
      <w:r>
        <w:rPr>
          <w:rFonts w:ascii="MS PGothic" w:cs="MS PGothic" w:eastAsia="MS PGothic" w:hAnsi="MS PGothic"/>
          <w:sz w:val="17"/>
          <w:szCs w:val="17"/>
          <w:color w:val="auto"/>
        </w:rPr>
        <w:t>‑</w:t>
      </w:r>
      <w:r>
        <w:rPr>
          <w:rFonts w:ascii="Arial" w:cs="Arial" w:eastAsia="Arial" w:hAnsi="Arial"/>
          <w:sz w:val="17"/>
          <w:szCs w:val="17"/>
          <w:color w:val="auto"/>
        </w:rPr>
        <w:t>name drug companies and generic drug companies. The Court rejected the “scope of the patent” test and ruled that settlements involving “reverse payments” from brand</w:t>
      </w:r>
      <w:r>
        <w:rPr>
          <w:rFonts w:ascii="MS PGothic" w:cs="MS PGothic" w:eastAsia="MS PGothic" w:hAnsi="MS PGothic"/>
          <w:sz w:val="17"/>
          <w:szCs w:val="17"/>
          <w:color w:val="auto"/>
        </w:rPr>
        <w:t>‑</w:t>
      </w:r>
      <w:r>
        <w:rPr>
          <w:rFonts w:ascii="Arial" w:cs="Arial" w:eastAsia="Arial" w:hAnsi="Arial"/>
          <w:sz w:val="17"/>
          <w:szCs w:val="17"/>
          <w:color w:val="auto"/>
        </w:rPr>
        <w:t>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patents, which could result in substantial costs and diversion of our efforts. For example, there is a patent opposition proceeding in India against our Indian patent that covers the composition of matter and use of certain Janus Kinase inhibitors, including ruxolitinib phosphate, for the treatment of myeloid proliferative disorders, cancer, immune</w:t>
      </w:r>
      <w:r>
        <w:rPr>
          <w:rFonts w:ascii="MS PGothic" w:cs="MS PGothic" w:eastAsia="MS PGothic" w:hAnsi="MS PGothic"/>
          <w:sz w:val="17"/>
          <w:szCs w:val="17"/>
          <w:color w:val="auto"/>
        </w:rPr>
        <w:t>‑</w:t>
      </w:r>
      <w:r>
        <w:rPr>
          <w:rFonts w:ascii="Arial" w:cs="Arial" w:eastAsia="Arial" w:hAnsi="Arial"/>
          <w:sz w:val="17"/>
          <w:szCs w:val="17"/>
          <w:color w:val="auto"/>
        </w:rPr>
        <w:t>related diseases, skin disorders, and other diseases.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European Parliament and the Council of the European Union adopted a comprehensive general data privacy regulation, known as the GDPR, which took effect in May 2018 and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Union to the United States, provides an enforcement authority and imposes large penalties for noncompliance, including the potential for fines of up to €20 million or 4% of the annual global revenues of the infringer, whichever is greater.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global headquarters is in Wilmington, Delaware, which is where our principal drug discovery and development operations are also located. We own two buildings comprising approximately 344,000 square feet of laboratory and office space at this site. In March 2017, we acquired additional adjacent buildings, currently occupied by tenants, with a view toward further expanding our headquarters facilities.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lease approximately 112,000 square feet of office space in Chadds Ford, Pennsylvania and approximately 100,000 square feet of additional laboratory and office space in Wilmington, Delaware.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conduct our European clinical development operations from our offices in Geneva, Switzerland and Lausanne, Switzerland and our Japanese office is in Tokyo. 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In July 2018, we purchased a parcel of land in Yverdon-les-Bains, Switzerland upon which we are building a large molecule production facility. Construction commenced in July 2018, with expected completion in the second half of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we are party to legal proceedings in the course of our business. The outcome of any such proceedings, regardless of the merits, is inherently uncertain. Legal proceedings, including litigation, government investigations and enforcement actions, can result in significant costs and occupy significant management resources. We do not expect any such current legal proceedings to have a material adverse impact on our business or financial condition.</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We are cooperating with this inquiry. We have not yet been made aware of the substance of any civil claims.</w:t>
      </w:r>
    </w:p>
    <w:p>
      <w:pPr>
        <w:spacing w:after="0" w:line="183" w:lineRule="exact"/>
        <w:rPr>
          <w:sz w:val="20"/>
          <w:szCs w:val="20"/>
          <w:color w:val="auto"/>
        </w:rPr>
      </w:pPr>
    </w:p>
    <w:p>
      <w:pPr>
        <w:jc w:val="center"/>
        <w:ind w:right="66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executive officers are as follows:</w:t>
      </w:r>
    </w:p>
    <w:p>
      <w:pPr>
        <w:spacing w:after="0" w:line="22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i w:val="1"/>
          <w:iCs w:val="1"/>
          <w:color w:val="auto"/>
        </w:rPr>
        <w:t xml:space="preserve">Hervé Hoppenot, </w:t>
      </w:r>
      <w:r>
        <w:rPr>
          <w:rFonts w:ascii="Arial" w:cs="Arial" w:eastAsia="Arial" w:hAnsi="Arial"/>
          <w:sz w:val="16"/>
          <w:szCs w:val="16"/>
          <w:color w:val="auto"/>
        </w:rPr>
        <w:t>age 59, joined Incyte as President and Chief Executive Officer and a Director, in January 2014 and</w:t>
      </w:r>
      <w:r>
        <w:rPr>
          <w:rFonts w:ascii="Arial" w:cs="Arial" w:eastAsia="Arial" w:hAnsi="Arial"/>
          <w:sz w:val="16"/>
          <w:szCs w:val="16"/>
          <w:i w:val="1"/>
          <w:iCs w:val="1"/>
          <w:color w:val="auto"/>
        </w:rPr>
        <w:t xml:space="preserve"> </w:t>
      </w:r>
      <w:r>
        <w:rPr>
          <w:rFonts w:ascii="Arial" w:cs="Arial" w:eastAsia="Arial" w:hAnsi="Arial"/>
          <w:sz w:val="16"/>
          <w:szCs w:val="16"/>
          <w:color w:val="auto"/>
        </w:rPr>
        <w:t>was appointed Chairman of the Board in May 2015. Mr. Hoppenot served as the President of Novartis Oncology, Novartis Pharmaceuticals Corporation, the U.S. subsidiary of Novartis AG, a pharmaceutical company, from January 2010 to January 2014. Prior to that, Mr. Hoppenot served in other executive positions at Novartis Pharmaceuticals Corporation, serving from September 2006 to January 2010 as Executive Vice President, Chief Commercial Officer of Novartis Oncology and Head of Global Product Strategy &amp; Scientific Development of Novartis Pharmaceuticals Corporation and from 2003 to September 2006 as Senior Vice President, Head of Global Marketing of Novartis Oncology. Prior to joining Novartis, Mr. Hoppenot served in various increasingly senior roles at Aventis S.A. (formerly Rhône</w:t>
      </w:r>
      <w:r>
        <w:rPr>
          <w:rFonts w:ascii="MS PGothic" w:cs="MS PGothic" w:eastAsia="MS PGothic" w:hAnsi="MS PGothic"/>
          <w:sz w:val="16"/>
          <w:szCs w:val="16"/>
          <w:color w:val="auto"/>
        </w:rPr>
        <w:t>‑</w:t>
      </w:r>
      <w:r>
        <w:rPr>
          <w:rFonts w:ascii="Arial" w:cs="Arial" w:eastAsia="Arial" w:hAnsi="Arial"/>
          <w:sz w:val="16"/>
          <w:szCs w:val="16"/>
          <w:color w:val="auto"/>
        </w:rPr>
        <w:t>Poulenc S.A.), a pharmaceutical company, including as Vice President Oncology US of Aventis Pharmaceuticals, Inc. from 2000 to 2003 and Vice President US Oncology Operations of Rhone</w:t>
      </w:r>
      <w:r>
        <w:rPr>
          <w:rFonts w:ascii="MS PGothic" w:cs="MS PGothic" w:eastAsia="MS PGothic" w:hAnsi="MS PGothic"/>
          <w:sz w:val="16"/>
          <w:szCs w:val="16"/>
          <w:color w:val="auto"/>
        </w:rPr>
        <w:t>‑</w:t>
      </w:r>
      <w:r>
        <w:rPr>
          <w:rFonts w:ascii="Arial" w:cs="Arial" w:eastAsia="Arial" w:hAnsi="Arial"/>
          <w:sz w:val="16"/>
          <w:szCs w:val="16"/>
          <w:color w:val="auto"/>
        </w:rPr>
        <w:t>Poulenc Rorer Pharmaceuticals, Inc. from 1998 to 2000. Mr. Hoppenot holds a Diploma from ESSEC International Business School. Mr. Hoppenot is also a director of Cellectis S.A.</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Dashyant Dhanak</w:t>
      </w:r>
      <w:r>
        <w:rPr>
          <w:rFonts w:ascii="Arial" w:cs="Arial" w:eastAsia="Arial" w:hAnsi="Arial"/>
          <w:sz w:val="17"/>
          <w:szCs w:val="17"/>
          <w:color w:val="auto"/>
        </w:rPr>
        <w:t>, age 58, joined Incyte in December 2018 as Executive Vice President, Chief Scientific</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Prior to joining Incyte, Dr. Dhanak served as Vice President and Head of Discovery Sciences of Janssen Research &amp; Development, LLC, a wholly-owned subsidiary of Johnson &amp; Johnson, a pharmaceutical company, from 2013 until November 2018. Prior to his tenure at Janssen, Dr. Dhanak spent 25 years at GlaxoSmithKline, a pharmaceutical company, in positions of increased responsibility across multiple disease areas, including his last position as Vice President and Head of the Cancer Epigenetics Discovery Performance Unit. Dr. Dhanak received a B.S. in Chemistry from the University of Manchester Institute of Science and Technology and his Ph.D. from the University of London. He completed his postdoctoral research in natural product synthesis at Northwestern University.</w:t>
      </w:r>
    </w:p>
    <w:p>
      <w:pPr>
        <w:spacing w:after="0" w:line="17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i w:val="1"/>
          <w:iCs w:val="1"/>
          <w:color w:val="auto"/>
        </w:rPr>
        <w:t>Barry P. Flannelly</w:t>
      </w:r>
      <w:r>
        <w:rPr>
          <w:rFonts w:ascii="Arial" w:cs="Arial" w:eastAsia="Arial" w:hAnsi="Arial"/>
          <w:sz w:val="18"/>
          <w:szCs w:val="18"/>
          <w:color w:val="auto"/>
        </w:rPr>
        <w:t>, age 61, has served as Executive Vice President and General Manager US since June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joined Incyte as Executive Vice President, Business Development and Strategic Planning in August 2014. Prior to joining Incyte, he served as Chief Executive Officer of OSS Healthcare Inc., a biotechnology start</w:t>
      </w:r>
      <w:r>
        <w:rPr>
          <w:rFonts w:ascii="MS PGothic" w:cs="MS PGothic" w:eastAsia="MS PGothic" w:hAnsi="MS PGothic"/>
          <w:sz w:val="18"/>
          <w:szCs w:val="18"/>
          <w:color w:val="auto"/>
        </w:rPr>
        <w:t>‑</w:t>
      </w:r>
      <w:r>
        <w:rPr>
          <w:rFonts w:ascii="Arial" w:cs="Arial" w:eastAsia="Arial" w:hAnsi="Arial"/>
          <w:sz w:val="18"/>
          <w:szCs w:val="18"/>
          <w:color w:val="auto"/>
        </w:rPr>
        <w:t>up company, from August 2013 to July 2014. He served as Vice President, Global Product Strategy and Commercial Planning of Nektar Therapeutics, a biopharmaceutical company, from April 2011 until April 2013, and as Senior Vice President, Commercial, of Onyx Pharmaceuticals, Inc., a biopharmaceutical company, from August 2008 until January 2011. Prior thereto, Dr. Flannelly held key positions at biopharmaceutical and pharmaceutical companies such as Abraxis BioScience, Inc. and Novartis. Dr. Flannelly earned his doctorate in pharmacy from the University of Maryland, School of Pharmacy, his master’s degree in business administration from the University of Baltimore, and his B.S. degree in Pharmacy from Massachusetts College of Pharmacy.</w:t>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Vijay Iyengar</w:t>
      </w:r>
      <w:r>
        <w:rPr>
          <w:rFonts w:ascii="Arial" w:cs="Arial" w:eastAsia="Arial" w:hAnsi="Arial"/>
          <w:sz w:val="16"/>
          <w:szCs w:val="16"/>
          <w:color w:val="auto"/>
        </w:rPr>
        <w:t>, age 46, joined Incyte in May 2016 as Executive Vice President, Global Strategy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Prior to joining Incyte, from April 2014 to April 2016, he was the President of Genoptix Corporation, a Novartis Company. From December 2011 to March 2014, he was the Vice President and Rare Diseases Franchise Head at Novartis Oncology and from July 2009 to December 2011, he was the Vice President and Oncology General Manager of Novartis Greece. From October 2007 to June 2009, he was the Global Brand Executive Director at Novartis Pharmaceuticals, and from January 2006 to October 2007, he was the Global Brand Director, Oncology at Novartis Pharmaceuticals. Dr. Iyengar received his B.S. degree in Biology from Stanford University and earned his M.D. from Harvard Medical School.</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Maria E. Pasquale</w:t>
      </w:r>
      <w:r>
        <w:rPr>
          <w:rFonts w:ascii="Arial" w:cs="Arial" w:eastAsia="Arial" w:hAnsi="Arial"/>
          <w:sz w:val="16"/>
          <w:szCs w:val="16"/>
          <w:color w:val="auto"/>
        </w:rPr>
        <w:t>, age 53, joined Incyte in April 2018 as Executive Vice President and General Counsel.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Incyte, Ms. Pasquale joined Incyte from Celgene Corporation, a biopharmaceutical company, where for 17 years she held positions of increasing levels of responsibility, including Chief Counsel; Senior Vice President, Legal and Deputy General Counsel and Assistant Corporate Secretary, and, most recently, Executive Vice President and Global Chief Compliance Officer. Prior to her tenure at Celgene, Ms. Pasquale spent a decade supporting pharmaceutical clients as a global patent and litigation attorney at Pennie &amp; Edmonds LLP in New York (now part of Jones Day). Before her career in law, Ms. Pasquale was an Assistant Research Scientist at the Institute for Basic Research and the Cold Spring Harbor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Laboratory. Ms. Pasquale holds a J.D. from Brooklyn Law School and a B.S. in biochemistry from the State University of New York at Stony Brook.</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Christiana Stamoulis, </w:t>
      </w:r>
      <w:r>
        <w:rPr>
          <w:rFonts w:ascii="Arial" w:cs="Arial" w:eastAsia="Arial" w:hAnsi="Arial"/>
          <w:sz w:val="16"/>
          <w:szCs w:val="16"/>
          <w:color w:val="auto"/>
        </w:rPr>
        <w:t>age 48, joined Incyte in February 2019 as Executive Vice President and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Prior to joining Incyte, she served as President from February 2018 until January 2019 and Chief Financial Officer from January 2015 to January 2019 of Unum Therapeutics Inc., a biopharmaceutical company. From January 2014 until she joined Unum, Ms. Stamoulis was an independent advisor to biopharmaceutical companies. From 2009 until December 2013, Ms. Stamoulis was a Senior Vice President of Corporate Strategy and Business Development at Vertex Pharmaceuticals, Inc., a biopharmaceutical company. Prior to joining Vertex, Ms. Stamoulis spent nearly 15 years in the investment banking and management consulting industries. She was a Managing Director in the Investment Banking division of Citigroup and, prior to that, she was a senior investment banker in the Healthcare Investment Banking Group of Goldman, Sachs &amp; Co., where she spent the majority of her investment banking career. Ms. Stamoulis started her career as a strategy consultant at The Boston Consulting Group. Ms. Stamoulis holds two undergraduate degrees from the Massachusetts Institute of Technology (MIT) and an M.B.A. from the MIT Sloan School of Management.</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Steven Stein, </w:t>
      </w:r>
      <w:r>
        <w:rPr>
          <w:rFonts w:ascii="Arial" w:cs="Arial" w:eastAsia="Arial" w:hAnsi="Arial"/>
          <w:sz w:val="17"/>
          <w:szCs w:val="17"/>
          <w:color w:val="auto"/>
        </w:rPr>
        <w:t>age 52, has served as Executive Vice President and Chief Medical Officer since May 2016 and joined</w:t>
      </w:r>
      <w:r>
        <w:rPr>
          <w:rFonts w:ascii="Arial" w:cs="Arial" w:eastAsia="Arial" w:hAnsi="Arial"/>
          <w:sz w:val="17"/>
          <w:szCs w:val="17"/>
          <w:i w:val="1"/>
          <w:iCs w:val="1"/>
          <w:color w:val="auto"/>
        </w:rPr>
        <w:t xml:space="preserve"> </w:t>
      </w:r>
      <w:r>
        <w:rPr>
          <w:rFonts w:ascii="Arial" w:cs="Arial" w:eastAsia="Arial" w:hAnsi="Arial"/>
          <w:sz w:val="17"/>
          <w:szCs w:val="17"/>
          <w:color w:val="auto"/>
        </w:rPr>
        <w:t>Incyte as Senior Vice President and Chief Medical Officer in March 2015. Prior to joining Incyte, from May 2011 to February 2015, he was the Senior Vice President, US Clinical Development &amp; Medical Affairs at Novartis Pharmaceuticals. From February 2004 to April 2011, Dr. Stein was the Vice President, Global Oncology, Clinical Development and the Head of Medicines Development for Hematology and Supportive Care for GlaxoSmithKline. Dr. Stein held a post-doctoral fellowship in hematology/oncology at the University of Pennsylvania from 1998 to 2001, and earned his M.D. from the University of Witwatersrand in Johannesburg, South Africa in 1990.</w:t>
      </w:r>
    </w:p>
    <w:p>
      <w:pPr>
        <w:spacing w:after="0" w:line="17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i w:val="1"/>
          <w:iCs w:val="1"/>
          <w:color w:val="auto"/>
        </w:rPr>
        <w:t>Paula J. Swain</w:t>
      </w:r>
      <w:r>
        <w:rPr>
          <w:rFonts w:ascii="Arial" w:cs="Arial" w:eastAsia="Arial" w:hAnsi="Arial"/>
          <w:sz w:val="18"/>
          <w:szCs w:val="18"/>
          <w:color w:val="auto"/>
        </w:rPr>
        <w:t>, age 61, has served as Executive Vice President, Human Resources since August 2002 and joined</w:t>
      </w:r>
      <w:r>
        <w:rPr>
          <w:rFonts w:ascii="Arial" w:cs="Arial" w:eastAsia="Arial" w:hAnsi="Arial"/>
          <w:sz w:val="18"/>
          <w:szCs w:val="18"/>
          <w:i w:val="1"/>
          <w:iCs w:val="1"/>
          <w:color w:val="auto"/>
        </w:rPr>
        <w:t xml:space="preserve"> </w:t>
      </w:r>
      <w:r>
        <w:rPr>
          <w:rFonts w:ascii="Arial" w:cs="Arial" w:eastAsia="Arial" w:hAnsi="Arial"/>
          <w:sz w:val="18"/>
          <w:szCs w:val="18"/>
          <w:color w:val="auto"/>
        </w:rPr>
        <w:t>Incyte as Senior Vice President of Human Resources in January 2002. Ms. Swain served as Senior Vice President of Human Resources at Bristol</w:t>
      </w:r>
      <w:r>
        <w:rPr>
          <w:rFonts w:ascii="MS PGothic" w:cs="MS PGothic" w:eastAsia="MS PGothic" w:hAnsi="MS PGothic"/>
          <w:sz w:val="18"/>
          <w:szCs w:val="18"/>
          <w:color w:val="auto"/>
        </w:rPr>
        <w:t>‑</w:t>
      </w:r>
      <w:r>
        <w:rPr>
          <w:rFonts w:ascii="Arial" w:cs="Arial" w:eastAsia="Arial" w:hAnsi="Arial"/>
          <w:sz w:val="18"/>
          <w:szCs w:val="18"/>
          <w:color w:val="auto"/>
        </w:rPr>
        <w:t>Myers Squibb Company from October 2001 to January 2002, after it acquired DuPont Pharmaceuticals Company. From July 1998 to October 2001, Ms. Swain was Senior Vice President of Human Resources at DuPont Pharmaceuticals. From October 1992 to July 1998, Ms. Swain held a variety of human resources positions of increasing responsibility at DuPont Pharmaceuticals. Ms. Swain received her B.A. in Psychology and Industrial Relations from Rockhurst University.</w:t>
      </w:r>
    </w:p>
    <w:p>
      <w:pPr>
        <w:spacing w:after="0" w:line="207"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i w:val="1"/>
          <w:iCs w:val="1"/>
          <w:color w:val="auto"/>
        </w:rPr>
        <w:t>Wenqing Yao</w:t>
      </w:r>
      <w:r>
        <w:rPr>
          <w:rFonts w:ascii="Arial" w:cs="Arial" w:eastAsia="Arial" w:hAnsi="Arial"/>
          <w:sz w:val="17"/>
          <w:szCs w:val="17"/>
          <w:color w:val="auto"/>
        </w:rPr>
        <w:t>, age 56, has served as Executive Vice President, Head of Discovery Chemistry since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2014. Dr. Yao joined Incyte as Director, Chemistry in February 2002 and held roles of increasing responsibility at Incyte. Prior to joining Incyte, Dr. Yao held scientific research positions with DuPont Pharmaceuticals and Bristol</w:t>
      </w:r>
      <w:r>
        <w:rPr>
          <w:rFonts w:ascii="MS PGothic" w:cs="MS PGothic" w:eastAsia="MS PGothic" w:hAnsi="MS PGothic"/>
          <w:sz w:val="17"/>
          <w:szCs w:val="17"/>
          <w:color w:val="auto"/>
        </w:rPr>
        <w:t>‑</w:t>
      </w:r>
      <w:r>
        <w:rPr>
          <w:rFonts w:ascii="Arial" w:cs="Arial" w:eastAsia="Arial" w:hAnsi="Arial"/>
          <w:sz w:val="17"/>
          <w:szCs w:val="17"/>
          <w:color w:val="auto"/>
        </w:rPr>
        <w:t>Myers Squibb Company from 1996 to 2002. Dr. Yao received his B.S. in chemistry from Xuzhou Normal University, his M.S. in organic chemistry from NanKai University and his Ph.D. in organic/medicinal chemistry from the University of Pennsylvania.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$.001 par value per share, is traded on The Nasdaq Global Select Market under the symbol “INCY.” As of December 31, 2018, our common stock was held by 139 stockholders of record. We have never declared or paid dividends on our capital stock and do not anticipate paying any dividends in the foreseeable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data set forth below should be read in conjunction with “Management’s Discussion and Analysis of Financial Condition and Results of Operations” included in Item 7 and the Consolidated Financial Statements and related Notes included in Item 8 of this Report.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8"/>
                <w:szCs w:val="18"/>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2"/>
              </w:rPr>
              <w:t>Consolidated Statements of Operations Data:</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 revenues, net</w:t>
            </w:r>
            <w:r>
              <w:rPr>
                <w:rFonts w:ascii="Arial" w:cs="Arial" w:eastAsia="Arial" w:hAnsi="Arial"/>
                <w:sz w:val="8"/>
                <w:szCs w:val="8"/>
                <w:color w:val="auto"/>
              </w:rPr>
              <w:t>(1)</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1,466,900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1,200,312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882,404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601,015</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357,562</w:t>
            </w:r>
          </w:p>
        </w:tc>
        <w:tc>
          <w:tcPr>
            <w:tcW w:w="40" w:type="dxa"/>
            <w:vAlign w:val="bottom"/>
            <w:shd w:val="clear" w:color="auto" w:fill="CCEEFF"/>
          </w:tcPr>
          <w:p>
            <w:pPr>
              <w:spacing w:after="0"/>
              <w:rPr>
                <w:sz w:val="18"/>
                <w:szCs w:val="18"/>
                <w:color w:val="auto"/>
              </w:rPr>
            </w:pPr>
          </w:p>
        </w:tc>
      </w:tr>
      <w:tr>
        <w:trPr>
          <w:trHeight w:val="216"/>
        </w:trPr>
        <w:tc>
          <w:tcPr>
            <w:tcW w:w="3200" w:type="dxa"/>
            <w:vAlign w:val="bottom"/>
            <w:gridSpan w:val="2"/>
          </w:tcPr>
          <w:p>
            <w:pPr>
              <w:ind w:left="220"/>
              <w:spacing w:after="0"/>
              <w:rPr>
                <w:sz w:val="20"/>
                <w:szCs w:val="20"/>
                <w:color w:val="auto"/>
              </w:rPr>
            </w:pPr>
            <w:r>
              <w:rPr>
                <w:rFonts w:ascii="Arial" w:cs="Arial" w:eastAsia="Arial" w:hAnsi="Arial"/>
                <w:sz w:val="18"/>
                <w:szCs w:val="18"/>
                <w:color w:val="auto"/>
              </w:rPr>
              <w:t>Product royalty revenues</w:t>
            </w:r>
            <w:r>
              <w:rPr>
                <w:rFonts w:ascii="Arial" w:cs="Arial" w:eastAsia="Arial" w:hAnsi="Arial"/>
                <w:sz w:val="8"/>
                <w:szCs w:val="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234,780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160,791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110,711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74,821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48,966</w:t>
            </w:r>
          </w:p>
        </w:tc>
        <w:tc>
          <w:tcPr>
            <w:tcW w:w="4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Milestone and contract revenues</w:t>
            </w:r>
            <w:r>
              <w:rPr>
                <w:rFonts w:ascii="Arial" w:cs="Arial" w:eastAsia="Arial" w:hAnsi="Arial"/>
                <w:sz w:val="8"/>
                <w:szCs w:val="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104,857</w:t>
            </w:r>
          </w:p>
        </w:tc>
        <w:tc>
          <w:tcPr>
            <w:tcW w:w="40" w:type="dxa"/>
            <w:vAlign w:val="bottom"/>
            <w:shd w:val="clear" w:color="auto" w:fill="CCEEFF"/>
          </w:tcPr>
          <w:p>
            <w:pPr>
              <w:spacing w:after="0"/>
              <w:rPr>
                <w:sz w:val="18"/>
                <w:szCs w:val="18"/>
                <w:color w:val="auto"/>
              </w:rPr>
            </w:pPr>
          </w:p>
        </w:tc>
      </w:tr>
      <w:tr>
        <w:trPr>
          <w:trHeight w:val="216"/>
        </w:trPr>
        <w:tc>
          <w:tcPr>
            <w:tcW w:w="3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bottom w:val="single" w:sz="8" w:color="CCEEFF"/>
            </w:tcBorders>
          </w:tcPr>
          <w:p>
            <w:pPr>
              <w:spacing w:after="0"/>
              <w:rPr>
                <w:sz w:val="18"/>
                <w:szCs w:val="18"/>
                <w:color w:val="auto"/>
              </w:rPr>
            </w:pPr>
          </w:p>
        </w:tc>
      </w:tr>
      <w:tr>
        <w:trPr>
          <w:trHeight w:val="210"/>
        </w:trPr>
        <w:tc>
          <w:tcPr>
            <w:tcW w:w="3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1,881,883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1,536,216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1,105,719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753,751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511,495</w:t>
            </w:r>
          </w:p>
        </w:tc>
        <w:tc>
          <w:tcPr>
            <w:tcW w:w="40" w:type="dxa"/>
            <w:vAlign w:val="bottom"/>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2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Cost of product revenues (including</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definite-lived intangible amortization)</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40" w:type="dxa"/>
            <w:vAlign w:val="bottom"/>
            <w:shd w:val="clear" w:color="auto" w:fill="CCEEFF"/>
          </w:tcPr>
          <w:p>
            <w:pPr>
              <w:spacing w:after="0"/>
              <w:rPr>
                <w:sz w:val="20"/>
                <w:szCs w:val="20"/>
                <w:color w:val="auto"/>
              </w:rPr>
            </w:pPr>
          </w:p>
        </w:tc>
      </w:tr>
      <w:tr>
        <w:trPr>
          <w:trHeight w:val="216"/>
        </w:trPr>
        <w:tc>
          <w:tcPr>
            <w:tcW w:w="320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8"/>
                <w:szCs w:val="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1,197,957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1,326,134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581,861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479,514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347,523</w:t>
            </w:r>
          </w:p>
        </w:tc>
        <w:tc>
          <w:tcPr>
            <w:tcW w:w="4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8"/>
                <w:szCs w:val="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196,614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165,772</w:t>
            </w:r>
          </w:p>
        </w:tc>
        <w:tc>
          <w:tcPr>
            <w:tcW w:w="40" w:type="dxa"/>
            <w:vAlign w:val="bottom"/>
            <w:shd w:val="clear" w:color="auto" w:fill="CCEEFF"/>
          </w:tcPr>
          <w:p>
            <w:pPr>
              <w:spacing w:after="0"/>
              <w:rPr>
                <w:sz w:val="18"/>
                <w:szCs w:val="18"/>
                <w:color w:val="auto"/>
              </w:rPr>
            </w:pPr>
          </w:p>
        </w:tc>
      </w:tr>
      <w:tr>
        <w:trPr>
          <w:trHeight w:val="202"/>
        </w:trPr>
        <w:tc>
          <w:tcPr>
            <w:tcW w:w="32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Change in fair value of acquisition-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200" w:type="dxa"/>
            <w:vAlign w:val="bottom"/>
            <w:gridSpan w:val="2"/>
          </w:tcPr>
          <w:p>
            <w:pPr>
              <w:ind w:left="220"/>
              <w:spacing w:after="0"/>
              <w:rPr>
                <w:sz w:val="20"/>
                <w:szCs w:val="20"/>
                <w:color w:val="auto"/>
              </w:rPr>
            </w:pPr>
            <w:r>
              <w:rPr>
                <w:rFonts w:ascii="Arial" w:cs="Arial" w:eastAsia="Arial" w:hAnsi="Arial"/>
                <w:sz w:val="18"/>
                <w:szCs w:val="18"/>
                <w:color w:val="auto"/>
              </w:rPr>
              <w:t>related contingent consideration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26,173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2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1,752,660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1,779,603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960,721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703,100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516,299</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2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129,223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(243,387)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144,998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(4,804)</w:t>
            </w:r>
          </w:p>
        </w:tc>
        <w:tc>
          <w:tcPr>
            <w:tcW w:w="4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8"/>
                <w:szCs w:val="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40" w:type="dxa"/>
            <w:vAlign w:val="bottom"/>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(6,900)</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(38,745)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(45,603)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(46,828)</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Unrealized loss on long term investment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(24,275)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w w:val="92"/>
              </w:rPr>
              <w:t>Expense related to senior note conversions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(54,881)</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r>
      <w:tr>
        <w:trPr>
          <w:trHeight w:val="182"/>
        </w:trPr>
        <w:tc>
          <w:tcPr>
            <w:tcW w:w="32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Income (loss) before provision (benefit) for</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(312,290)</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(48,547)</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17"/>
        </w:trPr>
        <w:tc>
          <w:tcPr>
            <w:tcW w:w="3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r>
      <w:tr>
        <w:trPr>
          <w:trHeight w:val="216"/>
        </w:trPr>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Shares used in computing net income (loss)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212,383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204,580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187,873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179,601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167,947</w:t>
            </w:r>
          </w:p>
        </w:tc>
        <w:tc>
          <w:tcPr>
            <w:tcW w:w="4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187,302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167,947</w:t>
            </w:r>
          </w:p>
        </w:tc>
        <w:tc>
          <w:tcPr>
            <w:tcW w:w="4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342"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2018, 2017 and 2016 product revenues, net, relate to our product sales of JAKAFI and product sales of ICLUSIG from the date of acquisition on June 1, 2016. 2015 and 2014 product revenues, net, relate to our product sales of JAKAFI.</w:t>
      </w:r>
    </w:p>
    <w:p>
      <w:pPr>
        <w:spacing w:after="0" w:line="15" w:lineRule="exact"/>
        <w:rPr>
          <w:rFonts w:ascii="Arial" w:cs="Arial" w:eastAsia="Arial" w:hAnsi="Arial"/>
          <w:sz w:val="16"/>
          <w:szCs w:val="16"/>
          <w:color w:val="auto"/>
        </w:rPr>
      </w:pPr>
    </w:p>
    <w:p>
      <w:pPr>
        <w:jc w:val="both"/>
        <w:ind w:left="320" w:hanging="317"/>
        <w:spacing w:after="0" w:line="264"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2018 and 2017 product royalty revenues relate to Novartis net sales of JAKAVI outside of the United States and Lilly net sales of OLUMIANT outside of the United States. 2016, 2015 and 2014 product royalty revenues relate to Novartis net sales of JAKAVI outside the United States.</w:t>
      </w:r>
    </w:p>
    <w:p>
      <w:pPr>
        <w:spacing w:after="0" w:line="73" w:lineRule="exact"/>
        <w:rPr>
          <w:rFonts w:ascii="Arial" w:cs="Arial" w:eastAsia="Arial" w:hAnsi="Arial"/>
          <w:sz w:val="18"/>
          <w:szCs w:val="18"/>
          <w:color w:val="auto"/>
        </w:rPr>
      </w:pPr>
    </w:p>
    <w:p>
      <w:pPr>
        <w:ind w:left="320" w:hanging="317"/>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Milestone and contract revenues relate to our collaborative research and license agreements with Novartis and Lilly.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hanging="317"/>
        <w:spacing w:after="0" w:line="259"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the retrospective adoption of ASU No. 2017-07 on January 1, 2018, the presentation of other components of net periodic benefit cost were reclassed out of operating income and into other income (expense), net for the periods presented, as applicable. See Note 1 of Notes to the Consolidated Financial Statements for further information on the adoption of ASU No. 2017-07.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368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8"/>
                <w:szCs w:val="18"/>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8"/>
                <w:szCs w:val="18"/>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Cash, cash equivalents, and marketable</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securities</w:t>
            </w:r>
          </w:p>
        </w:tc>
        <w:tc>
          <w:tcPr>
            <w:tcW w:w="900" w:type="dxa"/>
            <w:vAlign w:val="bottom"/>
          </w:tcPr>
          <w:p>
            <w:pPr>
              <w:jc w:val="right"/>
              <w:spacing w:after="0"/>
              <w:rPr>
                <w:sz w:val="20"/>
                <w:szCs w:val="20"/>
                <w:color w:val="auto"/>
              </w:rPr>
            </w:pPr>
            <w:r>
              <w:rPr>
                <w:rFonts w:ascii="Arial" w:cs="Arial" w:eastAsia="Arial" w:hAnsi="Arial"/>
                <w:sz w:val="18"/>
                <w:szCs w:val="18"/>
                <w:color w:val="auto"/>
                <w:w w:val="86"/>
              </w:rPr>
              <w:t>$ 1,438,323</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$ 1,169,645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808,546</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8"/>
              </w:rPr>
              <w:t>$  707,783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$ 600,263</w:t>
            </w:r>
          </w:p>
        </w:tc>
        <w:tc>
          <w:tcPr>
            <w:tcW w:w="180" w:type="dxa"/>
            <w:vAlign w:val="bottom"/>
          </w:tcPr>
          <w:p>
            <w:pPr>
              <w:spacing w:after="0"/>
              <w:rPr>
                <w:sz w:val="20"/>
                <w:szCs w:val="20"/>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1,406,977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1,129,458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720,677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674,368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458,512</w:t>
            </w:r>
          </w:p>
        </w:tc>
        <w:tc>
          <w:tcPr>
            <w:tcW w:w="18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Total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2,645,762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2,302,582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1,638,597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1,007,440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796,477</w:t>
            </w:r>
          </w:p>
        </w:tc>
        <w:tc>
          <w:tcPr>
            <w:tcW w:w="18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651,481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619,893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675,167</w:t>
            </w:r>
          </w:p>
        </w:tc>
        <w:tc>
          <w:tcPr>
            <w:tcW w:w="180" w:type="dxa"/>
            <w:vAlign w:val="bottom"/>
            <w:shd w:val="clear" w:color="auto" w:fill="CCEEFF"/>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900" w:type="dxa"/>
            <w:vAlign w:val="bottom"/>
          </w:tcPr>
          <w:p>
            <w:pPr>
              <w:jc w:val="right"/>
              <w:spacing w:after="0"/>
              <w:rPr>
                <w:sz w:val="20"/>
                <w:szCs w:val="20"/>
                <w:color w:val="auto"/>
              </w:rPr>
            </w:pPr>
            <w:r>
              <w:rPr>
                <w:rFonts w:ascii="Arial" w:cs="Arial" w:eastAsia="Arial" w:hAnsi="Arial"/>
                <w:sz w:val="18"/>
                <w:szCs w:val="18"/>
                <w:color w:val="auto"/>
              </w:rPr>
              <w:t>1,925,967</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1,630,629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419,467</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171,155</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(81,628)</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“Selected Consolidated Financial Data” and the Consolidated Financial Statements and related Notes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We conduct our European clinical development operations from our offices in Geneva, Switzerland and Lausanne, Switzerland, and have recently opened our Japanese office in Tokyo.</w:t>
      </w:r>
    </w:p>
    <w:p>
      <w:pPr>
        <w:spacing w:after="0" w:line="187"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JAKAFI (ruxolitinib) is our first product to be approved for sale in the United States. It is an oral JAK1 and JAK2 inhibitor and was approved by the U.S. Food and Drug Administration (FDA) in November 2011 for the treatment of patients with intermediate or high</w:t>
      </w:r>
      <w:r>
        <w:rPr>
          <w:rFonts w:ascii="MS PGothic" w:cs="MS PGothic" w:eastAsia="MS PGothic" w:hAnsi="MS PGothic"/>
          <w:sz w:val="18"/>
          <w:szCs w:val="18"/>
          <w:color w:val="auto"/>
        </w:rPr>
        <w:t>‑</w:t>
      </w:r>
      <w:r>
        <w:rPr>
          <w:rFonts w:ascii="Arial" w:cs="Arial" w:eastAsia="Arial" w:hAnsi="Arial"/>
          <w:sz w:val="18"/>
          <w:szCs w:val="18"/>
          <w:color w:val="auto"/>
        </w:rPr>
        <w:t>risk myelofibrosis and in December 2014 for the treatment of patients with polycythemia vera who have had an inadequate response to or are intolerant of hydroxyurea. Myelofibrosis and polycythemia vera are both rare blood cancers.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2016, we acquired from ARIAD Pharmaceuticals, Inc. (ARIAD) all of the outstanding shares of ARIAD Pharmaceuticals (Luxembourg) S.à.r.l., the parent company of ARIAD’s European subsidiaries responsible for the development and commercialization of ICLUSIG in the European Union and other countries, including Switzerland, Norway, Turkey, Israel and Russia. We obtained an exclusive license to develop and commercialize ICLUSIG in those countries. ICLUSIG is approved in the European Union for the treatment of patients with chronic myeloid leukemia and Philadelphia-positive acute lymphoblastic leukemia who are resistant to or intolerant of certain second-generation BCR-ABL inhibitors and all patients who have the T3151 mutation.</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our collaboration agreement with Novartis International Pharmaceutical Ltd., Novartis received exclusive development and commercialization rights to ruxolitinib outside of the United States for all hematologic and oncologic indications and sells ruxolitinib outside of the United States under the name JAKAVI. In April 2016, we amended this agreement to provide that Novartis has exclusive research, development and commercialization rights outside of the United States to ruxolitinib (excluding topical formulations) in the graft-versus-host-disease field.</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our collaboration agreement with Eli Lilly and Company, Lilly received exclusive worldwide development and commercialization rights to our second oral JAK1 and JAK2 inhibitor, baricitinib, for inflammatory and autoimmune diseases. In January 2016, Lilly submitted a New Drug Application (NDA) to the FDA and a Marketing Authorization Application (MAA) to the European Medicines Agency for baricitinib as treatment for rheumatoid arthritis. In February 2017, we and Lilly announced that the European Commission approved baricitinib as OLUMIANT for the treatment 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93"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Since we began our drug-discovery and development activities in early 2002, we have filed Investigational New Drug (IND) applications and progressed multiple internally developed proprietary compounds into clinical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 ruxolitinib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in all indications. We retained options to co</w:t>
      </w:r>
      <w:r>
        <w:rPr>
          <w:rFonts w:ascii="MS PGothic" w:cs="MS PGothic" w:eastAsia="MS PGothic" w:hAnsi="MS PGothic"/>
          <w:sz w:val="17"/>
          <w:szCs w:val="17"/>
          <w:color w:val="auto"/>
        </w:rPr>
        <w:t>‑</w:t>
      </w:r>
      <w:r>
        <w:rPr>
          <w:rFonts w:ascii="Arial" w:cs="Arial" w:eastAsia="Arial" w:hAnsi="Arial"/>
          <w:sz w:val="17"/>
          <w:szCs w:val="17"/>
          <w:color w:val="auto"/>
        </w:rPr>
        <w:t>develop and to co</w:t>
      </w:r>
      <w:r>
        <w:rPr>
          <w:rFonts w:ascii="MS PGothic" w:cs="MS PGothic" w:eastAsia="MS PGothic" w:hAnsi="MS PGothic"/>
          <w:sz w:val="17"/>
          <w:szCs w:val="17"/>
          <w:color w:val="auto"/>
        </w:rPr>
        <w:t>‑</w:t>
      </w:r>
      <w:r>
        <w:rPr>
          <w:rFonts w:ascii="Arial" w:cs="Arial" w:eastAsia="Arial" w:hAnsi="Arial"/>
          <w:sz w:val="17"/>
          <w:szCs w:val="17"/>
          <w:color w:val="auto"/>
        </w:rPr>
        <w:t>promote capmatinib in the United States.</w:t>
      </w:r>
    </w:p>
    <w:p>
      <w:pPr>
        <w:spacing w:after="0" w:line="206"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Under this agreement, we received an upfront payment and immediate milestone payment totaling $210.0 million and were initially eligible to receive additional payments of up to approximately $1.2 billion if defined development and commercialization milestones are achieved. We are also eligible to receive tiered, double</w:t>
      </w:r>
      <w:r>
        <w:rPr>
          <w:rFonts w:ascii="MS PGothic" w:cs="MS PGothic" w:eastAsia="MS PGothic" w:hAnsi="MS PGothic"/>
          <w:sz w:val="18"/>
          <w:szCs w:val="18"/>
          <w:color w:val="auto"/>
        </w:rPr>
        <w:t>‑</w:t>
      </w:r>
      <w:r>
        <w:rPr>
          <w:rFonts w:ascii="Arial" w:cs="Arial" w:eastAsia="Arial" w:hAnsi="Arial"/>
          <w:sz w:val="18"/>
          <w:szCs w:val="18"/>
          <w:color w:val="auto"/>
        </w:rPr>
        <w:t>digit royalties ranging from the upper</w:t>
      </w:r>
      <w:r>
        <w:rPr>
          <w:rFonts w:ascii="MS PGothic" w:cs="MS PGothic" w:eastAsia="MS PGothic" w:hAnsi="MS PGothic"/>
          <w:sz w:val="18"/>
          <w:szCs w:val="18"/>
          <w:color w:val="auto"/>
        </w:rPr>
        <w:t>‑</w:t>
      </w:r>
      <w:r>
        <w:rPr>
          <w:rFonts w:ascii="Arial" w:cs="Arial" w:eastAsia="Arial" w:hAnsi="Arial"/>
          <w:sz w:val="18"/>
          <w:szCs w:val="18"/>
          <w:color w:val="auto"/>
        </w:rPr>
        <w:t>teens to the mid</w:t>
      </w:r>
      <w:r>
        <w:rPr>
          <w:rFonts w:ascii="MS PGothic" w:cs="MS PGothic" w:eastAsia="MS PGothic" w:hAnsi="MS PGothic"/>
          <w:sz w:val="18"/>
          <w:szCs w:val="18"/>
          <w:color w:val="auto"/>
        </w:rPr>
        <w:t>‑</w:t>
      </w:r>
      <w:r>
        <w:rPr>
          <w:rFonts w:ascii="Arial" w:cs="Arial" w:eastAsia="Arial" w:hAnsi="Arial"/>
          <w:sz w:val="18"/>
          <w:szCs w:val="18"/>
          <w:color w:val="auto"/>
        </w:rPr>
        <w:t>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2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 In December 2018, we recognized a $60.0 million milestone for Novartis achieving annual net sales of a JAK licensed product of $900.0 million.</w:t>
      </w:r>
    </w:p>
    <w:p>
      <w:pPr>
        <w:spacing w:after="0" w:line="179" w:lineRule="exact"/>
        <w:rPr>
          <w:sz w:val="20"/>
          <w:szCs w:val="20"/>
          <w:color w:val="auto"/>
        </w:rPr>
      </w:pPr>
    </w:p>
    <w:p>
      <w:pPr>
        <w:jc w:val="both"/>
        <w:ind w:firstLine="648"/>
        <w:spacing w:after="0" w:line="224" w:lineRule="exact"/>
        <w:rPr>
          <w:sz w:val="20"/>
          <w:szCs w:val="20"/>
          <w:color w:val="auto"/>
        </w:rPr>
      </w:pPr>
      <w:r>
        <w:rPr>
          <w:rFonts w:ascii="Arial" w:cs="Arial" w:eastAsia="Arial" w:hAnsi="Arial"/>
          <w:sz w:val="16"/>
          <w:szCs w:val="16"/>
          <w:color w:val="auto"/>
        </w:rPr>
        <w:t>The Novartis agreement will continue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until Novartis has no royalty payment obligations with respect to such program or, if earlier, the termination of the agreement or any program in accordance with</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terms of the agreement. Royalties are payable by Novartis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by Novartis for convenience. The agreement may also be terminated by either party under certain other circumstances, including material breach.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w:t>
      </w:r>
      <w:r>
        <w:rPr>
          <w:rFonts w:ascii="MS PGothic" w:cs="MS PGothic" w:eastAsia="MS PGothic" w:hAnsi="MS PGothic"/>
          <w:sz w:val="18"/>
          <w:szCs w:val="18"/>
          <w:color w:val="auto"/>
        </w:rPr>
        <w:t>‑</w:t>
      </w:r>
      <w:r>
        <w:rPr>
          <w:rFonts w:ascii="Arial" w:cs="Arial" w:eastAsia="Arial" w:hAnsi="Arial"/>
          <w:sz w:val="18"/>
          <w:szCs w:val="18"/>
          <w:color w:val="auto"/>
        </w:rPr>
        <w:t>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pacing w:after="0" w:line="2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We previously had retained an option to co-promote products in the United States but, in March 2016, we waived our co-promotion option as part of an amendment to the agreement.</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2010, we elected to co-develop baricitinib with Lilly in rheumatoid arthritis and we are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we entered into an amendment to the agreement with Lilly that allows us to engage in the development and commercialization of ruxolitinib in the GVHD field. We paid Lilly an upfront payment of $35.0 million and Lilly is eligible to receive up to $40.0 million in additional regulatory milestone payments relating to ruxolitinib in the GVHD field.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2017, the European Commission announced the approval of baricitinib as OLUMIANT, triggering a $65.0 million milestone payment from Lilly. In July 2017, Japan's MHLW granted marketing approval for OLUMIANT, triggering a $15.0 million milestone payment from Lilly. In December 2017, we recognized a $30.0 million milestone payment for the first patient treated in the atopic dermatitis Phase III program for baricitinib. In June 2018, the FDA approved the 2mg dose of OLUMIANT, triggering a $100.0 million milestone payment from Lilly. In September 2018, we recognized a $20.0 million milestone payment for the first patient treated in systemic lupus erythematosus Phase III program for baricitinib.</w:t>
      </w:r>
    </w:p>
    <w:p>
      <w:pPr>
        <w:spacing w:after="0" w:line="18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Pharmaceuticals, Inc.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 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8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MacroGenics will be eligible to receive up to $420.0 million in future contingent development and regulatory milestones, and up to $330.0 million in commercial milestones as well as tiered royalties ranging from 15% to 24% of global net sales.</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2018, we entered into a research collaboration and licensing agreement with Innovent Biologics, Inc. Under the terms of this agreement, Innovent received exclusive development and commercialization rights to our clinical-stage product candidates pemigatinib, itacitinib and parsaclisib in hematology and oncology in Mainland China, Hong Kong, Macau and Taiwan. In January 2019, we received an upfront payment under this agreement of $40.0 million.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consolidated financial statements. See Note 1 of Notes to the Consolidated Financial Statements for a complete list of our significant accounting policies.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adopted the new accounting standard for the recognition of revenue under ASC 606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fiscal year beginning on January 1, 2018. Under this standard, we recognize revenue only when we have satisfied a performance obligation through 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 For additional information on the new accounting standard for the recognition of revenue see Note 1 of Notes to the Consolidated Financial Statements.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product revenues consist of U.S. sales of JAKAFI and European sales of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We accrue rebates for mandated discounts under the Medicaid Drug Rebate Program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certain contracted customers purchase directly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hand in our distribution channel. If actual future chargebacks vary from these estimates, we may need to adjust prior period accruals, which would affect revenue in the period of adjustment.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Medicare Part D Coverage Gap: </w:t>
      </w:r>
      <w:r>
        <w:rPr>
          <w:rFonts w:ascii="Arial" w:cs="Arial" w:eastAsia="Arial" w:hAnsi="Arial"/>
          <w:sz w:val="18"/>
          <w:szCs w:val="18"/>
          <w:color w:val="auto"/>
        </w:rPr>
        <w:t>Medicare Part D prescription drug benefit mandates manufacturers to fund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Royalty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revenues on commercial sales for JAKAVI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Milestone and Contract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license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probably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estimates and prepare and file tax returns in various jurisdictions across the U.S.,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royalty and certain potential milestone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discount rates which, 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2018 and 2017</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net income for the year ended December 31, 2018 of $109.5 million and net loss for the year ended December 31, 2017 of $313.1 million. On a per share basis, basic net income was $0.52 and diluted net income was $0.51 for the year ended December 31, 2018. On a per share basis, basic and diluted net loss was $1.53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0"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 Year Ended,</w:t>
      </w:r>
    </w:p>
    <w:p>
      <w:pPr>
        <w:jc w:val="center"/>
        <w:ind w:left="56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236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1,387.0</w:t>
            </w:r>
          </w:p>
        </w:tc>
        <w:tc>
          <w:tcPr>
            <w:tcW w:w="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140" w:type="dxa"/>
            <w:vAlign w:val="bottom"/>
            <w:shd w:val="clear" w:color="auto" w:fill="CCEEFF"/>
          </w:tcPr>
          <w:p>
            <w:pPr>
              <w:spacing w:after="0"/>
              <w:rPr>
                <w:sz w:val="18"/>
                <w:szCs w:val="18"/>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14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Borders>
              <w:bottom w:val="single" w:sz="8" w:color="CCEEFF"/>
            </w:tcBorders>
          </w:tcPr>
          <w:p>
            <w:pPr>
              <w:spacing w:after="0"/>
              <w:rPr>
                <w:sz w:val="18"/>
                <w:szCs w:val="18"/>
                <w:color w:val="auto"/>
              </w:rPr>
            </w:pPr>
          </w:p>
        </w:tc>
      </w:tr>
      <w:tr>
        <w:trPr>
          <w:trHeight w:val="210"/>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revenues, net</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1,466.9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1,200.3</w:t>
            </w:r>
          </w:p>
        </w:tc>
        <w:tc>
          <w:tcPr>
            <w:tcW w:w="14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14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r>
      <w:tr>
        <w:trPr>
          <w:trHeight w:val="210"/>
        </w:trPr>
        <w:tc>
          <w:tcPr>
            <w:tcW w:w="430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160.8</w:t>
            </w:r>
          </w:p>
        </w:tc>
        <w:tc>
          <w:tcPr>
            <w:tcW w:w="14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0" w:type="dxa"/>
            <w:vAlign w:val="bottom"/>
            <w:shd w:val="clear" w:color="auto" w:fill="CCEEFF"/>
          </w:tcPr>
          <w:p>
            <w:pPr>
              <w:spacing w:after="0"/>
              <w:rPr>
                <w:sz w:val="18"/>
                <w:szCs w:val="18"/>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revenues</w:t>
            </w:r>
          </w:p>
        </w:tc>
        <w:tc>
          <w:tcPr>
            <w:tcW w:w="14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8"/>
                <w:szCs w:val="18"/>
                <w:color w:val="auto"/>
              </w:rPr>
            </w:pPr>
          </w:p>
        </w:tc>
      </w:tr>
      <w:tr>
        <w:trPr>
          <w:trHeight w:val="217"/>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1,881.9</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 revenues, net for the years ended December 31, 2018 and 2017, were $1.5 billion and $1.2 billion, respectively. The increase in JAKAFI product revenues was comprised of a volume increase of $166.1 million and a price increase of $87.5 million. Our product revenues may fluctuate from period to period due to our customers’ purchasing patterns over the course of a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activity with respect to our sales allowances and accruals: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Discounts and</w:t>
            </w:r>
          </w:p>
        </w:tc>
        <w:tc>
          <w:tcPr>
            <w:tcW w:w="16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Government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Co-Pay</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Assistance</w:t>
            </w:r>
          </w:p>
        </w:tc>
        <w:tc>
          <w:tcPr>
            <w:tcW w:w="14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Product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Distribution</w:t>
            </w:r>
          </w:p>
        </w:tc>
        <w:tc>
          <w:tcPr>
            <w:tcW w:w="16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6"/>
              </w:rPr>
              <w:t>Rebates and</w:t>
            </w:r>
          </w:p>
        </w:tc>
        <w:tc>
          <w:tcPr>
            <w:tcW w:w="14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Fees</w:t>
            </w:r>
          </w:p>
        </w:tc>
        <w:tc>
          <w:tcPr>
            <w:tcW w:w="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Chargebacks</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Discounts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Returns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$ 1,692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0"/>
              <w:spacing w:after="0"/>
              <w:rPr>
                <w:sz w:val="20"/>
                <w:szCs w:val="20"/>
                <w:color w:val="auto"/>
              </w:rPr>
            </w:pPr>
            <w:r>
              <w:rPr>
                <w:rFonts w:ascii="Arial" w:cs="Arial" w:eastAsia="Arial" w:hAnsi="Arial"/>
                <w:sz w:val="18"/>
                <w:szCs w:val="18"/>
                <w:color w:val="auto"/>
              </w:rPr>
              <w:t>Allowances for current period sales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193,246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Allowances for prior period sales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0"/>
              <w:spacing w:after="0"/>
              <w:rPr>
                <w:sz w:val="20"/>
                <w:szCs w:val="20"/>
                <w:color w:val="auto"/>
              </w:rPr>
            </w:pPr>
            <w:r>
              <w:rPr>
                <w:rFonts w:ascii="Arial" w:cs="Arial" w:eastAsia="Arial" w:hAnsi="Arial"/>
                <w:sz w:val="18"/>
                <w:szCs w:val="18"/>
                <w:color w:val="auto"/>
              </w:rPr>
              <w:t>Credits/payments for current period sales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(162,840)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(6,205)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(205,715)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Credits/payments for prior period sales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$ 2,270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JAKAFI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royalty revenues on commercial sales of JAKAVI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milestone and contract revenues were $180.0 million and $175.0 million for the years ended December 31, 2018 and 2017, respectively, and were derived from milestone payments from Lilly and Novartis earned during the period. During the year ended December 31, 2018, under the Lilly agreement, we recognized a $20.0 million development milestone for the first patient treated in systemic lupus erythematosus Phase III program for baricitinib and a $100.0 million regulatory milestone for the approval of the 2mg dose of OLUMIANT for the treatment of moderately-to-severely active rheumatoid arthritis in adult patients by the FDA and under the Novartis agreement, we recognized a $60.0 million milestone for Novartis achieving annual net sales of a JAK licensed product of $900.0 million. During the year ended December 31, 2017, under the Lilly agreement, we recognized a $30.0 million development milestone for the first patient treated in the atopic dermatitis Phase III program for baricitinib, $15.0 million regulatory milestone for the approval of baricitinib for the treatment of rheumatoid arthritis by Japan’s Ministry of Health, Labor and Welfare and a $65.0 million regulatory milestone for the approval of baricitinib for the treatment of moderate-to-severe rheumatoid arthritis in adult patients by the European Commission and under the Novartis agreement, we recognized a $40.0 million sales milestone for Novartis achieving annual net sales of a JAK licensed product of $600.0 million and a $25.0 million development milestone based on the formal initiation by Novartis of a Phase III clinical trial evaluating ruxolitinib in GVHD.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30"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 Year Ended,</w:t>
      </w:r>
    </w:p>
    <w:p>
      <w:pPr>
        <w:jc w:val="center"/>
        <w:ind w:left="56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gridSpan w:val="4"/>
          </w:tcPr>
          <w:p>
            <w:pPr>
              <w:jc w:val="right"/>
              <w:ind w:right="85"/>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180" w:type="dxa"/>
            <w:vAlign w:val="bottom"/>
            <w:gridSpan w:val="2"/>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Royalty expense</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1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r>
      <w:tr>
        <w:trPr>
          <w:trHeight w:val="217"/>
        </w:trPr>
        <w:tc>
          <w:tcPr>
            <w:tcW w:w="460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118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Cost of product revenues includes all JAKAFI related product costs, all ICLUSIG related product costs, low single-digit royalties to Novartis on all sales of JAKAFI in the United States and amortization of our licensed intellectual property for ICLUSIG using the straight-line method over the estimated useful life of 12.5 years. Cost of product revenues increased from 2017 to 2018 due primarily to increased royalties to Novartis on all JAKAFI sales in the United States.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For the Years Ended,</w:t>
            </w:r>
          </w:p>
        </w:tc>
      </w:tr>
      <w:tr>
        <w:trPr>
          <w:trHeight w:val="171"/>
        </w:trPr>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tcPr>
          <w:p>
            <w:pPr>
              <w:jc w:val="center"/>
              <w:ind w:left="578"/>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7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Stock compensation</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90.4</w:t>
            </w:r>
          </w:p>
        </w:tc>
        <w:tc>
          <w:tcPr>
            <w:tcW w:w="1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18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14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80" w:type="dxa"/>
            <w:vAlign w:val="bottom"/>
            <w:tcBorders>
              <w:bottom w:val="single" w:sz="8" w:color="CCEEFF"/>
            </w:tcBorders>
          </w:tcPr>
          <w:p>
            <w:pPr>
              <w:spacing w:after="0"/>
              <w:rPr>
                <w:sz w:val="18"/>
                <w:szCs w:val="18"/>
                <w:color w:val="auto"/>
              </w:rPr>
            </w:pPr>
          </w:p>
        </w:tc>
      </w:tr>
      <w:tr>
        <w:trPr>
          <w:trHeight w:val="217"/>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4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We account for research and development costs by natural expense line and not costs by project. Salary and benefits related expense increased from 2017 to 2018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p>
      <w:pPr>
        <w:spacing w:after="0" w:line="206"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The decrease in clinical research and outside services expense from 2017 to 2018 was primarily due to upfront and milestone expenses related to our collaborative agreements. Specifically, we recorded $359.1 million related to our collaborative agreements with Agenus, Calithera, MacroGenics and Merus during 2017 and $52.4 million related mainly to our collaborative agreements with Agenus, MacroGenics and Syros during 2018. Research and development expenses for the years ended December 31, 2018 and 2017 were net of $10.5 million and $18.6 million, respectively, of costs reimbursed by our collaborative partners. In addition to one-time expenses resulting from upfront fees in connection with the entry into any new or amended collaboration agreements, research and development expenses may fluctuate from period to period depending upon the stage of certain projects and the level of pre</w:t>
      </w:r>
      <w:r>
        <w:rPr>
          <w:rFonts w:ascii="MS PGothic" w:cs="MS PGothic" w:eastAsia="MS PGothic" w:hAnsi="MS PGothic"/>
          <w:sz w:val="16"/>
          <w:szCs w:val="16"/>
          <w:color w:val="auto"/>
        </w:rPr>
        <w:t>‑</w:t>
      </w:r>
      <w:r>
        <w:rPr>
          <w:rFonts w:ascii="Arial" w:cs="Arial" w:eastAsia="Arial" w:hAnsi="Arial"/>
          <w:sz w:val="16"/>
          <w:szCs w:val="16"/>
          <w:color w:val="auto"/>
        </w:rPr>
        <w:t>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20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In July 2010, we elected to co</w:t>
      </w:r>
      <w:r>
        <w:rPr>
          <w:rFonts w:ascii="MS PGothic" w:cs="MS PGothic" w:eastAsia="MS PGothic" w:hAnsi="MS PGothic"/>
          <w:sz w:val="16"/>
          <w:szCs w:val="16"/>
          <w:color w:val="auto"/>
        </w:rPr>
        <w:t>‑</w:t>
      </w:r>
      <w:r>
        <w:rPr>
          <w:rFonts w:ascii="Arial" w:cs="Arial" w:eastAsia="Arial" w:hAnsi="Arial"/>
          <w:sz w:val="16"/>
          <w:szCs w:val="16"/>
          <w:color w:val="auto"/>
        </w:rPr>
        <w:t>develop baricitinib with Lilly in rheumatoid arthritis and we are responsible for funding 30% of the associated future global development costs for this indication from the initiation of the Phase IIb trial through regulatory approval. We subsequently elected to co-develop baricitinib with Lilly in psoriatic arthritis, atopic dermatitis, alopecia areata, systemic lupus erythematosus and axial spondyloarthritis and are responsible for funding 30% of future global development costs for those indications through regulatory approval, including post-launch studies required by a regulatory authority. Research and development expenses recorded under the Lilly agreement representing 30% of the global development costs for baricitinib for the treatment of rheumatoid arthritis, psoriatic arthritis, atopic dermatitis, alopecia areata, systematic lupus erythematosus and axial spondyloarthritis were $68.6 million and $40.8 million for the years ended December 31, 2018 and 2017, respectively. We have retained certain mechanisms to give us cost protection as baricitinib advances in clinical development. We can defer our portion of co-development study costs by indication if they exceed a predetermined level. This deferment would be credited against future milestones or royalties and we would still be eligible for the full incremental royalties related to the co-development option. In addition, even if we have started co-development funding for any indication, we can at any time opt out, which will stop future co-development cost sharing. If we elect to do this we would still be eligible for our base royalties plus an incremental pro-rated royalty commensurate with our contribution to the total co-development cost for those indications for which we contributed funding.</w:t>
      </w:r>
    </w:p>
    <w:p>
      <w:pPr>
        <w:spacing w:after="0" w:line="2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2017, we wrote-off the acquired IPR&amp;D asset of $12.0 million due to the discontinuation of the OPTIC-2L study, which was recorded in research and development expense on the consolidated statements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For the Years Ended,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98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7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 compensation</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200" w:type="dxa"/>
            <w:vAlign w:val="bottom"/>
            <w:shd w:val="clear" w:color="auto" w:fill="CCEEFF"/>
          </w:tcPr>
          <w:p>
            <w:pPr>
              <w:spacing w:after="0"/>
              <w:rPr>
                <w:sz w:val="18"/>
                <w:szCs w:val="18"/>
                <w:color w:val="auto"/>
              </w:rPr>
            </w:pP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120" w:type="dxa"/>
            <w:vAlign w:val="bottom"/>
          </w:tcPr>
          <w:p>
            <w:pPr>
              <w:spacing w:after="0"/>
              <w:rPr>
                <w:sz w:val="18"/>
                <w:szCs w:val="18"/>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200" w:type="dxa"/>
            <w:vAlign w:val="bottom"/>
          </w:tcPr>
          <w:p>
            <w:pPr>
              <w:spacing w:after="0"/>
              <w:rPr>
                <w:sz w:val="18"/>
                <w:szCs w:val="18"/>
                <w:color w:val="auto"/>
              </w:rPr>
            </w:pPr>
          </w:p>
        </w:tc>
      </w:tr>
    </w:tbl>
    <w:p>
      <w:pPr>
        <w:spacing w:after="0" w:line="202" w:lineRule="exact"/>
        <w:rPr>
          <w:sz w:val="20"/>
          <w:szCs w:val="20"/>
          <w:color w:val="auto"/>
        </w:rPr>
      </w:pPr>
    </w:p>
    <w:p>
      <w:pPr>
        <w:jc w:val="both"/>
        <w:ind w:right="60" w:firstLine="648"/>
        <w:spacing w:after="0" w:line="221" w:lineRule="exact"/>
        <w:rPr>
          <w:sz w:val="20"/>
          <w:szCs w:val="20"/>
          <w:color w:val="auto"/>
        </w:rPr>
      </w:pPr>
      <w:r>
        <w:rPr>
          <w:rFonts w:ascii="Arial" w:cs="Arial" w:eastAsia="Arial" w:hAnsi="Arial"/>
          <w:sz w:val="17"/>
          <w:szCs w:val="17"/>
          <w:color w:val="auto"/>
        </w:rPr>
        <w:t>Salary and benefits related expense increased from 2017 to 2018 due to increased headcount. This increased headcount was due primarily to the ongoing commercialization efforts related to JAKAFI for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and uncontrolled polycythemia vera, as well as increased headcount related to our European operations.</w:t>
      </w:r>
    </w:p>
    <w:p>
      <w:pPr>
        <w:jc w:val="both"/>
        <w:ind w:right="60" w:firstLine="76"/>
        <w:spacing w:after="0" w:line="216" w:lineRule="exact"/>
        <w:rPr>
          <w:sz w:val="20"/>
          <w:szCs w:val="20"/>
          <w:color w:val="auto"/>
        </w:rPr>
      </w:pPr>
      <w:r>
        <w:rPr>
          <w:rFonts w:ascii="Arial" w:cs="Arial" w:eastAsia="Arial" w:hAnsi="Arial"/>
          <w:sz w:val="18"/>
          <w:szCs w:val="18"/>
          <w:color w:val="auto"/>
        </w:rPr>
        <w:t>Stock compensation expense may fluctuate from period to period based on the number of awards granted, stock price volatility and expected award lives, as well as expected award forfeiture rates which are used to value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The increase in other contract services and outside costs was primarily the result of an increase in donations to independent non-profit patient assistance organizations in the United States and additional costs related to the commercialization of JAKAFI.</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right="60" w:firstLine="648"/>
        <w:spacing w:after="0" w:line="289" w:lineRule="auto"/>
        <w:rPr>
          <w:sz w:val="20"/>
          <w:szCs w:val="20"/>
          <w:color w:val="auto"/>
        </w:rPr>
      </w:pPr>
      <w:r>
        <w:rPr>
          <w:rFonts w:ascii="Arial" w:cs="Arial" w:eastAsia="Arial" w:hAnsi="Arial"/>
          <w:sz w:val="16"/>
          <w:szCs w:val="16"/>
          <w:color w:val="auto"/>
        </w:rPr>
        <w:t>Acquisition-related contingent consideration, which consists of our future royalty and certain potential milestone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years ended December 31, 2018 and 2017 was $26.2 million and $7.7 million, respectively. The change in fair value of the contingent consideration for the year ended December 31, 2018 was due primarily to the passage of time as there were no other significant changes in the key assumptions during the periods. The change in fair value of the contingent consideration for the year ended December 31, 2017 was due to the passage of time and a benefit of $24.0 million recorded during the third quarter of 2017 related to the lack of expected future sales royalties payable due to the discontinued OPTIC-2L clinical trial.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years ended December 31, 2018 and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$31.8 million and $17.2 million, respectively. The increase in other income (expense), net primarily relates to interest income and refundable research and development credits from the state of Delaware.</w:t>
      </w:r>
    </w:p>
    <w:p>
      <w:pPr>
        <w:spacing w:after="0" w:line="181" w:lineRule="exact"/>
        <w:rPr>
          <w:sz w:val="20"/>
          <w:szCs w:val="20"/>
          <w:color w:val="auto"/>
        </w:rPr>
      </w:pPr>
    </w:p>
    <w:p>
      <w:pPr>
        <w:jc w:val="both"/>
        <w:ind w:right="60" w:firstLine="648"/>
        <w:spacing w:after="0" w:line="220" w:lineRule="exact"/>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years ended December 31, 2018 and 2017, was $1.5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$6.9 million, respectively. Included in interest expense for the years ended December 31, 2018 and 2017 was $1.2 million and $6.1 million, respectively, of non</w:t>
      </w:r>
      <w:r>
        <w:rPr>
          <w:rFonts w:ascii="MS PGothic" w:cs="MS PGothic" w:eastAsia="MS PGothic" w:hAnsi="MS PGothic"/>
          <w:sz w:val="18"/>
          <w:szCs w:val="18"/>
          <w:color w:val="auto"/>
        </w:rPr>
        <w:t>‑</w:t>
      </w:r>
      <w:r>
        <w:rPr>
          <w:rFonts w:ascii="Arial" w:cs="Arial" w:eastAsia="Arial" w:hAnsi="Arial"/>
          <w:sz w:val="18"/>
          <w:szCs w:val="18"/>
          <w:color w:val="auto"/>
        </w:rPr>
        <w:t>cash charges to amortize the discounts on our convertible senior notes due November 2018 and November 2020.</w:t>
      </w:r>
    </w:p>
    <w:p>
      <w:pPr>
        <w:spacing w:after="0" w:line="204" w:lineRule="exact"/>
        <w:rPr>
          <w:sz w:val="20"/>
          <w:szCs w:val="20"/>
          <w:color w:val="auto"/>
        </w:rPr>
      </w:pPr>
    </w:p>
    <w:p>
      <w:pPr>
        <w:jc w:val="both"/>
        <w:ind w:right="60" w:firstLine="648"/>
        <w:spacing w:after="0" w:line="270" w:lineRule="auto"/>
        <w:rPr>
          <w:sz w:val="20"/>
          <w:szCs w:val="20"/>
          <w:color w:val="auto"/>
        </w:rPr>
      </w:pPr>
      <w:r>
        <w:rPr>
          <w:rFonts w:ascii="Arial" w:cs="Arial" w:eastAsia="Arial" w:hAnsi="Arial"/>
          <w:sz w:val="17"/>
          <w:szCs w:val="17"/>
          <w:i w:val="1"/>
          <w:iCs w:val="1"/>
          <w:color w:val="auto"/>
        </w:rPr>
        <w:t xml:space="preserve">Unrealized loss on long term investments. </w:t>
      </w:r>
      <w:r>
        <w:rPr>
          <w:rFonts w:ascii="Arial" w:cs="Arial" w:eastAsia="Arial" w:hAnsi="Arial"/>
          <w:sz w:val="17"/>
          <w:szCs w:val="17"/>
          <w:color w:val="auto"/>
        </w:rPr>
        <w:t>Unrealized gains and losses on long term investments will fluctuate from</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to period, based on the change in fair value of the securities we hold in our publicly held collaboration partners. With respect to our long term investment in Agenus, the unrealized loss on investment for the years ended December 31, 2018 and 2017, was $15.6 million and $13.6 million, respectively. With respect to our long term investment in Merus, the unrealized loss on investment for the years ended December 31, 2018 and 2017, was $17.3 million and $10.7 million, respectively. With respect to our long term investment in Calithera, the unrealized loss for the year ended December 31, 2018 was $7.5 million. For the year ended December 31, 2017, the unrealized gain on investment in Calithera of $2.8 million was recorded within other comprehensive income, prior to the adoption of ASU No. 2016-01, as described in Note 1 of Notes to the Consolidated Financial Statements. With respect to our long term investment in Syros, the unrealized loss for the year ended December 31, 2018 was $3.7 million.</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Expense related to senior note conversions. </w:t>
      </w:r>
      <w:r>
        <w:rPr>
          <w:rFonts w:ascii="Arial" w:cs="Arial" w:eastAsia="Arial" w:hAnsi="Arial"/>
          <w:sz w:val="18"/>
          <w:szCs w:val="18"/>
          <w:color w:val="auto"/>
        </w:rPr>
        <w:t>Expense related to senior note conversions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2017 was $54.9 million on the conversions of our 2018 Notes and 2020 Notes.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the years ended December 31, 2018 and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$5.9 million and $0.9 million, respectively. The increase in provision for income taxes primarily related to an increase in state taxes due to higher taxable income in 2018 sourced to certain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2017 and 2016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a net loss for the year ended December 31, 2017 of $313.1 million and net income for the year ended December 31, 2016 of $104.2 million. On a per share basis, basic and diluted net loss was $1.53 for the year ended December 31, 2017. On a per share basis, basic net income was $0.55 and diluted net income was $0.54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0"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For the Year Ended,</w:t>
      </w:r>
    </w:p>
    <w:p>
      <w:pPr>
        <w:jc w:val="center"/>
        <w:ind w:left="5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232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1,133.4</w:t>
            </w: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22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14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product revenues, net</w:t>
            </w: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1,200.3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22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110.7</w:t>
            </w:r>
          </w:p>
        </w:tc>
        <w:tc>
          <w:tcPr>
            <w:tcW w:w="2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4240" w:type="dxa"/>
            <w:vAlign w:val="bottom"/>
          </w:tcPr>
          <w:p>
            <w:pPr>
              <w:ind w:left="160"/>
              <w:spacing w:after="0"/>
              <w:rPr>
                <w:sz w:val="20"/>
                <w:szCs w:val="20"/>
                <w:color w:val="auto"/>
              </w:rPr>
            </w:pPr>
            <w:r>
              <w:rPr>
                <w:rFonts w:ascii="Arial" w:cs="Arial" w:eastAsia="Arial" w:hAnsi="Arial"/>
                <w:sz w:val="18"/>
                <w:szCs w:val="18"/>
                <w:color w:val="auto"/>
              </w:rPr>
              <w:t>Total product royalty revenues</w:t>
            </w:r>
          </w:p>
        </w:tc>
        <w:tc>
          <w:tcPr>
            <w:tcW w:w="14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2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revenues</w:t>
            </w:r>
          </w:p>
        </w:tc>
        <w:tc>
          <w:tcPr>
            <w:tcW w:w="14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tcPr>
          <w:p>
            <w:pPr>
              <w:spacing w:after="0"/>
              <w:rPr>
                <w:sz w:val="18"/>
                <w:szCs w:val="18"/>
                <w:color w:val="auto"/>
              </w:rPr>
            </w:pPr>
          </w:p>
        </w:tc>
      </w:tr>
      <w:tr>
        <w:trPr>
          <w:trHeight w:val="217"/>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4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1,536.2</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1,105.7</w:t>
            </w:r>
          </w:p>
        </w:tc>
        <w:tc>
          <w:tcPr>
            <w:tcW w:w="2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product revenues, net for the years ended December 31, 2017 and 2016, were $1.2 billion and $882.4 million, respectively. The increase in JAKAFI product revenues was comprised of a volume increase of $204.6 million and a price increase of $76.0 million. ICLUSIG product revenues commenced in June 2016 following the Acquisition.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for the year ended December 31, 2017:</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7"/>
              </w:rPr>
              <w:t>Discounts and</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Government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1"/>
              </w:rPr>
              <w:t>Co-Pay</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83"/>
              </w:rPr>
              <w:t>Assistance</w:t>
            </w:r>
          </w:p>
        </w:tc>
        <w:tc>
          <w:tcPr>
            <w:tcW w:w="16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Product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Distribution</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Rebates and</w:t>
            </w:r>
          </w:p>
        </w:tc>
        <w:tc>
          <w:tcPr>
            <w:tcW w:w="7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3"/>
              </w:rPr>
              <w:t>and Other</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Fees</w:t>
            </w: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w w:val="88"/>
              </w:rPr>
              <w:t>Chargebacks</w:t>
            </w:r>
          </w:p>
        </w:tc>
        <w:tc>
          <w:tcPr>
            <w:tcW w:w="1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8"/>
              </w:rPr>
              <w:t>Discounts</w:t>
            </w:r>
          </w:p>
        </w:tc>
        <w:tc>
          <w:tcPr>
            <w:tcW w:w="1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Returns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$1,211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Allowances for current period sales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141,884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4,051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180,618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Allowances for prior period sales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Credits/payments for current period sales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(114,312)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(3,885)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(148,989)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Credits/payments for prior period sales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milestone and contract revenues were $175.0 million and $112.5 million for the years ended December 31, 2017 and 2016, respectively. For the year ended December 31, 2017, milestone and contract revenues were derived from</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milestone payments from Lilly and Novartis earned during the period. For the year ended December 31, 2016, milestone and contract revenues were derived from the straight-line recognition of revenue associated with the Lilly upfront fees over the estimated performance period as well as milestone payments from Lilly and Novartis earned during the period. The upfront fees related to the Lilly agreement consisted of a $90.0 million upfront payment received in 2010. The increase in milestone and contract revenues from 2016 to 2017 primarily relates to the recognition of $45.0 million in milestone payments from Novartis, $55.0 million in milestone payments from Lilly and $12.5 million in revenue from the Lilly upfront fees in 2016 compared to the recognition of $65.0 million in milestone payments from Novartis and $110.0 million in milestone payments from Lilly in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30"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For the Year Ended,</w:t>
      </w:r>
    </w:p>
    <w:p>
      <w:pPr>
        <w:jc w:val="center"/>
        <w:ind w:left="5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gridSpan w:val="4"/>
          </w:tcPr>
          <w:p>
            <w:pPr>
              <w:jc w:val="right"/>
              <w:ind w:right="85"/>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140" w:type="dxa"/>
            <w:vAlign w:val="bottom"/>
            <w:gridSpan w:val="2"/>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Royalty expense</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1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r>
      <w:tr>
        <w:trPr>
          <w:trHeight w:val="217"/>
        </w:trPr>
        <w:tc>
          <w:tcPr>
            <w:tcW w:w="454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114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product revenues includes all JAKAFI related product costs, all ICLUSIG related product costs and low single-digit royalties to Novartis on all sales of JAKAFI in the United States. The ICLUSIG inventories were recorded at fair value less costs to sell in connection with the Acquisition, which resulted in a higher cost of ICLUSIG product revenues over a one year period from the acquisition date. Subsequent to the Acquisition on June 1, 2016, cost of product revenues also included the amortization of our licensed intellectual property for ICLUSIG using the straight-line method over the estimated useful life of 12.5 years.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product revenues was $79.5 million and $58.2 million for the years ended December 31, 2017 and 2016, respectively. Cost of product revenues increased from 2016 to 2017 due primarily to an increase of $13.7 million in royalties to Novartis on all JAKAFI sales in the United States and amortization of $8.9 million of our licensed intellectual property acquired on June 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For the Years Ended,</w:t>
      </w:r>
    </w:p>
    <w:p>
      <w:pPr>
        <w:jc w:val="center"/>
        <w:ind w:left="64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4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Borders>
              <w:bottom w:val="single" w:sz="8" w:color="CCEEFF"/>
            </w:tcBorders>
          </w:tcPr>
          <w:p>
            <w:pPr>
              <w:spacing w:after="0"/>
              <w:rPr>
                <w:sz w:val="18"/>
                <w:szCs w:val="18"/>
                <w:color w:val="auto"/>
              </w:rPr>
            </w:pPr>
          </w:p>
        </w:tc>
      </w:tr>
      <w:tr>
        <w:trPr>
          <w:trHeight w:val="217"/>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increase in clinical research and outside services expense from 2016 to 2017 was primarily due to upfront and milestone expenses related to our collaborative agreements, as well as an overall increase in development costs to advance our clinical pipeline. Specifically, we recorded $359.1 million in charges for the new Calithera, MacroGenics and Merus agreements, and the amended Agenus agreement, during the year ended December 31, 2017. Research and development expenses for the years ended December 31, 2017 and 2016 were net of $18.6 million and $13.4 million, respectively, of costs reimbursed by our collaborative partners.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expenses recorded under the Lilly agreement representing 30% of the global development costs for baricitinib for the treatment of rheumatoid arthritis were $40.8 million and $27.3 million for the years ended December 31, 2017 and 2016,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2017, we wrote-off the acquired IPR&amp;D asset of $12.0 million due to the discontinuation of the OPTIC-2L study, which was recorded in research and development expense on the consolidated statements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For the Years Ended,</w:t>
            </w:r>
          </w:p>
        </w:tc>
      </w:tr>
      <w:tr>
        <w:trPr>
          <w:trHeight w:val="171"/>
        </w:trPr>
        <w:tc>
          <w:tcPr>
            <w:tcW w:w="6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left="45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Stock compensation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80" w:type="dxa"/>
            <w:vAlign w:val="bottom"/>
            <w:shd w:val="clear" w:color="auto" w:fill="CCEEFF"/>
          </w:tcPr>
          <w:p>
            <w:pPr>
              <w:spacing w:after="0"/>
              <w:rPr>
                <w:sz w:val="18"/>
                <w:szCs w:val="18"/>
                <w:color w:val="auto"/>
              </w:rPr>
            </w:pPr>
          </w:p>
        </w:tc>
      </w:tr>
      <w:tr>
        <w:trPr>
          <w:trHeight w:val="217"/>
        </w:trPr>
        <w:tc>
          <w:tcPr>
            <w:tcW w:w="648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Salary and benefits related expense increased from 2016 to 2017 due to increased headcount. This increased headcount was due primarily to the ongoing commercialization efforts related to JAKAFI for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and uncontrolled polycythemia vera, as well as increased headcount related to the Acquisition on June 1, 2016 and subsequent expansion of our European commercial and development operations. Stock compensation expense may fluctuate from period to period based on the number of awards granted, stock price volatility and expected award lives, as well as expected award forfeiture rates which are used to value equity</w:t>
      </w:r>
      <w:r>
        <w:rPr>
          <w:rFonts w:ascii="MS PGothic" w:cs="MS PGothic" w:eastAsia="MS PGothic" w:hAnsi="MS PGothic"/>
          <w:sz w:val="17"/>
          <w:szCs w:val="17"/>
          <w:color w:val="auto"/>
        </w:rPr>
        <w:t>‑</w:t>
      </w:r>
      <w:r>
        <w:rPr>
          <w:rFonts w:ascii="Arial" w:cs="Arial" w:eastAsia="Arial" w:hAnsi="Arial"/>
          <w:sz w:val="17"/>
          <w:szCs w:val="17"/>
          <w:color w:val="auto"/>
        </w:rPr>
        <w:t>based compensation. The increase in other contract services and outside costs was primarily the result of marketing activities for JAKAFI for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and uncontrolled polycythemia vera in addition to an increase in donations to independent non-profit patient assistance organizations in the United States. Selling, general and administrative expenses for the year ended December 31, 2016 included expenses related to the Acquisition on June 1, 2016.</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Acquisition-related contingent consideration, which consists of our future royalty and certain potential milestone obligations to ARIAD/Takeda, was recorded on the acquisition date, June 1, 2016, at the estimated fair value of the obligation, in accordance with the acquisition method of accounting. The fair value of the acquisition-related contingent consideration was remeasured as of December 31, 2017, resulting in expense of $7.7 million which is recorded in change in fair value of acquisition-related contingent consideration on the consolidated statements of operations. The change in fair value of the contingent consideration for the year ended December 31, 2017 was due to the passage of time and a benefit of $24.0 million recorded during the third quarter of 2017 related to the lack of expected future sales royalties payable due to the discontinued OPTIC-2L clinical trial. The change in fair value of the acquisition-related contingent consideration for the year ended December 31, 2016 was $17.4 million. The change in fair value of the contingent consideration as of December 31, 2016 was primarily due to the time value of money as there were no other significant changes in the key assumptions used in the fair value calculation at the date of acquisition, including the discount rate utilized and the estimated future projections of ICLUSIG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years ended December 31, 2017 and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$17.5 million and $4.4 million, respectively. The increase in other income (expense), net primarily related to refundable research and development credits from the state of Delaware.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years ended December 31, 2017 and 2016, was $6.9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$38.7 million, respectively. Included in interest expense for the years ended December 31, 2017 and 2016 was $6.1 million and $31.6 million, respectively, of non</w:t>
      </w:r>
      <w:r>
        <w:rPr>
          <w:rFonts w:ascii="MS PGothic" w:cs="MS PGothic" w:eastAsia="MS PGothic" w:hAnsi="MS PGothic"/>
          <w:sz w:val="18"/>
          <w:szCs w:val="18"/>
          <w:color w:val="auto"/>
        </w:rPr>
        <w:t>‑</w:t>
      </w:r>
      <w:r>
        <w:rPr>
          <w:rFonts w:ascii="Arial" w:cs="Arial" w:eastAsia="Arial" w:hAnsi="Arial"/>
          <w:sz w:val="18"/>
          <w:szCs w:val="18"/>
          <w:color w:val="auto"/>
        </w:rPr>
        <w:t>cash charges to amortize the discounts on our convertible senior notes due November 2018 and November 2020.</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Unrealized loss on long term investments. </w:t>
      </w:r>
      <w:r>
        <w:rPr>
          <w:rFonts w:ascii="Arial" w:cs="Arial" w:eastAsia="Arial" w:hAnsi="Arial"/>
          <w:sz w:val="18"/>
          <w:szCs w:val="18"/>
          <w:color w:val="auto"/>
        </w:rPr>
        <w:t>The unrealized loss on our long term investment in Agenus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and 2016, was $13.6 million and $3.3 million, respectively. The unrealized loss on our long term investment in Merus for the year ended December 31, 2017 was $10.7 million.</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Expense related to senior note conversions. </w:t>
      </w:r>
      <w:r>
        <w:rPr>
          <w:rFonts w:ascii="Arial" w:cs="Arial" w:eastAsia="Arial" w:hAnsi="Arial"/>
          <w:sz w:val="16"/>
          <w:szCs w:val="16"/>
          <w:color w:val="auto"/>
        </w:rPr>
        <w:t>Expense related to senior note conversions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2017 was $54.9 million on the conversions of our convertible senior notes due November 2018 and November 2020.</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the years ended December 31, 2017 and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$0.9 million and $3.2 million, respectively. The decrease in provision for income taxes primarily related to a decrease in state taxes due to lower taxable income in 2017 sourced to certain states partially offset by increased foreign tax expense on our first full year of ICLUSIG product 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99"/>
              </w:rPr>
              <w:t>1,438.3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99"/>
              </w:rPr>
              <w:t>1,169.6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1,407.0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1,129.5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336.2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(93.0)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690.2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(included in investing activities above)</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Sources and Uses of Cash.</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historical net losses, we had an accumulated deficit of $1.9 billion as of December 31, 2018. We have funded our research and development operations through sales of equity securities, the issuance of convertible notes, cash received from customers, and collaborative arrangements. At December 31, 2018, we had available cash, cash equivalents and marketable securities of $1.4 billion. Our cash and marketable securities balances are held in a variety of interest-bearing instruments, including money market accounts, corporate debt securities and U.S. government securities. Available cash is invested in accordance with our investment policy’s primary objectives of liquidity, safety of principal and diversity of investments.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Cash provided by (used in) operating activities. </w:t>
      </w:r>
      <w:r>
        <w:rPr>
          <w:rFonts w:ascii="Arial" w:cs="Arial" w:eastAsia="Arial" w:hAnsi="Arial"/>
          <w:sz w:val="18"/>
          <w:szCs w:val="18"/>
          <w:color w:val="auto"/>
        </w:rPr>
        <w:t>The $429.2 million increase in cash provided by 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2017 to 2018 was due primarily to our increased product revenues, decreases in payments made to our collaborative partners for new or amended arrangements and changes in working capital. The $397.8 million decrease in cash provided by operating activities from 2016 to 2017 was due primarily to the payments made to our collaborative partners in 2017 and changes in working capital.</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Cash used in investing activities. </w:t>
      </w:r>
      <w:r>
        <w:rPr>
          <w:rFonts w:ascii="Arial" w:cs="Arial" w:eastAsia="Arial" w:hAnsi="Arial"/>
          <w:sz w:val="17"/>
          <w:szCs w:val="17"/>
          <w:color w:val="auto"/>
        </w:rPr>
        <w:t>Our investing activities, other than purchases, sales and maturities of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have consisted predominantly of capital expenditures and purchases of long term investments. During 2018, net cash used in investing activities was $86.4 million, which represents purchases of marketable securities of $159.9 million, capital expenditures of $73.5 million, and purchases of long term investments of $8.9 million, offset in part by the sale and maturity of marketable securities of $155.9 million. During 2017, net cash used in investing activities was $350.0 million, which represents purchases of marketable securities of $260.8 million, capital expenditures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$111.0 million, and purchases of long term investments of $123.9 million, offset in part by the sale and maturity of marketable securities of $145.7 million. During 2016, net cash used in investing activities was $232.5 million, which represents purchases of marketable securities of $57.4 million, capital expenditures of $120.3 million, and acquisition of ARIAD Pharmaceuticals (Luxembourg) S.à.r.l. for net cash of $142.9 million, offset in part by the sale and maturity of marketable securities of $88.0 million. In the future, net cash used by investing activities may fluctuate significantly from period to period due to the timing of strategic equity investments, acquisitions, capital expenditures and maturities/sales and purchases of marketable securities.</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Cash provided by financing activities. </w:t>
      </w:r>
      <w:r>
        <w:rPr>
          <w:rFonts w:ascii="Arial" w:cs="Arial" w:eastAsia="Arial" w:hAnsi="Arial"/>
          <w:sz w:val="17"/>
          <w:szCs w:val="17"/>
          <w:color w:val="auto"/>
        </w:rPr>
        <w:t>During 2018, net cash provided by financing activities was $14.7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primarily of proceeds from the issuance of common stock under our stock plans, offset in part by cash paid to ARIAD/Takeda for contingent consideration. During 2017, net cash provided by financing activities was $690.2 million, consisting primarily of proceeds from issuance of common stock in our September 2017 public offering and, to a lesser extent, proceeds from the issuance of common stock under our stock plans, offset in part by cash paid to ARIAD/Takeda for contingent consideration and cash paid in connection with senior note conversions. During 2016, net cash provided by financing activities was $44.6 million, consisting primarily of proceeds from issuance of common stock under our stock plans, offset in part by cash paid to ARIAD/Takeda for contingent consideration.</w:t>
      </w:r>
    </w:p>
    <w:p>
      <w:pPr>
        <w:spacing w:after="0" w:line="1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summarizes our significant contractual obligations as of December 31, 2018 and the effect those obligations are expected to have on our liquidity and cash flow in future periods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Less Than</w:t>
            </w: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w w:val="99"/>
              </w:rPr>
              <w:t>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Over</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1 Year</w:t>
            </w:r>
          </w:p>
        </w:tc>
        <w:tc>
          <w:tcPr>
            <w:tcW w:w="14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2 - 3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4 - 5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Principal on convertible senior debt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senior debt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Non-cancelable lease obligations</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r>
              <w:rPr>
                <w:rFonts w:ascii="Arial" w:cs="Arial" w:eastAsia="Arial" w:hAnsi="Arial"/>
                <w:sz w:val="18"/>
                <w:szCs w:val="18"/>
                <w:u w:val="single" w:color="auto"/>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Once construction is complete, our future rental payments over the 15 year term are approximately $41.9 million, which excludes the remaining build-out costs to be paid by us.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our receipt of any milestone or other payments under any collaborative agreements we may enter into, including the agreements with Novartis, Lilly and Innovent; and expenditures in connection with strategic relationships and license agreements, including our agreements with Agenus, ARIAD/Takeda, Calithera, Lilly, MacroGenics, Merus and Syros, strategic equity investments or potential acquisitions. 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We have no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other than those that are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investments in marketable securities, which are composed primarily of corporate debt securities and U.S. government securities, are subject to default, changes in credit rating and changes in market value. These investments are also subject to interest rate risk and will decrease in value if market interest rates increase. As of December 31, 2018, marketable securities were $274.3 million. Due to the nature of these investments, if market interest rates were to increase immediately and uniformly by 10% from levels as of December 31, 2018, the decline in fair value would not be material.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INDEX</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Consolidated Financial Statements of Incyte Corporation</w:t>
            </w: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600" w:type="dxa"/>
            <w:vAlign w:val="bottom"/>
            <w:gridSpan w:val="9"/>
            <w:vMerge w:val="continue"/>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tcBorders>
              <w:bottom w:val="single" w:sz="8" w:color="0000EE"/>
            </w:tcBorders>
            <w:gridSpan w:val="4"/>
          </w:tcPr>
          <w:p>
            <w:pPr>
              <w:spacing w:after="0" w:line="190"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Report of Ernst &amp; Young LLP, Independent Registered Public Accounting Firm</w:t>
              </w:r>
            </w:hyperlink>
          </w:p>
        </w:tc>
        <w:tc>
          <w:tcPr>
            <w:tcW w:w="2860" w:type="dxa"/>
            <w:vAlign w:val="bottom"/>
            <w:gridSpan w:val="5"/>
          </w:tcPr>
          <w:p>
            <w:pPr>
              <w:spacing w:after="0"/>
              <w:rPr>
                <w:sz w:val="16"/>
                <w:szCs w:val="16"/>
                <w:color w:val="auto"/>
              </w:rPr>
            </w:pPr>
          </w:p>
        </w:tc>
        <w:tc>
          <w:tcPr>
            <w:tcW w:w="6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8600" w:type="dxa"/>
            <w:vAlign w:val="bottom"/>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Balance Sheets as of December 31, 2018 and 201</w:t>
              </w:r>
            </w:hyperlink>
            <w:r>
              <w:rPr>
                <w:rFonts w:ascii="Arial" w:cs="Arial" w:eastAsia="Arial" w:hAnsi="Arial"/>
                <w:sz w:val="18"/>
                <w:szCs w:val="18"/>
                <w:color w:val="000000"/>
              </w:rPr>
              <w:t>7</w:t>
            </w: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Operations for the years ended December 31, 2018, 2017 and 2016</w:t>
              </w:r>
            </w:hyperlink>
          </w:p>
        </w:tc>
        <w:tc>
          <w:tcPr>
            <w:tcW w:w="1740" w:type="dxa"/>
            <w:vAlign w:val="bottom"/>
            <w:gridSpan w:val="4"/>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8600" w:type="dxa"/>
            <w:vAlign w:val="bottom"/>
            <w:gridSpan w:val="9"/>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Consolidated Statements of Comprehensive Income (Loss) for the years ended December 31, 2018, 2017 and 2016</w:t>
              </w:r>
            </w:hyperlink>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828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Consolidated Statement of Stockholders’ Equity for the years ended December 31, 2018, 2017 and 2016</w:t>
              </w:r>
            </w:hyperlink>
          </w:p>
        </w:tc>
        <w:tc>
          <w:tcPr>
            <w:tcW w:w="32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Cash Flows for the years ended December 31, 2018, 2017 and 2016</w:t>
              </w:r>
            </w:hyperlink>
          </w:p>
        </w:tc>
        <w:tc>
          <w:tcPr>
            <w:tcW w:w="600" w:type="dxa"/>
            <w:vAlign w:val="bottom"/>
            <w:tcBorders>
              <w:top w:val="single" w:sz="8" w:color="0000EE"/>
            </w:tcBorders>
          </w:tcPr>
          <w:p>
            <w:pPr>
              <w:spacing w:after="0"/>
              <w:rPr>
                <w:sz w:val="17"/>
                <w:szCs w:val="17"/>
                <w:color w:val="auto"/>
              </w:rPr>
            </w:pPr>
          </w:p>
        </w:tc>
        <w:tc>
          <w:tcPr>
            <w:tcW w:w="1080" w:type="dxa"/>
            <w:vAlign w:val="bottom"/>
            <w:gridSpan w:val="2"/>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Notes to the Consolidated Financial Statements</w:t>
              </w:r>
            </w:hyperlink>
          </w:p>
        </w:tc>
        <w:tc>
          <w:tcPr>
            <w:tcW w:w="5180" w:type="dxa"/>
            <w:vAlign w:val="bottom"/>
            <w:gridSpan w:val="8"/>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8600" w:type="dxa"/>
            <w:vAlign w:val="bottom"/>
            <w:gridSpan w:val="9"/>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Interim Consolidated Financial Information (unaudited)</w:t>
              </w:r>
            </w:hyperlink>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669"/>
        </w:trPr>
        <w:tc>
          <w:tcPr>
            <w:tcW w:w="4020" w:type="dxa"/>
            <w:vAlign w:val="bottom"/>
            <w:tcBorders>
              <w:top w:val="single" w:sz="8" w:color="0000EE"/>
            </w:tcBorders>
            <w:gridSpan w:val="2"/>
          </w:tcPr>
          <w:p>
            <w:pPr>
              <w:spacing w:after="0"/>
              <w:rPr>
                <w:sz w:val="24"/>
                <w:szCs w:val="24"/>
                <w:color w:val="auto"/>
              </w:rPr>
            </w:pPr>
          </w:p>
        </w:tc>
        <w:tc>
          <w:tcPr>
            <w:tcW w:w="1720" w:type="dxa"/>
            <w:vAlign w:val="bottom"/>
            <w:gridSpan w:val="2"/>
          </w:tcPr>
          <w:p>
            <w:pPr>
              <w:jc w:val="right"/>
              <w:ind w:right="1120"/>
              <w:spacing w:after="0"/>
              <w:rPr>
                <w:sz w:val="20"/>
                <w:szCs w:val="20"/>
                <w:color w:val="auto"/>
              </w:rPr>
            </w:pPr>
            <w:r>
              <w:rPr>
                <w:rFonts w:ascii="Arial" w:cs="Arial" w:eastAsia="Arial" w:hAnsi="Arial"/>
                <w:sz w:val="18"/>
                <w:szCs w:val="18"/>
                <w:color w:val="auto"/>
              </w:rPr>
              <w:t>73</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420" w:top="125" w:right="12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Incyte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Incyte Corporation (the Company) as of December 31, 2018 and 2017, the related consolidated statements of operations, comprehensive income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14, 2019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1,163,980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899,509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 securities—available-for-sale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79,366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1,504,854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Long term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319,751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155,593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2,645,762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2,302,582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103,827</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Convertible senior notes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contingent consideration</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425,277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tcPr>
          <w:p>
            <w:pPr>
              <w:ind w:left="220"/>
              <w:spacing w:after="0" w:line="201" w:lineRule="exact"/>
              <w:rPr>
                <w:sz w:val="20"/>
                <w:szCs w:val="20"/>
                <w:color w:val="auto"/>
              </w:rPr>
            </w:pPr>
            <w:r>
              <w:rPr>
                <w:rFonts w:ascii="Arial" w:cs="Arial" w:eastAsia="Arial" w:hAnsi="Arial"/>
                <w:sz w:val="18"/>
                <w:szCs w:val="18"/>
                <w:color w:val="auto"/>
              </w:rPr>
              <w:t>Preferred stock, $0.001 par value; 5,000,000 shares authorized; none issued or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outstanding as of December 31, 2018 and December 31, 2017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Common stock, $0.001 par value; 400,000,000 shares authorized; 213,274,660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211,262,906 shares issued and outstanding as of December 31, 2018 and December 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3,813,678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3,627,433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(1,877,759)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(1,990,005)</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1,925,967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2,645,762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20"/>
              <w:spacing w:after="0"/>
              <w:rPr>
                <w:sz w:val="20"/>
                <w:szCs w:val="20"/>
                <w:color w:val="auto"/>
              </w:rPr>
            </w:pPr>
            <w:r>
              <w:rPr>
                <w:rFonts w:ascii="Arial" w:cs="Arial" w:eastAsia="Arial" w:hAnsi="Arial"/>
                <w:sz w:val="18"/>
                <w:szCs w:val="18"/>
                <w:color w:val="auto"/>
              </w:rPr>
              <w:t>See accompanying notes.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660" w:type="dxa"/>
            <w:vAlign w:val="bottom"/>
          </w:tcPr>
          <w:p>
            <w:pPr>
              <w:ind w:left="444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INCYTE CORPORATION</w:t>
      </w:r>
    </w:p>
    <w:p>
      <w:pPr>
        <w:spacing w:after="0" w:line="11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Product revenues, net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1,466,900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1,200,312</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882,404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royalty revenues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Milestone and contract revenues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1,881,883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1,536,216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1,105,719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ind w:left="200"/>
              <w:spacing w:after="0" w:line="201" w:lineRule="exact"/>
              <w:rPr>
                <w:sz w:val="20"/>
                <w:szCs w:val="20"/>
                <w:color w:val="auto"/>
              </w:rPr>
            </w:pPr>
            <w:r>
              <w:rPr>
                <w:rFonts w:ascii="Arial" w:cs="Arial" w:eastAsia="Arial" w:hAnsi="Arial"/>
                <w:sz w:val="18"/>
                <w:szCs w:val="18"/>
                <w:color w:val="auto"/>
              </w:rPr>
              <w:t>Cost of product revenues (including definite-lived intangible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94,123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1,197,957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1,326,134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434,407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303,251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Change in fair value of acquisition-related contingent consideration</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1,752,660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1,779,603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Unrealized loss on long term investments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Expense related to senior note conversions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(loss) before provision for income taxes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 (loss)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(313,142)</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income (loss) per share: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212,383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204,580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187,873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80"/>
          </w:cols>
          <w:pgMar w:left="1420" w:top="125" w:right="129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INCYTE CORPORATION</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109,493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(313,142)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104,222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marketable securities, net of tax</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Reclassification adjustment for realized loss on marketable securities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Defined benefit pension obligations, net of tax</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109,091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(317,266)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102,145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20" w:type="dxa"/>
            <w:vAlign w:val="bottom"/>
          </w:tcPr>
          <w:p>
            <w:pPr>
              <w:jc w:val="center"/>
              <w:ind w:left="3210"/>
              <w:spacing w:after="0"/>
              <w:rPr>
                <w:sz w:val="20"/>
                <w:szCs w:val="20"/>
                <w:color w:val="auto"/>
              </w:rPr>
            </w:pPr>
            <w:r>
              <w:rPr>
                <w:rFonts w:ascii="Arial" w:cs="Arial" w:eastAsia="Arial" w:hAnsi="Arial"/>
                <w:sz w:val="18"/>
                <w:szCs w:val="18"/>
                <w:color w:val="auto"/>
                <w:w w:val="87"/>
              </w:rPr>
              <w:t>See accompanying notes.</w:t>
            </w: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740" w:type="dxa"/>
            <w:vAlign w:val="bottom"/>
            <w:gridSpan w:val="2"/>
          </w:tcPr>
          <w:p>
            <w:pPr>
              <w:jc w:val="right"/>
              <w:ind w:right="103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20" w:top="125" w:right="135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INCYTE CORPORATION</w:t>
      </w:r>
    </w:p>
    <w:p>
      <w:pPr>
        <w:spacing w:after="0" w:line="36"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 thousands, except number of shares)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8"/>
              </w:rPr>
              <w:t>Common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11"/>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91"/>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91"/>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1,950,764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(1,778,987)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171,155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Issuance of 2,068,226 shares of Common Stock upon</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exercise of stock options and settlement of employee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restricted stock units and 126,648 shares of Common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Stock under the ESPP</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49,661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77 shares of Common Stock upon conversion</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 Convertible Senior Notes due 2020</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Issuance of 114 shares of Common Stock upon</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conversion of Convertible Senior Notes due 2018</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3,438 shares of Common Stock for services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rendered</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96,201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2,096,929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(1,674,765)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Issuance of 3,012,937 shares of Common Stock upon</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exercise of stock options and settlement of employee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restricted stock units and performance shares and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157,277 shares of Common Stock under the ESPP</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66,732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7,095,350 shares of Common Stock upon</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Senior Notes due 2020</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330,011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Issuance of 7,201,058 shares of Common Stock upon</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conversion of Convertible Senior Notes due 2018</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351,037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351,044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2,532 shares of Common Stock for services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rendered</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Issuance of 4,945,000 shares of Common Stock</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649,382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No. 2016-16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(313,142)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(313,142)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3,627,433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(1,990,005)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1,630,629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Issuance of 1,624,376 shares of Common Stock upon</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exercise of stock options and settlement of employee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restricted stock units and 233,712 shares of Common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Stock under the ESPP</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29,940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148,761 shares of Common Stock upon</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Senior Notes due 2018</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w w:val="96"/>
              </w:rPr>
              <w:t>Issuance of 4,905 shares of Common Stock for services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rendered</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No. 2016-01 (Note 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109,493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109,493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3,813,678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(1,877,759)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1,925,967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880"/>
          </w:cols>
          <w:pgMar w:left="1420" w:top="125" w:right="59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0"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INCYTE CORPORATION</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4"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auto"/>
        </w:rPr>
        <w:t>(in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9"/>
          </w:tcPr>
          <w:p>
            <w:pPr>
              <w:ind w:left="5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109,493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(313,142)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104,222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income (loss) to net cash provided by (used in)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In-process research and development impairment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133,055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96,201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related to senior note conversions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Unrealized loss on long term investments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(13,069)</w:t>
            </w: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and other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Deferred revenue—collaborative agreements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(12,512)</w:t>
            </w:r>
          </w:p>
        </w:tc>
        <w:tc>
          <w:tcPr>
            <w:tcW w:w="160" w:type="dxa"/>
            <w:vAlign w:val="bottom"/>
            <w:tcBorders>
              <w:bottom w:val="single" w:sz="8" w:color="CCEEFF"/>
            </w:tcBorders>
          </w:tcPr>
          <w:p>
            <w:pPr>
              <w:spacing w:after="0"/>
              <w:rPr>
                <w:sz w:val="18"/>
                <w:szCs w:val="18"/>
                <w:color w:val="auto"/>
              </w:rPr>
            </w:pPr>
          </w:p>
        </w:tc>
      </w:tr>
      <w:tr>
        <w:trPr>
          <w:trHeight w:val="210"/>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336,227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304,756</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 net of cash acquired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(142,856)</w:t>
            </w: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Purchase of long term investments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(123,891)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(111,021)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(120,277)</w:t>
            </w: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(260,780)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(57,372)</w:t>
            </w: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Sale and maturities of marketable securities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145,714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88,017</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(349,978)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(232,488)</w:t>
            </w:r>
          </w:p>
        </w:tc>
        <w:tc>
          <w:tcPr>
            <w:tcW w:w="160" w:type="dxa"/>
            <w:vAlign w:val="bottom"/>
            <w:tcBorders>
              <w:bottom w:val="single" w:sz="8" w:color="CCEEFF"/>
            </w:tcBorders>
          </w:tcPr>
          <w:p>
            <w:pPr>
              <w:spacing w:after="0"/>
              <w:rPr>
                <w:sz w:val="18"/>
                <w:szCs w:val="18"/>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49,973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 paid in connection with senior note conversions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Direct financing arrangements repayments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 of contingent consideration</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(4,906)</w:t>
            </w:r>
          </w:p>
        </w:tc>
        <w:tc>
          <w:tcPr>
            <w:tcW w:w="160" w:type="dxa"/>
            <w:vAlign w:val="bottom"/>
            <w:tcBorders>
              <w:bottom w:val="single" w:sz="8" w:color="CCEEFF"/>
            </w:tcBorders>
          </w:tcPr>
          <w:p>
            <w:pPr>
              <w:spacing w:after="0"/>
              <w:rPr>
                <w:sz w:val="18"/>
                <w:szCs w:val="18"/>
                <w:color w:val="auto"/>
              </w:rPr>
            </w:pPr>
          </w:p>
        </w:tc>
      </w:tr>
      <w:tr>
        <w:trPr>
          <w:trHeight w:val="210"/>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690,210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44,622</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w w:val="89"/>
              </w:rPr>
              <w:t>Effect of exchange rates on cash, cash equivalents, restricted cash and investments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restricted cash and investments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Cash, cash equivalents, restricted cash and investments at beginning of period</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900,434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536,348</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3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1,164,986</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900,434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653,229</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03"/>
        </w:trPr>
        <w:tc>
          <w:tcPr>
            <w:tcW w:w="6020" w:type="dxa"/>
            <w:vAlign w:val="bottom"/>
          </w:tcPr>
          <w:p>
            <w:pPr>
              <w:spacing w:after="0" w:line="203" w:lineRule="exact"/>
              <w:rPr>
                <w:sz w:val="20"/>
                <w:szCs w:val="20"/>
                <w:color w:val="auto"/>
              </w:rPr>
            </w:pPr>
            <w:r>
              <w:rPr>
                <w:rFonts w:ascii="Arial" w:cs="Arial" w:eastAsia="Arial" w:hAnsi="Arial"/>
                <w:sz w:val="18"/>
                <w:szCs w:val="18"/>
                <w:b w:val="1"/>
                <w:bCs w:val="1"/>
                <w:color w:val="auto"/>
              </w:rPr>
              <w:t>Supplemental Schedule of Cash Flow Information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Income taxes paid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Reclassification to common stock and additional paid in capital in connection with</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conversions of 0.375% convertible senior notes due 2018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2"/>
        </w:trPr>
        <w:tc>
          <w:tcPr>
            <w:tcW w:w="6020" w:type="dxa"/>
            <w:vAlign w:val="bottom"/>
          </w:tcPr>
          <w:p>
            <w:pPr>
              <w:spacing w:after="0" w:line="201" w:lineRule="exact"/>
              <w:rPr>
                <w:sz w:val="20"/>
                <w:szCs w:val="20"/>
                <w:color w:val="auto"/>
              </w:rPr>
            </w:pPr>
            <w:r>
              <w:rPr>
                <w:rFonts w:ascii="Arial" w:cs="Arial" w:eastAsia="Arial" w:hAnsi="Arial"/>
                <w:sz w:val="18"/>
                <w:szCs w:val="18"/>
                <w:color w:val="auto"/>
                <w:w w:val="92"/>
              </w:rPr>
              <w:t>Reclassification to common stock and additional paid in capital in connection with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conversions of 1.25% convertible senior notes due 2020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330,011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Unpaid purchases of property and equipment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020" w:type="dxa"/>
            <w:vAlign w:val="bottom"/>
          </w:tcPr>
          <w:p>
            <w:pPr>
              <w:ind w:left="3620"/>
              <w:spacing w:after="0"/>
              <w:rPr>
                <w:sz w:val="20"/>
                <w:szCs w:val="20"/>
                <w:color w:val="auto"/>
              </w:rPr>
            </w:pPr>
            <w:r>
              <w:rPr>
                <w:rFonts w:ascii="Arial" w:cs="Arial" w:eastAsia="Arial" w:hAnsi="Arial"/>
                <w:sz w:val="18"/>
                <w:szCs w:val="18"/>
                <w:color w:val="auto"/>
              </w:rPr>
              <w:t>See accompanying notes.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769"/>
        </w:trPr>
        <w:tc>
          <w:tcPr>
            <w:tcW w:w="6020" w:type="dxa"/>
            <w:vAlign w:val="bottom"/>
          </w:tcPr>
          <w:p>
            <w:pPr>
              <w:ind w:left="44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6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sectPr>
          <w:pgSz w:w="11900" w:h="16838" w:orient="portrait"/>
          <w:cols w:equalWidth="0" w:num="1">
            <w:col w:w="9260"/>
          </w:cols>
          <w:pgMar w:left="1420" w:top="125" w:right="12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INCYTE CORPORATION</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Organization and Business. </w:t>
      </w:r>
      <w:r>
        <w:rPr>
          <w:rFonts w:ascii="Arial" w:cs="Arial" w:eastAsia="Arial" w:hAnsi="Arial"/>
          <w:sz w:val="18"/>
          <w:szCs w:val="18"/>
          <w:color w:val="auto"/>
        </w:rPr>
        <w:t>Incyte Corporation (including its subsidiaries, “Incyte,” “we,” “us,” or “our”) is a</w:t>
      </w:r>
      <w:r>
        <w:rPr>
          <w:rFonts w:ascii="Arial" w:cs="Arial" w:eastAsia="Arial" w:hAnsi="Arial"/>
          <w:sz w:val="18"/>
          <w:szCs w:val="18"/>
          <w:i w:val="1"/>
          <w:iCs w:val="1"/>
          <w:color w:val="auto"/>
        </w:rPr>
        <w:t xml:space="preserve"> </w:t>
      </w:r>
      <w:r>
        <w:rPr>
          <w:rFonts w:ascii="Arial" w:cs="Arial" w:eastAsia="Arial" w:hAnsi="Arial"/>
          <w:sz w:val="18"/>
          <w:szCs w:val="18"/>
          <w:color w:val="auto"/>
        </w:rPr>
        <w:t>biopharmaceutical company focused on developing and commercializing proprietary therapeutics. Our portfolio includes compounds in various stages, ranging from preclinical to late stage development, and commercialized products JAKAFI® (ruxolitinib) and ICLUSIG® (ponatinib). Our operations are treated as one operating segment.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June 1, 2016, we acquired (the “Acquisition”), pursuant to a Share Purchase Agreement dated as of May 9, 2016 (the “Share Purchase Agreement”), all of the outstanding shares of ARIAD Pharmaceuticals (Luxembourg) S.à.r.l., since renamed Incyte Biosciences Luxembourg S.à.r.l., the parent company of certain European subsidiaries of ARIAD Pharmaceuticals, Inc. (“ARIAD”). Refer to Note 3 for further information regarding the Acquisition.</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Incyte Corporation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wholly owned subsidiaries. All inter-company accounts, transactions, and profits have been eliminated in consolidation.</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Acquisitions</w:t>
      </w:r>
      <w:r>
        <w:rPr>
          <w:rFonts w:ascii="Arial" w:cs="Arial" w:eastAsia="Arial" w:hAnsi="Arial"/>
          <w:sz w:val="16"/>
          <w:szCs w:val="16"/>
          <w:color w:val="auto"/>
        </w:rPr>
        <w:t>. Acquired businesses are accounted for using the acquisition method of accounting, which requires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acquired and liabilities assumed be recorded at fair value, with limited exceptions. Any excess of the purchase price over the fair value of the net assets acquired is recorded as goodwill. Transaction costs are expensed as incurred. The operating results of the acquired business are reflected in our consolidated financial statements after the date of acquisition. Acquired in-process research and development (“IPR&amp;D”) is recognized at fair value and initially characterized as an indefinite-lived intangible asset, irrespective of whether the acquired IPR&amp;D has an alternative future use.</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Foreign Currency Translation</w:t>
      </w:r>
      <w:r>
        <w:rPr>
          <w:rFonts w:ascii="Arial" w:cs="Arial" w:eastAsia="Arial" w:hAnsi="Arial"/>
          <w:sz w:val="17"/>
          <w:szCs w:val="17"/>
          <w:color w:val="auto"/>
        </w:rPr>
        <w:t>. Operations in non-U.S. entities are recorded in the functional currency of each entity.</w:t>
      </w:r>
      <w:r>
        <w:rPr>
          <w:rFonts w:ascii="Arial" w:cs="Arial" w:eastAsia="Arial" w:hAnsi="Arial"/>
          <w:sz w:val="17"/>
          <w:szCs w:val="17"/>
          <w:i w:val="1"/>
          <w:iCs w:val="1"/>
          <w:color w:val="auto"/>
        </w:rPr>
        <w:t xml:space="preserve"> </w:t>
      </w:r>
      <w:r>
        <w:rPr>
          <w:rFonts w:ascii="Arial" w:cs="Arial" w:eastAsia="Arial" w:hAnsi="Arial"/>
          <w:sz w:val="17"/>
          <w:szCs w:val="17"/>
          <w:color w:val="auto"/>
        </w:rPr>
        <w:t>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consolidated statements of operations.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Concentrations of Credit Risk. </w:t>
      </w:r>
      <w:r>
        <w:rPr>
          <w:rFonts w:ascii="Arial" w:cs="Arial" w:eastAsia="Arial" w:hAnsi="Arial"/>
          <w:sz w:val="17"/>
          <w:szCs w:val="17"/>
          <w:color w:val="auto"/>
        </w:rPr>
        <w:t>Cash, cash equivalents, marketable securities, and trade receivables are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which potentially subject us to concentrations of credit risk. The estimated fair value of financial instruments approximates the carrying value based on available market information. We primarily invest our excess available funds in debt securities and, by policy, limit the amount of credit exposure to any one issuer and to any one type of investment, other than securities issued or guaranteed by the U.S. government and money market funds that meet certain guidelines. Our receivables mainly relate to our product sales of JAKAFI, ICLUSIG and collaborative agreements with pharmaceutical companies. We have not experienced any significant credit losses on cash, cash equivalents, marketable securities, or trade receivables to date and do not require collateral on receivables.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are defined as all liquid investments and money market funds with maturity from date of purchase of 90 days or less that are readily convertible into cash.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color w:val="auto"/>
        </w:rPr>
        <w:t>Marketable Securities—Available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for</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Sale. </w:t>
      </w:r>
      <w:r>
        <w:rPr>
          <w:rFonts w:ascii="Arial" w:cs="Arial" w:eastAsia="Arial" w:hAnsi="Arial"/>
          <w:sz w:val="17"/>
          <w:szCs w:val="17"/>
          <w:color w:val="auto"/>
        </w:rPr>
        <w:t>Our marketable securities consist of investments in corporate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U.S. government securities that are classified as available-for-sale.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consolidated balance sheets. Realized gains and losses and declines in value judged to be other than temporary for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securities are included in other income (expense), net on the consolidated statements of operations. The cost of securities sold is based on the specific identification method.</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As of December 31, 2018, we had a de minimus allowance for doubtful accounts and no</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 for the period ended December 31, 2017. We 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JAKAFI raw materials and work</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process inventory is not subject to expiration and the shelf life of finished goods inventory is 36 months from the start of manufacturing of the finished goods. ICLUSIG raw materials and work-in-process inventory is not subject to expiration and finished goods inventory has a shelf life of 24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consolidated balance sheets when we expect inventory to be consumed for commercial use within the next twelve months.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ICLUSIG inventories were recorded at fair value less costs to sell in connection with the Acquisition, which resulted in a higher cost of ICLUSIG product revenues over a one year period from the acquisition date.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Variable Interest Entities</w:t>
      </w:r>
      <w:r>
        <w:rPr>
          <w:rFonts w:ascii="Arial" w:cs="Arial" w:eastAsia="Arial" w:hAnsi="Arial"/>
          <w:sz w:val="17"/>
          <w:szCs w:val="17"/>
          <w:color w:val="auto"/>
        </w:rPr>
        <w:t>. We perform an initial and ongoing evaluation of the entities with which we have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December 31, 2018, there were no entities in which we held a variable interest which we determined to be VIEs.</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Long Term Investments. </w:t>
      </w:r>
      <w:r>
        <w:rPr>
          <w:rFonts w:ascii="Arial" w:cs="Arial" w:eastAsia="Arial" w:hAnsi="Arial"/>
          <w:sz w:val="18"/>
          <w:szCs w:val="18"/>
          <w:color w:val="auto"/>
        </w:rPr>
        <w:t>Our long term investments consist of equity investments in common stock of publicly held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whom we have entered into collaboration and license agreements. We classify all of our equity investments in common stock of publicly held companies as long term investments on our consolidated balance sheets. Our equity investments are accounted for at fair value using readily determinable pricing available on a securities exchange on our consolidated balance sheets. For the year ended December 31, 2017, the change in fair value of our equity investment in Calithera Biosciences, Inc. was recorded in accumulated other comprehensive income (loss) prior to the adoption of ASU No. 2016-01, which is further described below under “Recent Accounting Pronouncements”. For the year ended December 31, 2018, all changes in fair value are reported in our consolidated statements of operations as an unrealized loss on long term investments.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Property and equipment is stated at cost, less accumulated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is recorded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estimated useful lives of the respective assets. Leasehold improvements are amortized over the shorter of the estimated useful life of the assets or lease term.</w:t>
      </w:r>
    </w:p>
    <w:p>
      <w:pPr>
        <w:spacing w:after="0" w:line="20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i w:val="1"/>
          <w:iCs w:val="1"/>
          <w:color w:val="auto"/>
        </w:rPr>
        <w:t xml:space="preserve">Lease Accounting. </w:t>
      </w:r>
      <w:r>
        <w:rPr>
          <w:rFonts w:ascii="Arial" w:cs="Arial" w:eastAsia="Arial" w:hAnsi="Arial"/>
          <w:sz w:val="18"/>
          <w:szCs w:val="18"/>
          <w:color w:val="auto"/>
        </w:rPr>
        <w:t>We account for operating leases by recording rent expense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the lease, commencing on the date we gain possession of leased property. We include tenant improvement allowances and rent holidays received from landlords and the effect of any rent escalation clauses to determine the straight</w:t>
      </w:r>
      <w:r>
        <w:rPr>
          <w:rFonts w:ascii="MS PGothic" w:cs="MS PGothic" w:eastAsia="MS PGothic" w:hAnsi="MS PGothic"/>
          <w:sz w:val="18"/>
          <w:szCs w:val="18"/>
          <w:color w:val="auto"/>
        </w:rPr>
        <w:t>‑</w:t>
      </w:r>
      <w:r>
        <w:rPr>
          <w:rFonts w:ascii="Arial" w:cs="Arial" w:eastAsia="Arial" w:hAnsi="Arial"/>
          <w:sz w:val="18"/>
          <w:szCs w:val="18"/>
          <w:color w:val="auto"/>
        </w:rPr>
        <w:t>line rent expense over the expected life of the lease.</w:t>
      </w:r>
    </w:p>
    <w:p>
      <w:pPr>
        <w:spacing w:after="0" w:line="2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Capital leases are reflected as a liability at the inception of the lease based on the present value of the minimum lease payments or, if lower, the fair value of the property. Assets under capital leases are recorded in property and equipment, net on the consolidated balance sheets and depreciated in a manner similar to other property and equipment.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leases under which we are responsible for paying a portion of the renovation and construction costs, we are deemed, for accounting purposes, to be the owner of the building. As a result, Accounting Standard Codification (“ASC”) 840, Leases, defines these payments as automatic indicators of ownership and requires us to capitalize the asset and related construction costs with a corresponding financing lease liability.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In-Process Research and Development. </w:t>
      </w:r>
      <w:r>
        <w:rPr>
          <w:rFonts w:ascii="Arial" w:cs="Arial" w:eastAsia="Arial" w:hAnsi="Arial"/>
          <w:sz w:val="18"/>
          <w:szCs w:val="18"/>
          <w:color w:val="auto"/>
        </w:rPr>
        <w:t>The fair value of in-process research and development (“IPR&amp;D”)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business combinations is capitalized as an indefinite-lived intangible asset until the completion or abandonment of the related research and development activities. When the related research and development is completed, the asset will be assigned a useful life and amortized.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Indefinite-lived intangible assets, including IPR&amp;D, are tested for impairment annually as of October 1 or more frequently if events or changes in circumstances between annual tests indicate that the asset may be impaired. Impairment losses on indefinite-lived intangible assets are recognized based solely on a comparison of the fair value of the asset to its carrying value. Due to the discontinuation of the OPTIC-2L study described in Note 3 below, we considered our indefinite-lived IPR&amp;D asset to be impaired and recorded a $12.0 million impairment charge in research and development expense on the consolidated statements of operations during the third quarter of 2017.</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2018 and determined that the carrying value of our goodwill was not impaired.</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which requires the recognition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assets and liabilities for the expected future tax consequences of temporary differences between the carrying amount of assets and liabilities for financial reporting purposes and amounts reportable for income tax purposes. Deferred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assets are reduced by a valuation allowance when, in the opinion of management, it is more-likely-than-not that some portion or all of the deferred tax assets will not be realized.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6"/>
          <w:szCs w:val="16"/>
          <w:i w:val="1"/>
          <w:iCs w:val="1"/>
          <w:color w:val="auto"/>
        </w:rPr>
        <w:t>Financing Costs Related to 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term Debt. </w:t>
      </w:r>
      <w:r>
        <w:rPr>
          <w:rFonts w:ascii="Arial" w:cs="Arial" w:eastAsia="Arial" w:hAnsi="Arial"/>
          <w:sz w:val="16"/>
          <w:szCs w:val="16"/>
          <w:color w:val="auto"/>
        </w:rPr>
        <w:t>Costs associated with obtaining long</w:t>
      </w:r>
      <w:r>
        <w:rPr>
          <w:rFonts w:ascii="MS PGothic" w:cs="MS PGothic" w:eastAsia="MS PGothic" w:hAnsi="MS PGothic"/>
          <w:sz w:val="16"/>
          <w:szCs w:val="16"/>
          <w:color w:val="auto"/>
        </w:rPr>
        <w:t>‑</w:t>
      </w:r>
      <w:r>
        <w:rPr>
          <w:rFonts w:ascii="Arial" w:cs="Arial" w:eastAsia="Arial" w:hAnsi="Arial"/>
          <w:sz w:val="16"/>
          <w:szCs w:val="16"/>
          <w:color w:val="auto"/>
        </w:rPr>
        <w:t>term debt are deferred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over the term of the related debt using the effective interest method. Such costs are presented as a direct deduction from the carrying amount of the long-term debt liability, consistent with debt discounts, on the consolidated balance sheets.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Grant Accounting. </w:t>
      </w:r>
      <w:r>
        <w:rPr>
          <w:rFonts w:ascii="Arial" w:cs="Arial" w:eastAsia="Arial" w:hAnsi="Arial"/>
          <w:sz w:val="18"/>
          <w:szCs w:val="18"/>
          <w:color w:val="auto"/>
        </w:rPr>
        <w:t>Grant amounts received from government agencies for operations are deferred and are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into income over the service period of the grant. Grant amounts received for purchases of capital assets are deferred and amortized into other income (expense), net over the useful life of the related capital assets. Such amounts are recorded in other liabilities on the consolidated balance sheets.</w:t>
      </w:r>
    </w:p>
    <w:p>
      <w:pPr>
        <w:spacing w:after="0" w:line="18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i w:val="1"/>
          <w:iCs w:val="1"/>
          <w:color w:val="auto"/>
        </w:rPr>
        <w:t xml:space="preserve">Net Income (Loss) Per Share. </w:t>
      </w:r>
      <w:r>
        <w:rPr>
          <w:rFonts w:ascii="Arial" w:cs="Arial" w:eastAsia="Arial" w:hAnsi="Arial"/>
          <w:sz w:val="17"/>
          <w:szCs w:val="17"/>
          <w:color w:val="auto"/>
        </w:rPr>
        <w:t>Our basic and diluted net income (loss) per share is calculated by dividing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w:t>
      </w:r>
      <w:r>
        <w:rPr>
          <w:rFonts w:ascii="MS PGothic" w:cs="MS PGothic" w:eastAsia="MS PGothic" w:hAnsi="MS PGothic"/>
          <w:sz w:val="17"/>
          <w:szCs w:val="17"/>
          <w:color w:val="auto"/>
        </w:rPr>
        <w:t>‑</w:t>
      </w:r>
      <w:r>
        <w:rPr>
          <w:rFonts w:ascii="Arial" w:cs="Arial" w:eastAsia="Arial" w:hAnsi="Arial"/>
          <w:sz w:val="17"/>
          <w:szCs w:val="17"/>
          <w:color w:val="auto"/>
        </w:rPr>
        <w:t>dilutive.</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marketable securities that are classified as available-for-sale, foreign currency translation gains or losses and defined benefit pension obligations. For the year ended December 31, 2017 and interim periods therein, accumulated other comprehensive income (loss) included unrealized gains and losses on our long-term investment classified as available-for-sale in Calithera Biosciences, Inc. Upon adoption of ASU No. 2016-01, we recorded a $2.8 million adjustment to retained earnings as of January 1, 2018, which is further described below under “Recent Accounting Pronouncements.”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new accounting standard for the recognition of revenue, ASC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 Overall, the adoption of the new standard did not significantly alter our methodology for recognition of revenue.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product revenues consist of U.S. sales of JAKAFI and European sales of ICLUSIG. Product revenues are recognized once we satisfy the performance obligation at a point in time under the revenue recognition criteria as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At December 31, 2018 and 2017, $44.8 million and $34.7 million, respectively, of accrued sales allowances were included in accrued and other current liabilities on the consolidated balance sheets. Product shipping and handling costs are included in cost of product revenues.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which currently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group purchasing organizations, Public Health Service institutions, non</w:t>
      </w:r>
      <w:r>
        <w:rPr>
          <w:rFonts w:ascii="MS PGothic" w:cs="MS PGothic" w:eastAsia="MS PGothic" w:hAnsi="MS PGothic"/>
          <w:sz w:val="17"/>
          <w:szCs w:val="17"/>
          <w:color w:val="auto"/>
        </w:rPr>
        <w:t>‑</w:t>
      </w:r>
      <w:r>
        <w:rPr>
          <w:rFonts w:ascii="Arial" w:cs="Arial" w:eastAsia="Arial" w:hAnsi="Arial"/>
          <w:sz w:val="17"/>
          <w:szCs w:val="17"/>
          <w:color w:val="auto"/>
        </w:rPr>
        <w:t>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Medicare Part D Coverage Gap: </w:t>
      </w:r>
      <w:r>
        <w:rPr>
          <w:rFonts w:ascii="Arial" w:cs="Arial" w:eastAsia="Arial" w:hAnsi="Arial"/>
          <w:sz w:val="18"/>
          <w:szCs w:val="18"/>
          <w:color w:val="auto"/>
        </w:rPr>
        <w:t>Medicare Part D prescription drug benefit mandates manufacturers to fund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i w:val="1"/>
          <w:iCs w:val="1"/>
          <w:color w:val="auto"/>
        </w:rPr>
        <w:t>Co</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w:t>
      </w:r>
      <w:r>
        <w:rPr>
          <w:rFonts w:ascii="MS PGothic" w:cs="MS PGothic" w:eastAsia="MS PGothic" w:hAnsi="MS PGothic"/>
          <w:sz w:val="17"/>
          <w:szCs w:val="17"/>
          <w:color w:val="auto"/>
        </w:rPr>
        <w:t>‑</w:t>
      </w:r>
      <w:r>
        <w:rPr>
          <w:rFonts w:ascii="Arial" w:cs="Arial" w:eastAsia="Arial" w:hAnsi="Arial"/>
          <w:sz w:val="17"/>
          <w:szCs w:val="17"/>
          <w:color w:val="auto"/>
        </w:rPr>
        <w:t>payment assistance. We accrue a liability for co</w:t>
      </w:r>
      <w:r>
        <w:rPr>
          <w:rFonts w:ascii="MS PGothic" w:cs="MS PGothic" w:eastAsia="MS PGothic" w:hAnsi="MS PGothic"/>
          <w:sz w:val="17"/>
          <w:szCs w:val="17"/>
          <w:color w:val="auto"/>
        </w:rPr>
        <w:t>‑</w:t>
      </w:r>
      <w:r>
        <w:rPr>
          <w:rFonts w:ascii="Arial" w:cs="Arial" w:eastAsia="Arial" w:hAnsi="Arial"/>
          <w:sz w:val="17"/>
          <w:szCs w:val="17"/>
          <w:color w:val="auto"/>
        </w:rPr>
        <w:t>payment assistance based on actual program participation and estimates of program redemption using data provided by third</w:t>
      </w:r>
      <w:r>
        <w:rPr>
          <w:rFonts w:ascii="MS PGothic" w:cs="MS PGothic" w:eastAsia="MS PGothic" w:hAnsi="MS PGothic"/>
          <w:sz w:val="17"/>
          <w:szCs w:val="17"/>
          <w:color w:val="auto"/>
        </w:rPr>
        <w:t>‑</w:t>
      </w:r>
      <w:r>
        <w:rPr>
          <w:rFonts w:ascii="Arial" w:cs="Arial" w:eastAsia="Arial" w:hAnsi="Arial"/>
          <w:sz w:val="17"/>
          <w:szCs w:val="17"/>
          <w:color w:val="auto"/>
        </w:rPr>
        <w:t>party administrators.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revenues on commercial sales for ruxolitinib (marketed as JAKAVI</w:t>
      </w:r>
      <w:r>
        <w:rPr>
          <w:rFonts w:ascii="Arial" w:cs="Arial" w:eastAsia="Arial" w:hAnsi="Arial"/>
          <w:sz w:val="8"/>
          <w:szCs w:val="8"/>
          <w:color w:val="auto"/>
        </w:rPr>
        <w:t>®</w:t>
      </w:r>
      <w:r>
        <w:rPr>
          <w:rFonts w:ascii="Arial" w:cs="Arial" w:eastAsia="Arial" w:hAnsi="Arial"/>
          <w:sz w:val="18"/>
          <w:szCs w:val="18"/>
          <w:color w:val="auto"/>
        </w:rPr>
        <w:t xml:space="preserve">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We recognize royalty revenues in the period the sales occur.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product revenues includes all JAKAFI related product costs as well as ICLUSIG related product costs. The acquired ICLUSIG inventories were recorded at fair value less costs to sell in connection with the Acquisition, and resulted in a higher cost of ICLUSIG product revenues over a one year period from the acquisition date. In addition, cost of product revenues include low single-digit royalties under our collaboration and license agreement to Novartis on all future sales of JAKAFI in the United States. Subsequent to the Acquisition on June 1, 2016, cost of product revenues also includes the amortization of our licensed intellectual property for ICLUSIG using the straight-line method over the estimated useful life of 12.5 years.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Milestone and Contract Revenues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Our license agreements, which fall within the scope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include distinct drug compound out-licensing, collection of upfront payments, milestones or royalty revenues 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Some contracts form collaborative arrangements of various types with third-parties. We assess whether the nature of the arrangement is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in conjunction with the new revenue guidance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6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w:t>
      </w:r>
      <w:r>
        <w:rPr>
          <w:rFonts w:ascii="MS PGothic" w:cs="MS PGothic" w:eastAsia="MS PGothic" w:hAnsi="MS PGothic"/>
          <w:sz w:val="18"/>
          <w:szCs w:val="18"/>
          <w:color w:val="auto"/>
        </w:rPr>
        <w:t>‑</w:t>
      </w:r>
      <w:r>
        <w:rPr>
          <w:rFonts w:ascii="Arial" w:cs="Arial" w:eastAsia="Arial" w:hAnsi="Arial"/>
          <w:sz w:val="18"/>
          <w:szCs w:val="18"/>
          <w:color w:val="auto"/>
        </w:rPr>
        <w:t>marketing surveillance and may involve ongoing requirements for post</w:t>
      </w:r>
      <w:r>
        <w:rPr>
          <w:rFonts w:ascii="MS PGothic" w:cs="MS PGothic" w:eastAsia="MS PGothic" w:hAnsi="MS PGothic"/>
          <w:sz w:val="18"/>
          <w:szCs w:val="18"/>
          <w:color w:val="auto"/>
        </w:rPr>
        <w:t>‑</w:t>
      </w:r>
      <w:r>
        <w:rPr>
          <w:rFonts w:ascii="Arial" w:cs="Arial" w:eastAsia="Arial" w:hAnsi="Arial"/>
          <w:sz w:val="18"/>
          <w:szCs w:val="18"/>
          <w:color w:val="auto"/>
        </w:rPr>
        <w:t>marketing studies. Before commencing clinical investigations of a drug candidate in humans, we must submit an Investigational New Drug application (“IND”), which must be reviewed by the FDA.</w:t>
      </w:r>
    </w:p>
    <w:p>
      <w:pPr>
        <w:spacing w:after="0" w:line="207"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2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182"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w:t>
      </w:r>
      <w:r>
        <w:rPr>
          <w:rFonts w:ascii="MS PGothic" w:cs="MS PGothic" w:eastAsia="MS PGothic" w:hAnsi="MS PGothic"/>
          <w:sz w:val="17"/>
          <w:szCs w:val="17"/>
          <w:color w:val="auto"/>
        </w:rPr>
        <w:t>‑</w:t>
      </w:r>
      <w:r>
        <w:rPr>
          <w:rFonts w:ascii="Arial" w:cs="Arial" w:eastAsia="Arial" w:hAnsi="Arial"/>
          <w:sz w:val="17"/>
          <w:szCs w:val="17"/>
          <w:color w:val="auto"/>
        </w:rPr>
        <w:t>cycle, the value of the drug candidate generally increases.</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We often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our clinical trial collaboration agreements we may be reimbursed for certain development costs incurred. Such costs are recorded as a reduction of research and development expense in the period in which the related expense is incurred. During the years ended December 31, 2018, 2017 and 2016, we incurred research and development expenses of $1.2 billion, $1.3 billion and $581.9 million, respectively. At December 31, 2018 and 2017, $98.6 million and $110.0 million, respectively, of accrued clinical research and development costs were included in accrued and other current liabilities on the consolidated balance sheets.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Long term Incentive Plans. </w:t>
      </w:r>
      <w:r>
        <w:rPr>
          <w:rFonts w:ascii="Arial" w:cs="Arial" w:eastAsia="Arial" w:hAnsi="Arial"/>
          <w:sz w:val="17"/>
          <w:szCs w:val="17"/>
          <w:color w:val="auto"/>
        </w:rPr>
        <w:t>We have long term incentive plans which provide eligible employees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Acquisition-Related Contingent Consideration. </w:t>
      </w:r>
      <w:r>
        <w:rPr>
          <w:rFonts w:ascii="Arial" w:cs="Arial" w:eastAsia="Arial" w:hAnsi="Arial"/>
          <w:sz w:val="16"/>
          <w:szCs w:val="16"/>
          <w:color w:val="auto"/>
        </w:rPr>
        <w:t>Acquisition-related contingent consideration, which consists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future royalty and certain potential milestone obligations to Takeda Pharmaceutical Company Limited, which acquired ARIAD (“Takeda”), is recorded on the acquisition date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consolidated statements of operations.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which replaced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performed an impact assessment which consisted of a review of a representative sample of contracts, discussions with key stakeholders, and cataloging of potential impacts on our financial statements, accounting policies, financial controls, and operations. The guidance did not have a material impact on our revenue recognition practices for product and royalty revenues. The adoption only impacted two areas in our recognition methodology for milestone and contract revenues generated by our collaborative research and license agreements:</w:t>
      </w:r>
    </w:p>
    <w:p>
      <w:pPr>
        <w:spacing w:after="0" w:line="173" w:lineRule="exact"/>
        <w:rPr>
          <w:sz w:val="20"/>
          <w:szCs w:val="20"/>
          <w:color w:val="auto"/>
        </w:rPr>
      </w:pPr>
    </w:p>
    <w:p>
      <w:pPr>
        <w:jc w:val="both"/>
        <w:ind w:left="660" w:hanging="9"/>
        <w:spacing w:after="0" w:line="302" w:lineRule="auto"/>
        <w:tabs>
          <w:tab w:leader="none" w:pos="14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the model for distinct licenses of functional intellectual property which may result in a timing difference of revenue recognition. Whereas revenue from these arrangements was previously recognized over a period of time pursuant to revenue recognition guidance that was in place for our arrangements at the time such arrangements commenced, revenue from new arrangements we enter into may now be recognized at a point in time.</w:t>
      </w:r>
    </w:p>
    <w:p>
      <w:pPr>
        <w:spacing w:after="0" w:line="154" w:lineRule="exact"/>
        <w:rPr>
          <w:rFonts w:ascii="Arial" w:cs="Arial" w:eastAsia="Arial" w:hAnsi="Arial"/>
          <w:sz w:val="16"/>
          <w:szCs w:val="16"/>
          <w:color w:val="auto"/>
        </w:rPr>
      </w:pPr>
    </w:p>
    <w:p>
      <w:pPr>
        <w:jc w:val="both"/>
        <w:ind w:left="660" w:hanging="9"/>
        <w:spacing w:after="0" w:line="264" w:lineRule="auto"/>
        <w:tabs>
          <w:tab w:leader="none" w:pos="15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Assessments of milestone payments linked to events that are in our control, may result in variable consideration that may be recognized at an earlier point in time, when it is probable that the milestone will be achieved without a significant future reversal of cumulative revenue expected.</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adopted the new standard for the fiscal period beginning January 1, 2018, utilizing the “modified retrospective” adoption methodology on all contracts for which performance had not been completed as of the date of adoption, and applied the guidance to report new disclosures surrounding our recognition of revenues. There was no cumulative effect of adopting the standard at the date of initial application in retained earnings. We implemented a controls process to identify and evaluate all revenue-generating contracts with third-party customers on an on-going basis and have provided enhanced disclosures within this Form 10-K to provide greater detail on our revenue-generating activities.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January 2016, the FASB issued ASU No. 2016-01, “Financial Instruments-Overall (Subtopic 825-10): Recognition and Measurement of Financial Assets and Financial Liabilities.” The standard requires several changes including that equity investments (except those accounted for under the equity method of accounting, or those that result in consolidation of the investee) be measured at fair value with changes in fair value recognized in results of operations. These provisions will not impact the accounting for our investments in corporate debt and U.S. government securities. The new guidance also changes certain disclosure requirements and other aspects of current U.S. GAAP. Amendments are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 applied as a cumulative-effect adjustment to the balance sheet as of the beginning of the fiscal year of adoption. The adoption of this standard resulted in a $2.8 million decrease in our accumulated deficit as of January 1, 2018 related to our investment in Calithera Biosciences, Inc.</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February 2016, the FASB issued ASU No. 2016-02, “Leases (Topic 842),” that requires lessees to recognize assets and liabilities on the balance sheet for most leases including operating leases. In 2018, the FASB issued clarifying guidance to the topic in ASUs No. 2018-10 and No. 2018-11, which clarified certain aspects of the new leases standard and provided an optional transition method. The guidance requires that the lessees classify leases as either a finance or operating lease and lessors classify all leases as sales-type, direct financing or operating leases. The statement of operations presentation and expense recognition for lessees for finance leases is similar to that of capital leases under ASC 840 with separate interest and amortization expense with higher periodic expense in the earlier periods of a lease. For operating leases, the statement of operations presentation and expense recognition is similar to that of operating leases under ASC 840 with a single lease cost recognized on a straight-line basis. This guidance is effective for annual periods beginning after December 15, 2018 and interim periods therein. We adopted ASC 842 as of January 1, 2019 and will first report utilizing the new guidance within the March 31, 2019 Form 10-Q. We have implemented a third-party software to facilitate activities for the new accounting and disclosure requirements and have implemented new internal control procedures to support the new accounting and reporting processes associated with adopting the guidance. We have elected the package of practical expedients and adopted utilizing the optional transition method defined within ASU No. 2018-11. We did not elect the hindsight expedient. As a result of adoption in January 2019, we estimate we will record approximately $26 million of operating lease right-of-use assets and corresponding operating lease liabilities. In addition, our capital lease assets and liabilities will be classified as financing lease assets and liabilities upon adoption in 2019. The capital asset and corresponding financing liability of $18.7 million recorded in 2018 related to the Morges office building and construction described more fully in Note 8 below will be derecognized.</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This guidance applies to all entities and impacts how entities account for credit losses for most financial assets and other instruments. For available-for-sale debt securities, entities will be required to recognize an allowance for credit losses rather than a reduction to the carrying value of the asset. For trade receivables, loans and held-to-maturity debt securities, entities will be required to estimate lifetime expected credit losses. This guidance is effective for fiscal years beginning after December 15, 2019 and interim periods therein. Early adoption is permitted for annual periods beginning after December 15, 2018 and interim periods therein. We are currently analyzing the impact of ASU No. 2016-13 on our consolidated financial statements.</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November 2016, the FASB issued ASU No. 2016-18, “Statement of Cash Flows (Topic 230): Restricted Cash,” which requires entities to show the changes in total of cash, cash equivalents, restricted cash and restricted cash equivalents in the statement of cash flows. As a result, entities will no longer present transfers between cash and cash equivalents and restricted cash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on the balance sheet. The reconciliation can be presented either on the face of the statement of cash flows or in the notes to the financial statements. We adopted the new standard for the period beginning January 1, 2018. Due to the retrospective adoption of the standard, the cash flows from financing activities for the years ended December 31, 2017 and 2016, no longer present the transfer of restricted investments to cash and cash equivalents. The change in total cash, cash equivalents, restricted cash and investments is now presented in the consolidated statement of cash flows and reconciles to the related captions on the consolidated balance sheet.</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which eliminates the requirement to calculate the implied fair value of goodwill to measure a goodwill impairment charge. Under the new standard, entities will record an impairment charge based on the excess of a reporting unit’s carrying amount over its fair value. The new standard is effective for public business entities that are SEC filers for annual or any interim goodwill impairment tests in fiscal years beginning after December 15, 2019 and is to be applied on a prospective basis. Early adoption is permitted for annual and interim goodwill impairment testing dates after January 1, 2017. We have elected to early adopt the standard for our annual goodwill impairment testing as of October 1, 2018 and concluded there to be no impact on our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March 2017, the FASB issued ASU No. 2017-07, “Compensation–Retirement Benefits (Topic 715): Improving the Presentation of Net Periodic Pension Cost and Net Periodic Postretirement Benefit Cost,” which requires the service cost component of net periodic benefit cost to be presented in the same income statement line as other employee compensation costs arising from services rendered during the period and the other components of net periodic benefit cost to be presented separately from the income statement lines that include service cost and outside of any subtotal of operating income. We adopted the new standard for the period beginning January 1, 2018, resulting in no change in presentation of the service cost component of net periodic benefit cost, which has historically been reported in research and development and selling, general and administrative expenses along with other employee compensation costs. The retrospective adoption resulted in a change in presentation of the other components of net periodic benefit cost for the year ended December 31, 2017, which reclassed these costs out of operating income and into other income (expense), net on the consolidated statement of operations. There was a de minimus impact to the consolidated statement of operations for the year ended December 31, 2016. The components of net periodic benefit cost are presented separately within our employee benefit plans footnote.</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May 2017, the FASB issued ASU No. 2017-09, “Compensation – Stock Compensation (Topic 718): Scope of Modification Accounting.” The guidance clarifies the application of modification accounting for stock-based compensation agreements. The guidance is effective for fiscal years beginning after December 15, 2017. We occasionally modify existing stock-based compensation agreements with employees under certain circumstances. We adopted the standard for the fiscal year beginning January 1, 2018 and concluded there to be no impact on our consolidated financial statements.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2017, the SEC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Cuts and Jobs Act of 2017 (the “Act”). In accordance with SAB 118, we recorded provisional tax impacts related to the revaluation of deferred tax assets and liabilities as well as the temporary full expensing of certain business assets in our consolidated financial statements for the year ended December 31, 2017. Upon the completion of the 2017 U.S. federal corporate income tax return during the fourth quarter of 2018, we finalized our analysis of the Act and determined no additional adjustments were required.</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2018, the FASB released guidance on the accounting for tax on the global intangible low-taxed income ("GILTI") provisions of the Act. The GILTI provisions impose a tax on foreign income in excess of a deemed return on tangible assets of foreign corporations. The guidance indicates that either accounting for deferred taxes related to GILTI inclusions or to treat any taxes on GILTI inclusions as period cost are both acceptable methods subject to an accounting policy election. Effective the first quarter of 2018, we have elected to treat any potential GILTI inclusions as a period charge in the future period in which it is incurred. We have determined there to be no impact associated with GILTI on our consolidated financial statements as of and for the year ended December 31, 2018.</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2018, the FASB issued ASU No. 2018-02, “Income Statement – Reporting Comprehensive Income (Topic 220): Reclassification of Certain Tax Effects From Accumulated Other Comprehensive Income,” which allows reclassification of certain tax effects created as a result of changing methodologies, laws and tax rates legislated in the Act. This new standard allows for stranded income tax effects resulting from the Act to be reclassified into retained earnings to allow for their tax effect to reflect the appropriate tax rate. Due to the full valuation allowance on our U.S. net deferred tax assets, a reclassification of stranded tax effects to retained earnings was not required.</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June 2018, the FASB issued ASU No. 2018-07, “Compensation – Stock Compensation (Topic 718): Improvements to Nonemployee Share-Based Payment Accounting.” This guidance expanded the scope of ASC 718 to include share-based payments granted to nonemployees in exchange for goods or services and supersedes the guidance in ASC 505-50. Under this new standard, nonemployee awards are measured on the grant date by estimating the fair value of the equity instruments to be issued rather than the fair value of the goods or services received. Entities may use the expected term when estimating the fair value of a nonemployee option or elect to use the contractual term as the expected term, on an award-by-award basis. The cumulative effect of the transition adjustment is to be recorded as an adjustment to retained earnings as of the beginning of the annual period of adoption. This guidance is effective for fiscal years beginning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December 15, 2018 and interim periods therein. We are currently analyzing the impact of ASU No. 2018-07 and do not anticipate the adoption of this ASU to have a material impact on our consolidated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2018, the FASB issued ASU No. 2018-14, “Compensation – Retirement Benefits – Defined Benefit Plans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our consolidated financial statements.</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is permitted for early adoption. The standard may be applied on either a retrospective or prospective basis. We are currently analyzing the impact of ASU No. 2018-15 on our consolidated financial statements.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and is permitted for early adoption. The standard is to be applied on a retrospective basis to the date of the initial application of Topic 606. We utilize collaborative arrangements as described in our license agreement footnote and are currently analyzing the impact of ASU No. 2018-18 on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Revenues for the years ended December 31, 2017 and 2016, were recognized under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when (i) persuasive evidence of an arrangement existed, (ii) delivery occurred or services were rendered, (iii) the price was fixed or determinable and (iv) collectability was reasonably assured. Revenues were deferred for fees received before earned or until no further obligations existed. We exercised judgment in determining that collectability was reasonably assured or that services were delivered in accordance with the arrangement. We assessed whether the fee was fixed or determinable based on the payment terms associated with the transaction and whether the sales price was subject to refund or adjustment.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As discussed in Note 1,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The new standard has been applied to contracts for which performance had not been completed as of the date of adoption. For those contracts that were modified prior to the date of adoption, we reflected the aggregate effect of those modifications when determining the appropriate accounting under the new standard. We do not believe the effect of applying this practical expedient resulted in material differences. Overall, the adoption of the new standard did not significantly alter our methodology for recognition of revenue.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disaggregated revenue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For the Years Ended,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4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4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1,386,964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1,133,392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852,816</w:t>
            </w:r>
          </w:p>
        </w:tc>
        <w:tc>
          <w:tcPr>
            <w:tcW w:w="200" w:type="dxa"/>
            <w:vAlign w:val="bottom"/>
            <w:shd w:val="clear" w:color="auto" w:fill="CCEEFF"/>
          </w:tcPr>
          <w:p>
            <w:pPr>
              <w:spacing w:after="0"/>
              <w:rPr>
                <w:sz w:val="18"/>
                <w:szCs w:val="18"/>
                <w:color w:val="auto"/>
              </w:rPr>
            </w:pPr>
          </w:p>
        </w:tc>
      </w:tr>
      <w:tr>
        <w:trPr>
          <w:trHeight w:val="23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66,920</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29,588</w:t>
            </w:r>
          </w:p>
        </w:tc>
        <w:tc>
          <w:tcPr>
            <w:tcW w:w="200" w:type="dxa"/>
            <w:vAlign w:val="bottom"/>
            <w:tcBorders>
              <w:bottom w:val="single" w:sz="8" w:color="CCEEFF"/>
            </w:tcBorders>
          </w:tcPr>
          <w:p>
            <w:pPr>
              <w:spacing w:after="0"/>
              <w:rPr>
                <w:sz w:val="19"/>
                <w:szCs w:val="19"/>
                <w:color w:val="auto"/>
              </w:rPr>
            </w:pPr>
          </w:p>
        </w:tc>
      </w:tr>
      <w:tr>
        <w:trPr>
          <w:trHeight w:val="22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product revenues,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1,200,312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882,404</w:t>
            </w:r>
          </w:p>
        </w:tc>
        <w:tc>
          <w:tcPr>
            <w:tcW w:w="200" w:type="dxa"/>
            <w:vAlign w:val="bottom"/>
            <w:shd w:val="clear" w:color="auto" w:fill="CCEEFF"/>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194,694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151,684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110,711</w:t>
            </w:r>
          </w:p>
        </w:tc>
        <w:tc>
          <w:tcPr>
            <w:tcW w:w="200" w:type="dxa"/>
            <w:vAlign w:val="bottom"/>
          </w:tcPr>
          <w:p>
            <w:pPr>
              <w:spacing w:after="0"/>
              <w:rPr>
                <w:sz w:val="19"/>
                <w:szCs w:val="19"/>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 product royalty revenues</w:t>
            </w:r>
          </w:p>
        </w:tc>
        <w:tc>
          <w:tcPr>
            <w:tcW w:w="2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110,711</w:t>
            </w:r>
          </w:p>
        </w:tc>
        <w:tc>
          <w:tcPr>
            <w:tcW w:w="20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112,512</w:t>
            </w:r>
          </w:p>
        </w:tc>
        <w:tc>
          <w:tcPr>
            <w:tcW w:w="200" w:type="dxa"/>
            <w:vAlign w:val="bottom"/>
            <w:shd w:val="clear" w:color="auto" w:fill="CCEEFF"/>
          </w:tcPr>
          <w:p>
            <w:pPr>
              <w:spacing w:after="0"/>
              <w:rPr>
                <w:sz w:val="19"/>
                <w:szCs w:val="19"/>
                <w:color w:val="auto"/>
              </w:rPr>
            </w:pPr>
          </w:p>
        </w:tc>
      </w:tr>
      <w:tr>
        <w:trPr>
          <w:trHeight w:val="23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tcPr>
          <w:p>
            <w:pPr>
              <w:spacing w:after="0"/>
              <w:rPr>
                <w:sz w:val="19"/>
                <w:szCs w:val="19"/>
                <w:color w:val="auto"/>
              </w:rPr>
            </w:pPr>
          </w:p>
        </w:tc>
      </w:tr>
      <w:tr>
        <w:trPr>
          <w:trHeight w:val="217"/>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1,881,883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1,536,216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1,105,719</w:t>
            </w: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information on our revenue-generating contracts, refer to Note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Description of the Transaction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1, 2016, pursuant to the Share Purchase Agreement, we completed the Acquisition, and acquired all of the outstanding shares of ARIAD Pharmaceuticals (Luxembourg) S.à.r.l., since renamed Incyte Biosciences Luxembourg S.à.r.l., the parent company of ARIAD’s European subsidiaries responsible for the development and commercialization of ICLUSIG (ponatinib) in the European Union and other countries including Switzerland, Norway, Turkey, Israel and Russia (the “Territory”) in exchange for an upfront payment of $147.5 million, including customary working capital adjustments. ICLUSIG is approved in Europe for the treatment of patients with chronic myeloid leukemia and Philadelphia-positive acute lymphoblastic leukemia who are resistant to or intolerant of certain second generation BCR-ABL inhibitors and all patients who have the T3151 mutation. The acquisition of ARIAD Pharmaceuticals (Luxembourg) S.à.r.l. included a fully integrated and established pan-European team including medical, sales and marketing personnel. The existing platform and infrastructure acquired is expected to further our strategic plan and accelerate the establishment of our operations in Europe.</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closing of the Acquisition, we entered into an Amended and Restated Buy-in License Agreement with ARIAD (the “License Agreement”). Under the terms of the License Agreement, we were granted an exclusive license to develop and commercialize ICLUSIG in the Territory. ARIAD is eligible to receive from us tiered royalties ranging between 32% and 50% on net sales of ICLUSIG in the Territory. The royalties are subject to reduction for certain events related to exclusivity and, if necessary, any third-party patent rights. In addition, ARIAD is eligible to receive up to $135.0 million in potential future development and regulatory approval milestone payments for ICLUSIG in new oncology indications in the Territory, together with additional milestone payments for non-oncology indications, if approved, in the Territory. Under our agreement with ARIAD, we have agreed to fund a portion of the ongoing ICLUSIG clinical studies being conducted by ARIAD, OPTIC and OPTIC-2L, by paying up to $7.0 million in both 2016 and 2017. During the quarter ended September 30, 2017, ARIAD discontinued the OPTIC-2L clinical study.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Unless terminated earlier in accordance with its provisions, our obligations to pay full royalties under the License Agreement will continue to be in effect on a country-by-country basis until the latest to occur of (i) the expiration date of the composition patent in the relevant country, (ii) the expiration of any regulatory marketing exclusivity period or other statutory designation that provides similar exclusivity for the commercialization of ICLUSIG in such country and (iii) the seventh anniversary of the first commercial sale of ICLUSIG in such country. We will be obligated to pay royalties at a reduced rate for a specified period of time following such full royalty term. The License Agreement may be terminated in its entirety by us for convenience on 12 months’ notice after the third anniversary of the effective date of the License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 The License Agreement may also be terminated by either party under certain other circumstances, including material breach, as set forth in the License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Consideration Transferred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 of consideration transferred totaled $440.5 million, which consisted of $147.5 million in cash pursuant to the Share Purchase Agreement, including net working capital adjustments, and $293.0 million of contingent consideration related to the License Agreement. Contingent consideration includes the future payments that we may pay to ARIAD for our royalty obligations on future net sales of ICLUSIG, as well as for any future potential milestone payments related to new oncology or non-oncology indications for ICLUSIG.</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fair value of contingent consideration as of the acquisition date was determined using an income approach based on estimated ICLUSIG revenues in the Territory for both the approved third line treatment, as well as the second line treatment that was under development and was therefore contingent on future clinical results and European Medicines Agency approval. The probability of technical success of the second line indication was estimated at 25% based on the early stage of development and competitive market landscape, and the estimated future cash flows for the second line indication were probability weighted accordingly. The total projected cash flows of the third line and second line indications were estimated over 18 years, and discounted to present value using a discount rate of 10%. In addition, based on the believed limited effectiveness of ICLUSIG beyond the existing oncology indications, the fact that no development is currently ongoing for any new oncology or any non-oncology indications, and the lack of intention by us, ARIAD, or another market participant, to develop ICLUSIG in additional oncology or non-oncology indications, the fair value of any cash flows for any new oncology or non-oncology indication was determined to be nil. The fair value of the contingent consideration was $293.0 million as of the Acquisition date.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incurred $1.6 million of transaction costs directly related to the Acquisition, which includes expenditures for advisory, legal, valuation, accounting and other similar services. These costs have been expensed in selling, general and administrative costs on the consolidated statements of operations during the year ended December 31, 2016.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and Net Loss of ARIAD Pharmaceuticals (Luxembourg) S.à.r.l.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revenues of ARIAD Pharmaceuticals (Luxembourg) S.à.r.l. for the period from the acquisition date to December 31, 2016 were $29.6 million and net loss was $48.7 million. The net loss includes the effects of the Acquisition accounting adjustments and acquisition-related costs.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 Forma Impact of Business Combination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pro forma information presents condensed consolidated results of operations for the year ended December 31, 2016, as if the Acquisition had occurred as of January 1, 2015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 the Year Ended</w:t>
            </w:r>
          </w:p>
        </w:tc>
      </w:tr>
      <w:tr>
        <w:trPr>
          <w:trHeight w:val="171"/>
        </w:trPr>
        <w:tc>
          <w:tcPr>
            <w:tcW w:w="4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31, 2016</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2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1,148,006</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Pro forma net income</w:t>
            </w:r>
          </w:p>
        </w:tc>
        <w:tc>
          <w:tcPr>
            <w:tcW w:w="29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102,619</w:t>
            </w: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unaudited pro forma condensed consolidated results of operations were prepared using the acquisition method of accounting and are based on the historical financial information of our company and the acquired business which has been adjusted for events that are (i) directly attributable to the Acquisition, (ii) factually supportable, and (iii) expected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have continuing impact on the combined results. The unaudited pro forma information reflects primarily the following adjustments:</w:t>
      </w:r>
    </w:p>
    <w:p>
      <w:pPr>
        <w:spacing w:after="0" w:line="170" w:lineRule="exact"/>
        <w:rPr>
          <w:sz w:val="20"/>
          <w:szCs w:val="20"/>
          <w:color w:val="auto"/>
        </w:rPr>
      </w:pPr>
    </w:p>
    <w:p>
      <w:pPr>
        <w:ind w:left="98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record amortization expense related to fair value adjustments recorded on the acquired definite lived intangibles;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eliminate ARIAD Europe’s interest expense on the intercompany loan in accordance with the terms of the Acquisition;</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balances attributable to the ARIAD Australia entity which are not material. This entity was previously consolidated by ARIAD Europe; however it was not included in the Acquisition; and</w:t>
      </w:r>
    </w:p>
    <w:p>
      <w:pPr>
        <w:spacing w:after="0" w:line="170"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the recognition of revenue relating to distribution agreements in historic periods for those arrangements in which we have no continuing performance obligation and, therefore, the fair value of the assumed deferred revenue balance was zero.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unaudited pro forma information is not necessarily indicative of the results that would have been obtained if the Acquisition had occurred as of January 1, 2015 or that may occur in the future, and does not reflect future synergies, integration costs, or other such costs or savings.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$ 275,405</w:t>
            </w:r>
          </w:p>
        </w:tc>
        <w:tc>
          <w:tcPr>
            <w:tcW w:w="96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 (1,062)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$ 274,343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December 31, 2017</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(corporate and government)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$ 271,401</w:t>
            </w:r>
          </w:p>
        </w:tc>
        <w:tc>
          <w:tcPr>
            <w:tcW w:w="96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7"/>
              </w:rPr>
              <w:t>$ (1,265)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debt securities generally have contractual maturity dates of between 12 to 18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2—Valuations based on observable inputs and quoted prices in active markets for similar assets and liabilities.</w:t>
      </w:r>
    </w:p>
    <w:p>
      <w:pPr>
        <w:spacing w:after="0" w:line="24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Our marketable securities consist of investments in corporate debt securities and U.S. government securities that are classified as available-for-sale.</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At December 31, 2018 and 2017, our Level 2 corporate debt securities and U.S government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w:t>
      </w:r>
    </w:p>
    <w:p>
      <w:pPr>
        <w:spacing w:after="0" w:line="187"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Our policy is to recognize transfers into and transfers out of fair value hierarchy levels as of the end of the reporting period. There were no transfers out of or into hierarchy levels during the year ended December 31, 2018.</w:t>
      </w:r>
    </w:p>
    <w:p>
      <w:pPr>
        <w:spacing w:after="0" w:line="14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274,343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7)</w:t>
            </w: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1,263,179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4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270,136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 (Note 7)</w:t>
            </w: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1,033,865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270,136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12"/>
          </w:tcPr>
          <w:p>
            <w:pPr>
              <w:ind w:left="1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Significant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3"/>
              </w:rPr>
              <w:t>Balance as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4"/>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6"/>
              <w:spacing w:after="0"/>
              <w:rPr>
                <w:sz w:val="20"/>
                <w:szCs w:val="20"/>
                <w:color w:val="auto"/>
              </w:rPr>
            </w:pPr>
            <w:r>
              <w:rPr>
                <w:rFonts w:ascii="Arial" w:cs="Arial" w:eastAsia="Arial" w:hAnsi="Arial"/>
                <w:sz w:val="14"/>
                <w:szCs w:val="14"/>
                <w:b w:val="1"/>
                <w:bCs w:val="1"/>
                <w:color w:val="auto"/>
                <w:w w:val="90"/>
              </w:rPr>
              <w:t>Balance as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20" w:top="125" w:right="137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 forward of our Level 3 liabilities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Contingent consideration earned during the period but not yet paid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(6,618)</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Payments made during the period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w:t>
            </w:r>
          </w:p>
        </w:tc>
        <w:tc>
          <w:tcPr>
            <w:tcW w:w="120" w:type="dxa"/>
            <w:vAlign w:val="bottom"/>
            <w:tcBorders>
              <w:bottom w:val="single" w:sz="8" w:color="CCEEFF"/>
            </w:tcBorders>
          </w:tcPr>
          <w:p>
            <w:pPr>
              <w:spacing w:after="0"/>
              <w:rPr>
                <w:sz w:val="18"/>
                <w:szCs w:val="18"/>
                <w:color w:val="auto"/>
              </w:rPr>
            </w:pPr>
          </w:p>
        </w:tc>
      </w:tr>
      <w:tr>
        <w:trPr>
          <w:trHeight w:val="217"/>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fair value of the contingent consideration was determined using an income approach based on estimated ICLUSIG revenues in the European Union and other countries for the approved third line treatment. The fair value of the contingent consideration is remeasured each reporting period, with changes in fair value recorded in the consolidated statements of operations. The change in fair value of the contingent consideration during the period ending December 31, 2018 was due primarily to the passage of time as there were no other significant changes in the key assumptions. The change in fair value of the contingent consideration during the period ending December 31, 2017 was due primarily to the passage of time and a benefit of $24.0 million recorded during the third quarter to the lack of expected future sales royalties payable due to the discontinued OPTIC-2L clinical trial.</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make payments to Takeda quarterly based on the royalties or any additional milestone payments earned in the previous quarter. As of December 31, 2018, contingent consideration earned but not yet paid was $13.2 million. The royalties earned in the third quarter of $6.7 million were included in accounts payable and the royalties earned in the fourth quarter of $6.5 million were included in accrued and other current liabilities at December 31, 2018. As of December 31, 2017, contingent consideration earned but not yet paid was $6.6 million were included in accrued and other current liabilities.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years ended December 31, 2018 and 2017, there were no measurements required for any assets or liabilities at fair value on a non-recurring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Concentrations of Credit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2009, we entered into a license, development and commercialization agreement with Lilly. In November 2009, we entered into a collaboration and license agreement with Novartis. The concentration of credit risk related to our collaborative partners is as follows:</w:t>
      </w:r>
    </w:p>
    <w:p>
      <w:pPr>
        <w:spacing w:after="0" w:line="78"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Percentage of Total Milestone and</w:t>
      </w:r>
    </w:p>
    <w:p>
      <w:pPr>
        <w:jc w:val="center"/>
        <w:ind w:left="6040"/>
        <w:spacing w:after="0" w:line="226" w:lineRule="auto"/>
        <w:rPr>
          <w:sz w:val="20"/>
          <w:szCs w:val="20"/>
          <w:color w:val="auto"/>
        </w:rPr>
      </w:pPr>
      <w:r>
        <w:rPr>
          <w:rFonts w:ascii="Arial" w:cs="Arial" w:eastAsia="Arial" w:hAnsi="Arial"/>
          <w:sz w:val="14"/>
          <w:szCs w:val="14"/>
          <w:b w:val="1"/>
          <w:bCs w:val="1"/>
          <w:color w:val="auto"/>
        </w:rPr>
        <w:t>Contract Revenues for the</w:t>
      </w:r>
    </w:p>
    <w:p>
      <w:pPr>
        <w:jc w:val="center"/>
        <w:ind w:left="6040"/>
        <w:spacing w:after="0" w:line="222" w:lineRule="auto"/>
        <w:rPr>
          <w:sz w:val="20"/>
          <w:szCs w:val="20"/>
          <w:color w:val="auto"/>
        </w:rPr>
      </w:pPr>
      <w:r>
        <w:rPr>
          <w:rFonts w:ascii="Arial" w:cs="Arial" w:eastAsia="Arial" w:hAnsi="Arial"/>
          <w:sz w:val="14"/>
          <w:szCs w:val="14"/>
          <w:b w:val="1"/>
          <w:bCs w:val="1"/>
          <w:color w:val="auto"/>
        </w:rPr>
        <w:t>Years Ended,</w:t>
      </w:r>
    </w:p>
    <w:p>
      <w:pPr>
        <w:jc w:val="center"/>
        <w:ind w:left="604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Partner 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Collaboration Partner B</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67 %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63 %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60 %</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Collaboration Partner A and Collaboration Partner B comprised, in the aggregate, 42% and 47% of the accounts receivable balance as of December 31, 2018 and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2011, we began commercialization and distribution of JAKAFI to a number of customers. Our product revenues are concentrated in a number of these customers. The concentration of credit risk related to our JAKAFI product revenues is as follows:</w:t>
      </w:r>
    </w:p>
    <w:p>
      <w:pPr>
        <w:spacing w:after="0" w:line="78"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Percentage of Total Net</w:t>
      </w:r>
    </w:p>
    <w:p>
      <w:pPr>
        <w:jc w:val="center"/>
        <w:ind w:left="6040"/>
        <w:spacing w:after="0" w:line="226" w:lineRule="auto"/>
        <w:rPr>
          <w:sz w:val="20"/>
          <w:szCs w:val="20"/>
          <w:color w:val="auto"/>
        </w:rPr>
      </w:pPr>
      <w:r>
        <w:rPr>
          <w:rFonts w:ascii="Arial" w:cs="Arial" w:eastAsia="Arial" w:hAnsi="Arial"/>
          <w:sz w:val="14"/>
          <w:szCs w:val="14"/>
          <w:b w:val="1"/>
          <w:bCs w:val="1"/>
          <w:color w:val="auto"/>
        </w:rPr>
        <w:t>Product Revenues for the</w:t>
      </w:r>
    </w:p>
    <w:p>
      <w:pPr>
        <w:jc w:val="center"/>
        <w:ind w:left="6040"/>
        <w:spacing w:after="0" w:line="222" w:lineRule="auto"/>
        <w:rPr>
          <w:sz w:val="20"/>
          <w:szCs w:val="20"/>
          <w:color w:val="auto"/>
        </w:rPr>
      </w:pPr>
      <w:r>
        <w:rPr>
          <w:rFonts w:ascii="Arial" w:cs="Arial" w:eastAsia="Arial" w:hAnsi="Arial"/>
          <w:sz w:val="14"/>
          <w:szCs w:val="14"/>
          <w:b w:val="1"/>
          <w:bCs w:val="1"/>
          <w:color w:val="auto"/>
        </w:rPr>
        <w:t>Years Ended,</w:t>
      </w:r>
    </w:p>
    <w:p>
      <w:pPr>
        <w:jc w:val="center"/>
        <w:ind w:left="604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Customer B</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15 %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Customer 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8 %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9 %</w:t>
            </w: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 A, Customer B, Customer C and Customer D comprised, in the aggregate, 30% and 25% of the accounts receivable balance as of December 31, 2018 and 2017, respectively.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concentration of credit risk relating to ICLUSIG product revenues or accounts receivable is not significant.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inventory balance consists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7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5"/>
          </w:tcPr>
          <w:p>
            <w:pPr>
              <w:jc w:val="right"/>
              <w:ind w:right="333"/>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4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8,615</w:t>
            </w:r>
          </w:p>
        </w:tc>
        <w:tc>
          <w:tcPr>
            <w:tcW w:w="4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40" w:type="dxa"/>
            <w:vAlign w:val="bottom"/>
            <w:shd w:val="clear" w:color="auto" w:fill="CCEEFF"/>
          </w:tcPr>
          <w:p>
            <w:pPr>
              <w:spacing w:after="0"/>
              <w:rPr>
                <w:sz w:val="18"/>
                <w:szCs w:val="18"/>
                <w:color w:val="auto"/>
              </w:rPr>
            </w:pPr>
          </w:p>
        </w:tc>
      </w:tr>
      <w:tr>
        <w:trPr>
          <w:trHeight w:val="210"/>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10,405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14,448</w:t>
            </w:r>
          </w:p>
        </w:tc>
        <w:tc>
          <w:tcPr>
            <w:tcW w:w="4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40" w:type="dxa"/>
            <w:vAlign w:val="bottom"/>
            <w:shd w:val="clear" w:color="auto" w:fill="CCEEFF"/>
          </w:tcPr>
          <w:p>
            <w:pPr>
              <w:spacing w:after="0"/>
              <w:rPr>
                <w:sz w:val="18"/>
                <w:szCs w:val="18"/>
                <w:color w:val="auto"/>
              </w:rPr>
            </w:pPr>
          </w:p>
        </w:tc>
      </w:t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Inventories-non-current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Inventories, stated at the lower of cost and net realizable value, consist of raw materials, work-in-process and finished goods. At December 31, 2018, $7.0 million of inventory was classified as current on the consolidated balance sheets as we expect this inventory to be consumed for commercial use within the next twelve months. At December 31, 2018, $3.4 million of inventory was classified as non</w:t>
      </w:r>
      <w:r>
        <w:rPr>
          <w:rFonts w:ascii="MS PGothic" w:cs="MS PGothic" w:eastAsia="MS PGothic" w:hAnsi="MS PGothic"/>
          <w:sz w:val="17"/>
          <w:szCs w:val="17"/>
          <w:color w:val="auto"/>
        </w:rPr>
        <w:t>‑</w:t>
      </w:r>
      <w:r>
        <w:rPr>
          <w:rFonts w:ascii="Arial" w:cs="Arial" w:eastAsia="Arial" w:hAnsi="Arial"/>
          <w:sz w:val="17"/>
          <w:szCs w:val="17"/>
          <w:color w:val="auto"/>
        </w:rPr>
        <w:t>current on the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JAKAFI raw materials and work-in-process inventory is not subject to expiration and the shelf life for finished goods inventory is 36 months from the start of manufacturing of the finished goods. ICLUSIG raw materials and work-in-process inventory is not subject to expiration and the shelf life for finished goods inventory is 24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JAK inhibitor ruxolitinib and certain back</w:t>
      </w:r>
      <w:r>
        <w:rPr>
          <w:rFonts w:ascii="MS PGothic" w:cs="MS PGothic" w:eastAsia="MS PGothic" w:hAnsi="MS PGothic"/>
          <w:sz w:val="16"/>
          <w:szCs w:val="16"/>
          <w:color w:val="auto"/>
        </w:rPr>
        <w:t>‑</w:t>
      </w:r>
      <w:r>
        <w:rPr>
          <w:rFonts w:ascii="Arial" w:cs="Arial" w:eastAsia="Arial" w:hAnsi="Arial"/>
          <w:sz w:val="16"/>
          <w:szCs w:val="16"/>
          <w:color w:val="auto"/>
        </w:rPr>
        <w:t>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w:t>
      </w:r>
      <w:r>
        <w:rPr>
          <w:rFonts w:ascii="MS PGothic" w:cs="MS PGothic" w:eastAsia="MS PGothic" w:hAnsi="MS PGothic"/>
          <w:sz w:val="16"/>
          <w:szCs w:val="16"/>
          <w:color w:val="auto"/>
        </w:rPr>
        <w:t>‑</w:t>
      </w:r>
      <w:r>
        <w:rPr>
          <w:rFonts w:ascii="Arial" w:cs="Arial" w:eastAsia="Arial" w:hAnsi="Arial"/>
          <w:sz w:val="16"/>
          <w:szCs w:val="16"/>
          <w:color w:val="auto"/>
        </w:rPr>
        <w:t>up compounds in all indications. We retained options to co</w:t>
      </w:r>
      <w:r>
        <w:rPr>
          <w:rFonts w:ascii="MS PGothic" w:cs="MS PGothic" w:eastAsia="MS PGothic" w:hAnsi="MS PGothic"/>
          <w:sz w:val="16"/>
          <w:szCs w:val="16"/>
          <w:color w:val="auto"/>
        </w:rPr>
        <w:t>‑</w:t>
      </w:r>
      <w:r>
        <w:rPr>
          <w:rFonts w:ascii="Arial" w:cs="Arial" w:eastAsia="Arial" w:hAnsi="Arial"/>
          <w:sz w:val="16"/>
          <w:szCs w:val="16"/>
          <w:color w:val="auto"/>
        </w:rPr>
        <w:t>develop and to co</w:t>
      </w:r>
      <w:r>
        <w:rPr>
          <w:rFonts w:ascii="MS PGothic" w:cs="MS PGothic" w:eastAsia="MS PGothic" w:hAnsi="MS PGothic"/>
          <w:sz w:val="16"/>
          <w:szCs w:val="16"/>
          <w:color w:val="auto"/>
        </w:rPr>
        <w:t>‑</w:t>
      </w:r>
      <w:r>
        <w:rPr>
          <w:rFonts w:ascii="Arial" w:cs="Arial" w:eastAsia="Arial" w:hAnsi="Arial"/>
          <w:sz w:val="16"/>
          <w:szCs w:val="16"/>
          <w:color w:val="auto"/>
        </w:rPr>
        <w:t>promote capmatinib in the United States.</w:t>
      </w:r>
    </w:p>
    <w:p>
      <w:pPr>
        <w:spacing w:after="0" w:line="164"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Under this agreement, we received an upfront payment and immediate milestone payment totaling $210.0 million and were initially eligible to receive up to $1.2 billion in milestone payments across multiple indications upon the achievement of pre</w:t>
      </w:r>
      <w:r>
        <w:rPr>
          <w:rFonts w:ascii="MS PGothic" w:cs="MS PGothic" w:eastAsia="MS PGothic" w:hAnsi="MS PGothic"/>
          <w:sz w:val="16"/>
          <w:szCs w:val="16"/>
          <w:color w:val="auto"/>
        </w:rPr>
        <w:t>‑</w:t>
      </w:r>
      <w:r>
        <w:rPr>
          <w:rFonts w:ascii="Arial" w:cs="Arial" w:eastAsia="Arial" w:hAnsi="Arial"/>
          <w:sz w:val="16"/>
          <w:szCs w:val="16"/>
          <w:color w:val="auto"/>
        </w:rPr>
        <w:t>specified events, including up to $174.0 million for the achievement of development milestones, up to $495.0 million for the achievement of regulatory milestones and up to $500.0 million for the achievement of commercialization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 Exclusive of the upfront payment of $150.0 million received in 2009 and the immediate milestone of $60.0 million earned in 2010, we have recognized and received in the aggregate $132.0 million for the achievement of development milestones, $215.0 million for the achievement of regulatory milestones and $120.0 million for the achievement of sales milestones through December 31, 2018.</w:t>
      </w:r>
    </w:p>
    <w:p>
      <w:pPr>
        <w:spacing w:after="0" w:line="18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During the year ended December 31, 2018, under this agreement, we recognized a $60.0 million sales milestone for Novartis achieving annual net sales of a JAK licensed product of $900.0 million. In 2017, we recognized a $40.0 million sales milestone for Novartis achieving annual net sales of a JAK licensed product of $600.0 million and a $25.0 million development milestone based on the formal initiation by Novartis of a Phase III clinical trial evaluating ruxolitinib in GVHD. In 2016, we recognized a $5.0 million payment in exchange for the development and commercialization rights to ruxolitinib in GVHD outside of the United States and a $40.0 million regulatory milestone for the reimbursement of JAKAVI in Europe for the treatment of patients with polycythemia vera. In 2015, we recognized a $5.0 million development milestone based on the formal initiation by Novartis of a Phase II clinical trial evaluating capmatinib for a third indication, a $25.0 million regulatory milestone triggered by the Committee for Medicinal Products for Human Use of the European Medicines Agency adopting a positive opinion for JAKAVI (ruxolitinib) for the treatment of adult patients with polycythemia vera who are resistant to or intolerant of hydroxyurea, a $15.0 million regulatory milestone for the approval of JAKAVI in Japan for the treatment of patients with polycythemia vera, and a $20.0 million sales milestone for Novartis achieving annual net sales of a JAK licensed product of $300.0 million. In 2014, we recognized a $60.0 million regulatory milestone related to reimbursement of JAKAVI in Europe, a $25.0 million regulatory milestone for the approval of JAKAVI in Japan for the treatment of patients with myelofibrosis and a $7.0 million development milestone based on the formal initiation by Novartis of a Phase II clinical trial evaluating capmatinib in non-small cell lung cancer. In 2013, we recognized a $25.0 million development milestone based on the formal initiation by Novartis of a Phase II clinical trial evaluating capmatinib. In 2012, we recognized a $40.0 million regulatory milestone for the achievement of a predefined milestone for the European Union regulatory approval of JAKAVI. In 2011, we recognized a $15.0 million development milestone for the achievement of a predefined milestone in the Phase I dose</w:t>
      </w:r>
      <w:r>
        <w:rPr>
          <w:rFonts w:ascii="MS PGothic" w:cs="MS PGothic" w:eastAsia="MS PGothic" w:hAnsi="MS PGothic"/>
          <w:sz w:val="16"/>
          <w:szCs w:val="16"/>
          <w:color w:val="auto"/>
        </w:rPr>
        <w:t>‑</w:t>
      </w:r>
      <w:r>
        <w:rPr>
          <w:rFonts w:ascii="Arial" w:cs="Arial" w:eastAsia="Arial" w:hAnsi="Arial"/>
          <w:sz w:val="16"/>
          <w:szCs w:val="16"/>
          <w:color w:val="auto"/>
        </w:rPr>
        <w:t>escalation trial for capmatinib in patients with solid tumors and a $10.0 million regulatory milestone for the approval of JAKAFI in the United States. In 2010, we recognized $50.0 million in development milestones for the initiation of the global Phase III trial, RESPONSE, in patients with polycythemia vera. We determined that each of these milestones were substantive as their achievement required substantive efforts by us and was at risk until the milestones were ultimately achieved.</w:t>
      </w:r>
    </w:p>
    <w:p>
      <w:pPr>
        <w:spacing w:after="0" w:line="39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We also are eligible to receive tiered, double</w:t>
      </w:r>
      <w:r>
        <w:rPr>
          <w:rFonts w:ascii="MS PGothic" w:cs="MS PGothic" w:eastAsia="MS PGothic" w:hAnsi="MS PGothic"/>
          <w:sz w:val="16"/>
          <w:szCs w:val="16"/>
          <w:color w:val="auto"/>
        </w:rPr>
        <w:t>‑</w:t>
      </w:r>
      <w:r>
        <w:rPr>
          <w:rFonts w:ascii="Arial" w:cs="Arial" w:eastAsia="Arial" w:hAnsi="Arial"/>
          <w:sz w:val="16"/>
          <w:szCs w:val="16"/>
          <w:color w:val="auto"/>
        </w:rPr>
        <w:t>digit royalties ranging from the upper</w:t>
      </w:r>
      <w:r>
        <w:rPr>
          <w:rFonts w:ascii="MS PGothic" w:cs="MS PGothic" w:eastAsia="MS PGothic" w:hAnsi="MS PGothic"/>
          <w:sz w:val="16"/>
          <w:szCs w:val="16"/>
          <w:color w:val="auto"/>
        </w:rPr>
        <w:t>‑</w:t>
      </w:r>
      <w:r>
        <w:rPr>
          <w:rFonts w:ascii="Arial" w:cs="Arial" w:eastAsia="Arial" w:hAnsi="Arial"/>
          <w:sz w:val="16"/>
          <w:szCs w:val="16"/>
          <w:color w:val="auto"/>
        </w:rPr>
        <w:t>teens to the mid</w:t>
      </w:r>
      <w:r>
        <w:rPr>
          <w:rFonts w:ascii="MS PGothic" w:cs="MS PGothic" w:eastAsia="MS PGothic" w:hAnsi="MS PGothic"/>
          <w:sz w:val="16"/>
          <w:szCs w:val="16"/>
          <w:color w:val="auto"/>
        </w:rPr>
        <w:t>‑</w:t>
      </w:r>
      <w:r>
        <w:rPr>
          <w:rFonts w:ascii="Arial" w:cs="Arial" w:eastAsia="Arial" w:hAnsi="Arial"/>
          <w:sz w:val="16"/>
          <w:szCs w:val="16"/>
          <w:color w:val="auto"/>
        </w:rPr>
        <w:t>twenties on future JAKAVI net sales outside of the United States, and tiered, worldwide royalties on future capmatinib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years ended December 31, 2018, 2017 and 2016, such royalties payable to Novartis on net sales within the United States totaled $63.0 million, $50.5 million and $36.8 million, respectively, and are reflected in cost of product revenues on the consolidated statements of operations. At December 31, 2018 and 2017, $18.6 million and $14.8 million, respectively, of accrued royalties payable to Novartis were included in accrued and other current liabilities on the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The Novartis agreement will continue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until Novartis has no royalty payment obligations with respect to such program or, if earlier, the termination of the agreement or any program in accordance with the terms of the agreement. Royalties are payable by Novartis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by Novartis for convenience. The agreement may also be terminated by either party under certain other circumstances, including material breach.</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determined that there were two deliverables under the agreement: (i) the ex-U.S. license for ruxolitinib and</w:t>
      </w:r>
    </w:p>
    <w:p>
      <w:pPr>
        <w:spacing w:after="0" w:line="35" w:lineRule="exact"/>
        <w:rPr>
          <w:sz w:val="20"/>
          <w:szCs w:val="20"/>
          <w:color w:val="auto"/>
        </w:rPr>
      </w:pPr>
    </w:p>
    <w:p>
      <w:pPr>
        <w:jc w:val="both"/>
        <w:ind w:firstLine="3"/>
        <w:spacing w:after="0" w:line="269" w:lineRule="auto"/>
        <w:tabs>
          <w:tab w:leader="none" w:pos="321"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obligations in connection with our participation on the joint development committee for myelofibrosis and polycythemia vera/essential thrombocythemia. We concluded that these deliverables should be accounted for as a single unit of accounting and the $150.0 million upfront payment received in December 2009 and the immediate $60.0 million milestone payment received in January 2010 should be recognized on a straight-line basis through December 2013, when we estimated we would complete our obligations in connection with our participation on the joint development committee for myelofibrosis and polycythemia vera, our estimated performance period under the agreement. We completed this substantive performance obligation related to this arrangement in December 2013.</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December 31, 2009, we recorded $10.9 million of reimbursable costs incurred prior to the effective date of the agreement as deferred revenue on the consolidated balance sheet. These costs were recognized on a straight-line basis through December 2013 consistent with the aforementioned upfront and milestone payments. Future reimbursable costs incurred after the effective date of the agreement with Novartis are recorded net against the related research and development expenses. At December 31, 2018 and 2017, $0.7 million and $1.6 million, respectively, of reimbursable costs were included in accounts receivable on the consolidated balance sheets. Research and development expenses for the years ended December 31, 2018, 2017 and 2016 were net of $3.2 million, $3.0 million, and $0.7 million, respectively, of costs reimbursed by Novartis.</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Milestone and contract revenue under the Novartis agreement was $60.0 million, $65.0 million and $45.0 million for the years ended December 31, 2018, 2017 and 2016, respectively. In addition, for the years ended December 31, 2018, 2017 and 2016, we recorded $194.7 million, $151.7 million and $110.7 million, respectively, of product royalty revenues related to Novartis net sales of JAKAVI outside the United States. At December 31, 2018 and 2017, $55.4 million and $47.7 million, respectively, of product royalties were included in accounts receivable on the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for inflammatory and autoimmune diseases. We received an upfront payment of $90.0 million, and were initially eligible to receive up to $665.0 million in substantive milestone payments across multiple indications upon the achievement of pre</w:t>
      </w:r>
      <w:r>
        <w:rPr>
          <w:rFonts w:ascii="MS PGothic" w:cs="MS PGothic" w:eastAsia="MS PGothic" w:hAnsi="MS PGothic"/>
          <w:sz w:val="17"/>
          <w:szCs w:val="17"/>
          <w:color w:val="auto"/>
        </w:rPr>
        <w:t>‑</w:t>
      </w:r>
      <w:r>
        <w:rPr>
          <w:rFonts w:ascii="Arial" w:cs="Arial" w:eastAsia="Arial" w:hAnsi="Arial"/>
          <w:sz w:val="17"/>
          <w:szCs w:val="17"/>
          <w:color w:val="auto"/>
        </w:rPr>
        <w:t>specified events, including up to $150.0 million for the achievement of development milestones, up to $365.0 million for the achievement of regulatory milestones and up to $150.0 million for the achievement of commercialization milestones. Exclusive of the upfront payment of $90.0 million received in 2009, we have recognized and received, in aggregate, $149.0 million for the achievement of development milestones and $235.0 million for the achievement of regulatory milestones through December 31, 2018.</w:t>
      </w:r>
    </w:p>
    <w:p>
      <w:pPr>
        <w:spacing w:after="0" w:line="20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During the year ended December 31, 2018, under this agreement, we recognized a $20.0 million development milestone for the first patient treated in the systemic lupus erythematosus Phase III program for baricitinib and a $100.0 million regulatory milestone for the FDA approval of the 2mg dose of OLUMIANT (baricitinib) for the treatment of adults with moderately-to-severely active rheumatoid arthritis. In 2017, we recognized a $30.0 million development milestone for the first patient treated in the atopic dermatitis Phase III program for baricitinib, $15.0 million regulatory milestone for the approval of baricitinib for the treatment of rheumatoid arthritis by Japan’s Ministry of Health, Labor and Welfare and a $65.0 million regulatory milestone for the approval of baricitinib for the treatment of moderate-to-severe rheumatoid arthritis in adult patients by the European Commission. In 2016, we recognized a $35.0 million regulatory milestone for the submission of an NDA to the FDA for the approval of oral once-daily baricitinib for the treatment of moderate-to-severe rheumatoid arthritis and a $20.0 million regulatory milestone for the submission of a Marketing Authorization Application to the European Medicines Agency for the approval of oral once-daily baricitinib for the treatment of moderate-to-severe rheumatoid arthritis. In 2012, we recognized a $50.0 million development milestone for the initiation of the rheumatoid arthritis Phase III program for baricitinib. In 2010, we recognized a $30.0 million development milestone based upon the initial three month data in the Phase IIa clinical trial of baricitinib for the treatment of rheumatoid arthritis and a $19.0 million development milestone for the Phase IIb clinical trial initiation of baricitinib for the treatment of rheumatoid arthritis. We determined that each of these milestones were substantive as their achievement required substantive efforts by us and was at risk until the milestones were ultimately achieved. In July 2010, we elected to co-develop baricitinib with Lilly in rheumatoid arthritis and we are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are responsible for funding 30% of future global development costs for those indications through regulatory approval, including post-launch studies required by a regulatory authority.</w:t>
      </w:r>
    </w:p>
    <w:p>
      <w:pPr>
        <w:spacing w:after="0" w:line="184"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w:t>
      </w:r>
      <w:r>
        <w:rPr>
          <w:rFonts w:ascii="MS PGothic" w:cs="MS PGothic" w:eastAsia="MS PGothic" w:hAnsi="MS PGothic"/>
          <w:sz w:val="16"/>
          <w:szCs w:val="16"/>
          <w:color w:val="auto"/>
        </w:rPr>
        <w:t>‑</w:t>
      </w:r>
      <w:r>
        <w:rPr>
          <w:rFonts w:ascii="Arial" w:cs="Arial" w:eastAsia="Arial" w:hAnsi="Arial"/>
          <w:sz w:val="16"/>
          <w:szCs w:val="16"/>
          <w:color w:val="auto"/>
        </w:rPr>
        <w:t>develop, we would receive tiered, double</w:t>
      </w:r>
      <w:r>
        <w:rPr>
          <w:rFonts w:ascii="MS PGothic" w:cs="MS PGothic" w:eastAsia="MS PGothic" w:hAnsi="MS PGothic"/>
          <w:sz w:val="16"/>
          <w:szCs w:val="16"/>
          <w:color w:val="auto"/>
        </w:rPr>
        <w:t>‑</w:t>
      </w:r>
      <w:r>
        <w:rPr>
          <w:rFonts w:ascii="Arial" w:cs="Arial" w:eastAsia="Arial" w:hAnsi="Arial"/>
          <w:sz w:val="16"/>
          <w:szCs w:val="16"/>
          <w:color w:val="auto"/>
        </w:rPr>
        <w:t>digit royalty payments on future global net sales with rates ranging up to 20% if the product is successfully commercialized. We previously had retained an option to co-promote products in the United States but, in March 2016, we waived our co-promotion option as part of an amendment to the agreement.</w:t>
      </w:r>
    </w:p>
    <w:p>
      <w:pPr>
        <w:spacing w:after="0" w:line="20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Research and development expenses recorded under the Lilly agreement representing 30% of the global development costs for baricitinib for the treatment of rheumatoid arthritis, psoriatic arthritis, atopic dermatitis, alopecia areata, systemic lupus erythematosus and axial spondyloarthritis were $68.6 million, $40.8 million and $27.3 million, respectively, for the years ended December 31, 2018, 2017 and 2016. At December 31, 2018 and 2017, a total of $23.1 million and $13.6 million, respectively, of such costs were included in accrued and other liabilities on the consolidated balance sheet. We have retained certain mechanisms to give us cost protection as baricitinib advances in clinical development. We can defer our portion of co</w:t>
      </w:r>
      <w:r>
        <w:rPr>
          <w:rFonts w:ascii="MS PGothic" w:cs="MS PGothic" w:eastAsia="MS PGothic" w:hAnsi="MS PGothic"/>
          <w:sz w:val="16"/>
          <w:szCs w:val="16"/>
          <w:color w:val="auto"/>
        </w:rPr>
        <w:t>‑</w:t>
      </w:r>
      <w:r>
        <w:rPr>
          <w:rFonts w:ascii="Arial" w:cs="Arial" w:eastAsia="Arial" w:hAnsi="Arial"/>
          <w:sz w:val="16"/>
          <w:szCs w:val="16"/>
          <w:color w:val="auto"/>
        </w:rPr>
        <w:t>development study costs by indication if they exceed a predetermined level. This deferment would be credited against future milestones or royalties and we would still be eligible for the full incremental royalties related to the co</w:t>
      </w:r>
      <w:r>
        <w:rPr>
          <w:rFonts w:ascii="MS PGothic" w:cs="MS PGothic" w:eastAsia="MS PGothic" w:hAnsi="MS PGothic"/>
          <w:sz w:val="16"/>
          <w:szCs w:val="16"/>
          <w:color w:val="auto"/>
        </w:rPr>
        <w:t>‑</w:t>
      </w:r>
      <w:r>
        <w:rPr>
          <w:rFonts w:ascii="Arial" w:cs="Arial" w:eastAsia="Arial" w:hAnsi="Arial"/>
          <w:sz w:val="16"/>
          <w:szCs w:val="16"/>
          <w:color w:val="auto"/>
        </w:rPr>
        <w:t>development option. In addition, even if we have started co</w:t>
      </w:r>
      <w:r>
        <w:rPr>
          <w:rFonts w:ascii="MS PGothic" w:cs="MS PGothic" w:eastAsia="MS PGothic" w:hAnsi="MS PGothic"/>
          <w:sz w:val="16"/>
          <w:szCs w:val="16"/>
          <w:color w:val="auto"/>
        </w:rPr>
        <w:t>‑</w:t>
      </w:r>
      <w:r>
        <w:rPr>
          <w:rFonts w:ascii="Arial" w:cs="Arial" w:eastAsia="Arial" w:hAnsi="Arial"/>
          <w:sz w:val="16"/>
          <w:szCs w:val="16"/>
          <w:color w:val="auto"/>
        </w:rPr>
        <w:t>development funding for any indication, we can at any time opt out and stop future co</w:t>
      </w:r>
      <w:r>
        <w:rPr>
          <w:rFonts w:ascii="MS PGothic" w:cs="MS PGothic" w:eastAsia="MS PGothic" w:hAnsi="MS PGothic"/>
          <w:sz w:val="16"/>
          <w:szCs w:val="16"/>
          <w:color w:val="auto"/>
        </w:rPr>
        <w:t>‑</w:t>
      </w:r>
      <w:r>
        <w:rPr>
          <w:rFonts w:ascii="Arial" w:cs="Arial" w:eastAsia="Arial" w:hAnsi="Arial"/>
          <w:sz w:val="16"/>
          <w:szCs w:val="16"/>
          <w:color w:val="auto"/>
        </w:rPr>
        <w:t>development cost sharing. If we elect to do this we would still be eligible for our base royalties plus an incremental, pro</w:t>
      </w:r>
      <w:r>
        <w:rPr>
          <w:rFonts w:ascii="MS PGothic" w:cs="MS PGothic" w:eastAsia="MS PGothic" w:hAnsi="MS PGothic"/>
          <w:sz w:val="16"/>
          <w:szCs w:val="16"/>
          <w:color w:val="auto"/>
        </w:rPr>
        <w:t>‑</w:t>
      </w:r>
      <w:r>
        <w:rPr>
          <w:rFonts w:ascii="Arial" w:cs="Arial" w:eastAsia="Arial" w:hAnsi="Arial"/>
          <w:sz w:val="16"/>
          <w:szCs w:val="16"/>
          <w:color w:val="auto"/>
        </w:rPr>
        <w:t>rated royalty commensurate with our contribution to the total co</w:t>
      </w:r>
      <w:r>
        <w:rPr>
          <w:rFonts w:ascii="MS PGothic" w:cs="MS PGothic" w:eastAsia="MS PGothic" w:hAnsi="MS PGothic"/>
          <w:sz w:val="16"/>
          <w:szCs w:val="16"/>
          <w:color w:val="auto"/>
        </w:rPr>
        <w:t>‑</w:t>
      </w:r>
      <w:r>
        <w:rPr>
          <w:rFonts w:ascii="Arial" w:cs="Arial" w:eastAsia="Arial" w:hAnsi="Arial"/>
          <w:sz w:val="16"/>
          <w:szCs w:val="16"/>
          <w:color w:val="auto"/>
        </w:rPr>
        <w:t>development cost for those indications for which we co</w:t>
      </w:r>
      <w:r>
        <w:rPr>
          <w:rFonts w:ascii="MS PGothic" w:cs="MS PGothic" w:eastAsia="MS PGothic" w:hAnsi="MS PGothic"/>
          <w:sz w:val="16"/>
          <w:szCs w:val="16"/>
          <w:color w:val="auto"/>
        </w:rPr>
        <w:t>‑</w:t>
      </w:r>
      <w:r>
        <w:rPr>
          <w:rFonts w:ascii="Arial" w:cs="Arial" w:eastAsia="Arial" w:hAnsi="Arial"/>
          <w:sz w:val="16"/>
          <w:szCs w:val="16"/>
          <w:color w:val="auto"/>
        </w:rPr>
        <w:t>funded. The Lilly agreement will continue until Lilly no longer has any royalty payment obligations or, if earlier, the termination of the agreement in accordance with its terms. Royalties are payable by Lilly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We determined that there were two deliverables under the agreement: (i) the worldwide license and (ii) our obligations in connection with a co</w:t>
      </w:r>
      <w:r>
        <w:rPr>
          <w:rFonts w:ascii="MS PGothic" w:cs="MS PGothic" w:eastAsia="MS PGothic" w:hAnsi="MS PGothic"/>
          <w:sz w:val="18"/>
          <w:szCs w:val="18"/>
          <w:color w:val="auto"/>
        </w:rPr>
        <w:t>‑</w:t>
      </w:r>
      <w:r>
        <w:rPr>
          <w:rFonts w:ascii="Arial" w:cs="Arial" w:eastAsia="Arial" w:hAnsi="Arial"/>
          <w:sz w:val="18"/>
          <w:szCs w:val="18"/>
          <w:color w:val="auto"/>
        </w:rPr>
        <w:t>development option. We concluded that these deliverables should be accounted for as a single unit of accounting and the $90.0 million upfront payment should be recognized on a straight-line basis as revenue through December 2016, our estimated performance period under the agreement. We completed our substantive performance obligation related to this arrangement in December 2016.</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Milestone and contract revenue under the Lilly agreement was $120.0 million, $110.0 million and $67.5 million, respectively, for the years ended December 31, 2018, 2017 and 2016. In addition, for the years ended December 31, 2018 and 2017, we recorded $40.1 million and $9.1 million, respectively, of product royalty revenues related to Lilly net sales of OLUMIANT outside the United States. At December 31, 2018 and 2017, $14.0 million and $4.6 million, respectively, of product royalties were included in accounts receivable on the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2016, we entered into an amendment to the agreement with Lilly that amended the non-compete provision of the agreement to allow us to engage in the development and commercialization of ruxolitinib in the GVHD field. We paid Lilly an upfront payment of $35.0 million and Lilly is eligible to receive up to $40.0 million in additional regulatory milestone payments relating to ruxolitinib in the GVHD field. During the year ended December 31, 2016, the $35.0 million upfront payment was recorded in research and development expense in our consolidated statement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Amended Agreement, we paid Agenus $20.0 million in accelerated milestones relating to the clinical development of the GITR and OX40 programs, which is recorded in research and development expense on the consolidated statement of operations during the year ended December 31, 2017.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 In June 2018, we recorded a $5.0 million development milestone due to Agenus for the LAG-3 program and in September 2018 we recorded a $5.0 million development milestone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Agenus for the TIM-3 program, which are recorded in research and development expense on the consolidated statement of operations for the year ended December 31, 2018.</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on the consolidated balance sheets and $20.5 million was allocated to research and development expense on the consolidated statement of operations during the year ended December 31, 2017.</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concluded Agenus Inc. is not a VIE because it has sufficient equity to finance its activities without additional subordinated financial support and its at-risk equity holders have the characteristics of a controlling financial interest. From the date of our initial stock purchase in February 2015 and up to the date of our second stock purchase in February 2017, we owned between 9% and 11% of the outstanding shares of Agenus Inc. common stock. As a result of our February 2017 stock purchase, we owned approximately 15% of the outstanding shares of Agenus Inc. common stock as of December 31, 2018. We concluded that we have the ability to exercise significant influence, but not control, over Agenus Inc. based primarily on our ownership interest, the fact that we have been the largest Agenus stockholder since the date of our initial stock purchase, the level of intra-entity transactions between us and Agenus related to development expenses, as well as other qualitative factors. We have elected the fair value option to account for our long term investment in Agenus Inc. whereby the investment is marked to market through earnings in each reporting period. We believe the fair value option to be the most appropriate accounting method to account for securities in publicly held collaborators for which we have significant influence. For the years ended December 31, 2018, 2017 and 2016, we recorded an unrealized loss of $15.6 million, $13.6 million and $3.3 million, respectively, based on the changes in the market price of Agenus Inc.’s common stock during these periods. The fair market value of our long term investment in Agenus Inc. as of December 31, 2018 and 2017 was $42.3 million and $57.9 million, respectively.</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and nine months ended September 30, 2018, Agenus Inc. reported total revenues of $12.8 million and $30.3 million, respectively, and net losses of $33.7 million and $113.2 million, respectively, within their consolidated financial statements. For the three and nine months ended September 30, 2017, Agenus Inc. reported total revenues of $3.4 million and $34.5 million, respectively, and net losses of $36.8 million and $85.7 million, respectively, within their consolidated financial statements. As of September 30, 2018, Agenus Inc. reported current assets of $67.6 million, noncurrent assets of $62.8 million, current liabilities of $58.2 million and noncurrent liabilities of $203.7 million. As of December 31, 2017, Agenus Inc. reported current assets of $73.6 million, noncurrent assets of $64.8 million, current liabilities of $56.4 million and noncurrent liabilities of $157.8 million. At this time, we have no plans to participate in any future equity-based fundraising, and, in the event of any future equity-based fundraising, anticipate dilution of our ownership percentage and a significant permanent decrease in the value of our overall investment.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years ended December 31, 2018, 2017 and 2016, also included $4.6 million, $19.5 million and $17.5 million, respectively, of development costs incurred pursuant to the Agenus arrangement. At December 31, 2018 and 2017, a total of $2.3 million and $3.2 million, respectively, of such costs were included in accrued and other liabilities on the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Hengrui</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September 2015, we entered into a License and Collaboration Agreement with Jiangsu Hengrui Medicine Co., Ltd. (“Hengrui”). Under the terms of this agreement, we received exclusive development and commercialization rights worldwide, with the exception of Mainland China, Hong Kong, Macau and Taiwan, to INCSHR1210, an investigational PD-1 monoclonal antibody, and certain back-up compounds. In February 2018, Incyte and Hengrui agreed to terminate the collaboration, pursuant to the terms of the License and Collaboration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Research and development expenses for the years ended December 31, 2018, 2017, and 2016, included $1.5 million, $3.2 million and $9.8 million, respectively, of development costs incurred pursuant to the Hengrui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in December 2016, we entered into a Share Subscription Agreement with Merus, pursuant to which we agreed to purchase 3.2 million common shares of Merus for an aggregate purchase price of $80.0 million in cash, or $25.00 per share.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agreed to certain standstill provisions whereby we are obligated to refrain from taking certain actions with respect to Merus or Merus’ common shares during a period ending on the earliest of (i) three years from the closing date of our share purchase, (ii) the date Merus publicly announces any merger or similar business combination or another party announces an intention to acquire a substantial portion of Merus’ securities, and (iii) the termination of the Collaboration and License Agreement. The standstill provisions are subject to certain exceptions, including an exception that allows us to maintain our percentage ownership following equity financings by Merus. We also agreed, subject to limited exceptions, not to sell or otherwise transfer any of our Merus shares for a period, referred to as the Lock-Up Period, ending on the earlier of 18 months after the closing date of the sale of the Shares or the end of the standstill period. In addition, if the standstill period has not been terminated earlier upon the occurrence of certain events, for a period of three years after the Lock-Up Period, we will be restricted from selling or otherwise transferring more than one-third of our Merus shares during any 12-month period or 10% of our Merus shares during any three-month period, unless Merus consents otherwise. We have further agreed that during the standstill period, we will vote all of our Merus shares in accordance with the recommendation of a majority of Merus’ supervisory board. However, we may vote our Merus shares at our own discretion for certain extraordinary matters, including a change in control of Merus. Merus has agreed to customary resale registration rights with respect to our Merus shares; however, any such resales will be subject to the Lock-Up Period and volume limitations on sale and transfer described above.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on the consolidated balance sheets and $7.2 million was allocated to research and development expense on the consolidated statement of operations during the year ended December 31, 2017. The fair market value of our total long term investment in Merus as of December 31, 2018 and 2017 was $44.8 million and $62.1 million, respectively.</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concluded Merus is not a VIE because it has sufficient equity to finance its activities without additional subordinated financial support and its at-risk equity holders have the characteristics of a controlling financial interest. As of December 31, 2018, we owned approximately 14% of the outstanding shares of Merus common stock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years ended December 31, 2018 and 2017, we recorded an unrealized loss of $17.3 million and $10.7 million, respectively, based on the change in fair value of Merus’ common stock during these periods.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and nine months ended September 30, 2018, Merus reported within its Form 6-K total revenues of approximately €6.5 million and €23.0 million, respectively, and net loss of approximately €10.7 million and €23.7 million, respectively, within its condensed consolidated financial statements. For the three and nine months ended September 30, 2017, Merus reported within its Form 6-K total revenues of approximately €5.7 million and €15.8 million, respectively, and net loss of approximately €13.4 million and €52.7 million, respectively, within its condensed consolidated financial statements. As of September 30, 2018, Merus reported within its Form 6-K current assets of €202.6 million, noncurrent assets of €22.1 million, current liabilities of €38.2 million and noncurrent liabilities of €101.5 million. As of December 31, 2017, Merus reported within its Form 6-K current assets of €188.1 million, noncurrent assets of €8.7 million, current liabilities of €27.7 million and noncurrent liabilities of €112.6 million.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years ended December 31, 2018 and 2017 included $10.3 million and $6.5 million, respectively, of additional development costs incurred pursuant to the Merus agreement. At December 31, 2018 and 2017, a total of $2.9 million and $2.1 million, respectively, of such costs were included in accrued and other liabilities on the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(“Calithera”). Under this agreement, we received an exclusive, worldwide license to develop and commercialize small molecule arginase inhibitors, including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March 2017, Calithera earned a $12.0 million milestone payment from us for the achievement of pharmacokinetic and pharmacodynamics goals for CB-1158 which was recorded in research and development expense on our consolidated statement of operations.</w:t>
      </w:r>
    </w:p>
    <w:p>
      <w:pPr>
        <w:spacing w:after="0" w:line="188"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on the consolidated balance sheets and $41.4 million was allocated to research and development expense on the consolidated statement of operations during the year ended December 31, 2017. The fair market value of our long term investment in Calithera as of December 31, 2018 and 2017 was $6.9 million and $14.4 million, respectively.</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concluded Calithera is not a VIE because it has sufficient equity to finance its activities without additional subordinated financial support and its at-risk equity holders have the characteristics of a controlling financial interest. As of December 31, 2018, we owned approximately 4.5%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thereby have classified the investment within long term investments on the accompanying consolidated balance sheets. Under guidance implemented by ASU No. 2016-01, the investment is marked to market through earnings in each reporting period. Prior to implementation, the unrealized gains and losses on our investment in Calithera were recorded in accumulated other comprehensive income (loss). To adopt ASU No. 2016-01, the January 1, 2018 accumulated deficit balance decreased by $2.8 million to reflect these prior period unrealized gains. For the year ended December 31, 2018 and 2017, we recorded an unrealized loss of $7.5 million and an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unrealized gain of $2.8 million, respectively, based on the change in fair value of Calithera’s common stock during these periods.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years ended December 31, 2018 and 2017 also included $12.0 million and $23.4 million, respectively, of additional development costs incurred pursuant to the Calithera agreement. At December 31, 2018 and 2017, a total of $2.6 million and $0.9 million, respectively, of such costs were included in accrued and other liabilities on the consolidated balance sheets.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which was recorded in research and development expense on our consolidated statement of operations. MacroGenics will be eligible to receive up to $420.0 million in future contingent development and regulatory milestones and up to $330.0 million in commercial milestones as well as tiered royalties ranging from 15% to 24% of global net sales. In September 2018, we recorded $10.0 million and in November 2018 we recorded $5.0 million in aggregate milestones due to MacroGenics for the achievement of certain clinical milestones as part of our collaboration and license agreement, which were recorded in research and development expense on our consolidated statement of operations for the year ended December 31, 2018.</w:t>
      </w:r>
    </w:p>
    <w:p>
      <w:pPr>
        <w:spacing w:after="0" w:line="18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years ended December 31, 2018 and 2017, also included $35.4 million and $1.1 million, respectively, of additional development costs incurred pursuant to the MacroGenics agreement. At December 31, 2018 and 2017, a total of $3.2 million and $1.1 million, respectively, of such costs were included in accrued and other liabilities on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10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 during the year ended December 31,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on the consolidated balance sheet and $2.4 million, representing premium paid on the purchase, was allocated to research and development expense on the consolidated statement of operations for the year ended December 31, 2018.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consolidated balance sheet. All acquired shares were subsequently registered under the Securities Act of 1933 in February 2018. The fair market value of our long term investment in Syros as of December 31, 2018 was $5.2 million.</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concluded Syros is not a VIE because it has sufficient equity to finance its activities without additional subordinated financial support and its at-risk equity holders have the characteristics of a controlling financial interest. As of December 31, 2018, we owned approximately 3%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under ASU No. 2016-01, and the investment is marked to market through earnings in each reporting period. Given our intent to hold the investment for the foreseeable future, we have classified the investment within long term investments on the accompanying consolidated balance sheet. For the year ended December 31, 2018, we recorded an unrealized loss of $3.7 million based on the change in the market price of Syros’ common stock during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2018, we entered into a research collaboration and licensing agreement with Innovent Biologics, Inc.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received an upfront payment under this agreement of $40.0 million.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Laboratory equipment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61,697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45,048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209,260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65,576</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11,371</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422,982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334,427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(74,664)</w:t>
            </w:r>
          </w:p>
        </w:tc>
        <w:tc>
          <w:tcPr>
            <w:tcW w:w="14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319,751</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259,763</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including amortization expense of leasehold improvements, was $32.3 million, $24.6 million and $14.2 million for the years ended December 31, 2018, 2017 and 2016, respectively.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October 2017, we completed the construction of a 154,000 square foot office building located in Wilmington, Delaware totaling approximately $91.3 million and are depreciating the building over its estimated useful life of 40 years.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The new building will consist of approximately 100,000 square feet of office space. This building will allow for consolidation of our European operations that are currently located in Geneva and Lausanne, Switzerland. Building permits were granted by the local government authorities in September 2018, and construction activity began immediately thereafter. We are responsible for a portion of the renovation and construction costs, and are deemed, for accounting purposes, to be the owner of the building. As a result, we recorded the fair value of the building as a capital asset of approximately $15.8 million and a corresponding financing liability in accrued and other current liabilities on our consolidated balance sheet at December 31, 2018. We also recorded approximately $2.9 million in construction costs as a capital asset and corresponding financing liability on our consolidated balance sheet at December 31, 2018. Due to new accounting guidance within ASC 842, Leases, the assets and liabilities associated to this lease will be derecognized upon adoption on January 1, 2019. We anticipate beginning our portion of construction activity in July 2019, with completion of the office complex anticipated in the first half of 2020.</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July 2018, we signed an agreement to purchase land located within Y-PARC, Switzerland’s largest technology park in Yverdon. The land was purchased, in cash, for $4.8 million. Upon this parcel, we are constructing a large molecule production facility. Construction activity commenced in July 2018 and as of December 31, 2018, we have recorded approximately $37.5 million in costs for construction, ground preparation and architectural and engineering studies. We currently anticipate the facility to be completed in the second half of 2020.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6100"/>
        <w:spacing w:after="0"/>
        <w:rPr>
          <w:sz w:val="20"/>
          <w:szCs w:val="20"/>
          <w:color w:val="auto"/>
        </w:rPr>
      </w:pPr>
      <w:r>
        <w:rPr>
          <w:rFonts w:ascii="Arial" w:cs="Arial" w:eastAsia="Arial" w:hAnsi="Arial"/>
          <w:sz w:val="16"/>
          <w:szCs w:val="16"/>
          <w:b w:val="1"/>
          <w:bCs w:val="1"/>
          <w:color w:val="auto"/>
        </w:rPr>
        <w:t>Note 9. Intangible Assets and 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intangible assets were as follows (in thousands, except for useful life):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Balance at December 31, 2018</w:t>
            </w:r>
          </w:p>
        </w:tc>
        <w:tc>
          <w:tcPr>
            <w:tcW w:w="14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Balance at December 31, 2017</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Useful</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Lives (Years)</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6"/>
              </w:rPr>
              <w:t>Finite-lived intangible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20"/>
              <w:spacing w:after="0"/>
              <w:rPr>
                <w:sz w:val="20"/>
                <w:szCs w:val="20"/>
                <w:color w:val="auto"/>
              </w:rPr>
            </w:pPr>
            <w:r>
              <w:rPr>
                <w:rFonts w:ascii="Arial" w:cs="Arial" w:eastAsia="Arial" w:hAnsi="Arial"/>
                <w:sz w:val="18"/>
                <w:szCs w:val="18"/>
                <w:color w:val="auto"/>
              </w:rPr>
              <w:t>Licensed IP</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  55,636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$ 215,364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   34,099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236,901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Amortization expense was $21.5 million, $21.5 million and $12.6 million for the years ended December 31, 2018, 2017, and 2016, respectively, and is recorded in cost of product revenues on the consolidated statement of operations. Estimated aggregate amortization expense based on the current carrying value of amortizable intangible assets will be as follows for the years ending December 31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21,536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21,536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21,536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21,536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21,536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107,684</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changes to the carrying amount of goodwill for the years ended December 31, 2018 and 2017.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Accrued and other current liabilities at December 31, 2018 and 2017 consisted of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35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Clinical related costs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98,607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110,037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34,679</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7,673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9,945</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liability</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34,568</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22,807</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229,401</w:t>
            </w:r>
          </w:p>
        </w:tc>
        <w:tc>
          <w:tcPr>
            <w:tcW w:w="5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198,901</w:t>
            </w:r>
          </w:p>
        </w:tc>
      </w:tr>
      <w:tr>
        <w:trPr>
          <w:trHeight w:val="27"/>
        </w:trPr>
        <w:tc>
          <w:tcPr>
            <w:tcW w:w="5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Convertible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convertible notes were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vMerge w:val="restart"/>
          </w:tcPr>
          <w:p>
            <w:pPr>
              <w:jc w:val="right"/>
              <w:ind w:right="410"/>
              <w:spacing w:after="0"/>
              <w:rPr>
                <w:sz w:val="20"/>
                <w:szCs w:val="20"/>
                <w:color w:val="auto"/>
              </w:rPr>
            </w:pPr>
            <w:r>
              <w:rPr>
                <w:rFonts w:ascii="Arial" w:cs="Arial" w:eastAsia="Arial" w:hAnsi="Arial"/>
                <w:sz w:val="14"/>
                <w:szCs w:val="14"/>
                <w:b w:val="1"/>
                <w:bCs w:val="1"/>
                <w:color w:val="auto"/>
              </w:rPr>
              <w:t>Interest Rates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3780" w:type="dxa"/>
            <w:vAlign w:val="bottom"/>
          </w:tcPr>
          <w:p>
            <w:pPr>
              <w:spacing w:after="0" w:line="142" w:lineRule="exact"/>
              <w:rPr>
                <w:sz w:val="20"/>
                <w:szCs w:val="20"/>
                <w:color w:val="auto"/>
              </w:rPr>
            </w:pPr>
            <w:r>
              <w:rPr>
                <w:rFonts w:ascii="Arial" w:cs="Arial" w:eastAsia="Arial" w:hAnsi="Arial"/>
                <w:sz w:val="14"/>
                <w:szCs w:val="14"/>
                <w:b w:val="1"/>
                <w:bCs w:val="1"/>
                <w:color w:val="auto"/>
              </w:rPr>
              <w:t>Debt</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w w:val="99"/>
              </w:rPr>
              <w:t>December 31, 2018</w:t>
            </w: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Maturities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0.375% Convertible Senior Notes due 2018</w:t>
            </w: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1.25% Convertible Senior Notes due 2020</w:t>
            </w:r>
          </w:p>
        </w:tc>
        <w:tc>
          <w:tcPr>
            <w:tcW w:w="286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1.25 %</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17,434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Less current portion</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17,434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378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5" w:right="139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6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7280" w:type="dxa"/>
            <w:vAlign w:val="bottom"/>
            <w:gridSpan w:val="2"/>
          </w:tcPr>
          <w:p>
            <w:pPr>
              <w:ind w:left="640"/>
              <w:spacing w:after="0"/>
              <w:rPr>
                <w:sz w:val="20"/>
                <w:szCs w:val="20"/>
                <w:color w:val="auto"/>
              </w:rPr>
            </w:pPr>
            <w:r>
              <w:rPr>
                <w:rFonts w:ascii="Arial" w:cs="Arial" w:eastAsia="Arial" w:hAnsi="Arial"/>
                <w:sz w:val="18"/>
                <w:szCs w:val="18"/>
                <w:color w:val="auto"/>
              </w:rPr>
              <w:t>Annual maturities of all convertible notes are as follows (in thousands):</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6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2020</w:t>
            </w:r>
          </w:p>
        </w:tc>
        <w:tc>
          <w:tcPr>
            <w:tcW w:w="6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2022</w:t>
            </w:r>
          </w:p>
        </w:tc>
        <w:tc>
          <w:tcPr>
            <w:tcW w:w="6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and fair value of our convertible notes as of the dates shown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8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68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Carrying</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3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0.375% Convertible Senior Notes due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1.25% Convertible Senior Notes due 2020</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16,608</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24,001</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values of our 0.375% Convertible Senior Notes due 2018 (the “2018 Notes”) and 1.25% Convertible Senior Notes due 2020 (the “2020 Notes”) are based on data from readily available pricing sources which utilize market observable inputs and other characteristics for similar types of instruments, and, therefore, are classified within Level 2 in the fair value hierarchy.</w:t>
      </w:r>
    </w:p>
    <w:p>
      <w:pPr>
        <w:spacing w:after="0" w:line="18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On November 14, 2013, we issued, in a private placement, $375.0 million aggregate principal amount of the 2018 Notes and $375.0 million aggregate principal amount of the 2020 Notes. Entities affiliated with Julian C. Baker, one of our directors and principal stockholders (the “Baker Entities”), purchased $250.0 million aggregate principal amount of the 2018 Notes and $250.0 million aggregate principal amount of the 2020 Notes in this private placement. As of December 31, 2016, the Baker Entities owned $259.0 million and $274.5 million aggregate principal amounts of the 2018 and 2020 Notes, respectively, which were exchanged in 2017 for shares of common stock as described below. The 2018 Notes bore interest at a rate of 0.375% per annum and the 2020 Notes bear interest at a rate of 1.25% per annum, in each case payable semi</w:t>
      </w:r>
      <w:r>
        <w:rPr>
          <w:rFonts w:ascii="MS PGothic" w:cs="MS PGothic" w:eastAsia="MS PGothic" w:hAnsi="MS PGothic"/>
          <w:sz w:val="17"/>
          <w:szCs w:val="17"/>
          <w:color w:val="auto"/>
        </w:rPr>
        <w:t>‑</w:t>
      </w:r>
      <w:r>
        <w:rPr>
          <w:rFonts w:ascii="Arial" w:cs="Arial" w:eastAsia="Arial" w:hAnsi="Arial"/>
          <w:sz w:val="17"/>
          <w:szCs w:val="17"/>
          <w:color w:val="auto"/>
        </w:rPr>
        <w:t>annually in arrears in cash on May 15 and November 15, beginning on May 15, 2014. The 2018 Notes matured on November 15, 2018 and the 2020 Notes will mature on November 15, 2020, unless earlier purchased or converted. We may not redeem the 2020 Notes prior to their relevant scheduled maturity dates.</w:t>
      </w:r>
    </w:p>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Prior to May 14, 2014, the 2018 and 2020 Notes were not convertible except in connection with a make-whole fundamental change, as defined in the respective indentures. Beginning on, and including, May 15, 2014, the 2018 Notes were and the 2020 Notes are convertible prior to the close of business on the business day immediately preceding May 15, 2018, in the case of the 2018 Notes, and May 15, 2020, in the case of the 2020 Notes, only under the following circumstances: (1)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2018 Notes or 2020 Notes, as applicable, on each applicable trading day; (2) during the five business day period after any five consecutive trading day period (the “measurement period”) in which the trading price per $1,000 principal amount of 2018 Notes or 2020 Notes, as applicable, for each trading day of the measurement period was less than 98% of the product of the last reported sale price of our common stock and the conversion rate for the 2018 Notes or 2020 Notes, as applicable, on each such trading day; or (3) upon the occurrence of specified corporate events. On or after May 15, 2018, in the case of the 2018 Notes, and May 15, 2020, in the case of the 2020 Notes, until the close of business on the second scheduled trading day immediately preceding the relevant maturity date, the 2018 Notes were and the 2020 Notes are convertible at any time, regardless of the foregoing circumstances. Upon conversion we will pay or deliver, as the case may be, cash, shares of common stock or a combination of cash and shares of common stock, at our election. Management’s intent is to settle any conversions of the 2020 Notes in shares of our common stock.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The conversion rate for the 2018 Notes was 19.3207 shares of common stock per $1,000 principal amount, equivalent to an initial conversion price of approximately $51.76 per share. The initial conversion rate for the 2020 Notes is 19.3207 shares of common stock per $1,000 principal amount, equivalent to an initial conversion price of approximately $51.76 per share. The conversion rate for the 2018 Notes was and the conversion rate for the 2020 Notes will be subject to adjustment for certain events but will not be adjusted for any accrued and unpaid interest. Upon the occurrence of certain fundamental changes, the holders of the 2020 Notes may require us to purchase all or a portion of their 2020 Notes for cash at a price equal to 100% of the principal amount of the 2020 Notes, plus accrued and unpaid interest, including additional interest, if any, to, but excluding, the fundamental change purchase date. In addition, if, and to the extent, a holder elects to convert any 2020 Notes in connection with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transaction, as defined in the indenture, we will, under certain circumstances, increase the applicable conversion rate by a number of additional shares of our common stock. The 2018 Notes had similar provisions relating to fundamental changes and make-whole fundamental changes.</w:t>
      </w:r>
    </w:p>
    <w:p>
      <w:pPr>
        <w:spacing w:after="0" w:line="20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Since the 2018 Notes could and the 2020 Notes can be settled in cash or common shares or a combination of cash and common shares at our option, we determined the embedded conversion options in the 2018 and 2020 Notes are not required to be separately accounted for as a derivative. However, since the 2018 and 2020 Notes are within the scope of the accounting guidance for cash convertible instruments, we are required to separate the 2018 and 2020 Notes into a liability and equity component. The carrying amount of the liability component is calculated by measuring the fair value of a similar liability that does not have an associated equity component. The carrying amount of the equity component representing the embedded conversion option is determined by deducting the fair value of the liability component from the initial proceeds. The excess of the principal amount of the liability component over its carrying amount is amortized to interest expense over the expected life of a similar liability that does not have an associated equity component using the effective interest method. The equity component is not re</w:t>
      </w:r>
      <w:r>
        <w:rPr>
          <w:rFonts w:ascii="MS PGothic" w:cs="MS PGothic" w:eastAsia="MS PGothic" w:hAnsi="MS PGothic"/>
          <w:sz w:val="17"/>
          <w:szCs w:val="17"/>
          <w:color w:val="auto"/>
        </w:rPr>
        <w:t>‑</w:t>
      </w:r>
      <w:r>
        <w:rPr>
          <w:rFonts w:ascii="Arial" w:cs="Arial" w:eastAsia="Arial" w:hAnsi="Arial"/>
          <w:sz w:val="17"/>
          <w:szCs w:val="17"/>
          <w:color w:val="auto"/>
        </w:rPr>
        <w:t>measured as long as it continues to meet the conditions for equity classification in the accounting guidance for contracts in an entity’s own equity.</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liability component of the 2018 Notes on the date of issuance was estimated at $299.4 million, and accordingly, the equity component on the date of issuance was $75.6 million. The discount on the 2018 Notes was amortized to interest expense over the term of the 2018 Notes, using the effective interest method. The 2018 Notes were due on November 15, 2018 and the remaining de minimis principal balance of 2018 Notes that were not converted into common stock were repaid on that date. The carrying value of the 2018 Notes was $7.4 million (net of $0.3 million of debt discount and issuance costs) at December 31, 2017.</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liability component of the 2020 Notes on the date of issuance was estimated at $274.8 million, and accordingly, the equity component on the date of issuance was $100.2 million. The discount on the 2020 Notes is being amortized to interest expense over the term of the 2020 Notes, using the effective interest method. The carrying value of the 2020 Notes was $17.4 million and $16.6 million, respectively, (net of $1.7 million and $2.5 million debt discount and issuance costs, respectively) at December 31, 2018 and 2017.</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the year ended December 31, 2017, we entered into separately negotiated agreements with certain holders of the 2018 Notes pursuant to which such holders agreed to exchange a total of $367.2 million in aggregate principal amount of the 2018 Notes for the shares of our common stock into which the 2018 Notes were originally convertible, aggregating 7.1 million shares, an additional 0.1 million of premium shares (equivalent to $12.6 million in value) and $2.0 million in cash. Similarly we entered into separately negotiated agreements with certain holders of the 2020 Notes pursuant to which such holders agreed to exchange a total of $355.6 million in aggregate principal amount of the 2020 Notes for the shares of our common stock into which the 2020 Notes were originally convertible, aggregating 6.9 million shares, an additional 0.2 million of premium shares (equivalent to $26.8 million in value) and $7.0 million in cash. Included in the agreements were those with the Baker Entities, which agreed to exchange $259.0 million in aggregate principal amount of the 2018 Notes and $274.5 million in aggregate principal amount of the 2020 Notes for an aggregate of 10.6 million shares.</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the guidance within the ASC 470-20-40-20, we measured the difference between the fair value and carrying value of the liability portion of the 2018 and 2020 Notes which resulted in recording expense related to senior note conversions of $1.4 million related to the 2018 Notes and $5.1 million related to the 2020 Notes. The estimated fair value of the debt component was determined using a valuation model which is subject to judgement. Assumptions used within the valuation model include an estimated credit rating and an estimated market-based cost of debt. These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assumptions were used to perform a discounted cash flow analysis on the future interest and principal payments to determine the estimated fair value of the debt at inducement.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 fair value of the premium shares issued pursuant to these agreements as well as the cash paid in connection with the agreements totaled $48.4 million and is also included within expense related to senior note conversions on the consolidated statement of operations during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We are authorized to issue 5,000,000 shares of preferred stock, none of which was outstanding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2018 and 2017. The Board of Directors may determine the rights, preferences and privileges of any preferred stock issued in the future.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We are authorized to issue 400,000,000 shares of common stock.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7, 2017, we completed a public offering of 4,945,000 shares of our authorized but unissued common stock pursuant to an effective shelf registration statement. The underwriter had an option for a period of 30 days to purchase a maximum of 741,750 additional shares of our common stock, which expired unexercised. We sold the shares of common stock to the underwriter at a price of $131.46 per share, resulting in net proceeds, after deducting expenses related to the offering, of approximately $649.4 million.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Stock Compensation Plans. </w:t>
      </w:r>
      <w:r>
        <w:rPr>
          <w:rFonts w:ascii="Arial" w:cs="Arial" w:eastAsia="Arial" w:hAnsi="Arial"/>
          <w:sz w:val="18"/>
          <w:szCs w:val="18"/>
          <w:color w:val="auto"/>
        </w:rPr>
        <w:t>As of December 31, 2018, we had a total of 7,716,849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future issuance related to our stock plans as described below.</w:t>
      </w:r>
    </w:p>
    <w:p>
      <w:pPr>
        <w:spacing w:after="0" w:line="170"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i w:val="1"/>
          <w:iCs w:val="1"/>
          <w:color w:val="auto"/>
        </w:rPr>
        <w:t xml:space="preserve">2010 Stock Incentive Plan. </w:t>
      </w:r>
      <w:r>
        <w:rPr>
          <w:rFonts w:ascii="Arial" w:cs="Arial" w:eastAsia="Arial" w:hAnsi="Arial"/>
          <w:sz w:val="17"/>
          <w:szCs w:val="17"/>
          <w:color w:val="auto"/>
        </w:rPr>
        <w:t>In May 2010 the Board of Directors adopted the 2010 Stock Incentive Plan,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in April 2013 (the “2010 Plan”) for issuance of common stock to employees, non</w:t>
      </w:r>
      <w:r>
        <w:rPr>
          <w:rFonts w:ascii="MS PGothic" w:cs="MS PGothic" w:eastAsia="MS PGothic" w:hAnsi="MS PGothic"/>
          <w:sz w:val="17"/>
          <w:szCs w:val="17"/>
          <w:color w:val="auto"/>
        </w:rPr>
        <w:t>‑</w:t>
      </w:r>
      <w:r>
        <w:rPr>
          <w:rFonts w:ascii="Arial" w:cs="Arial" w:eastAsia="Arial" w:hAnsi="Arial"/>
          <w:sz w:val="17"/>
          <w:szCs w:val="17"/>
          <w:color w:val="auto"/>
        </w:rPr>
        <w:t>employee directors, consultants, and scientific advisors. Options are granted to employees, consultants, and scientific advisors under the 2010 Plan, pursuant to a formula determined by our Board of Directors. All options are exercisable at the fair market value of the stock on the date of grant. Non</w:t>
      </w:r>
      <w:r>
        <w:rPr>
          <w:rFonts w:ascii="MS PGothic" w:cs="MS PGothic" w:eastAsia="MS PGothic" w:hAnsi="MS PGothic"/>
          <w:sz w:val="17"/>
          <w:szCs w:val="17"/>
          <w:color w:val="auto"/>
        </w:rPr>
        <w:t>‑</w:t>
      </w:r>
      <w:r>
        <w:rPr>
          <w:rFonts w:ascii="Arial" w:cs="Arial" w:eastAsia="Arial" w:hAnsi="Arial"/>
          <w:sz w:val="17"/>
          <w:szCs w:val="17"/>
          <w:color w:val="auto"/>
        </w:rPr>
        <w:t>employee director options expire after ten years.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May 2012, our stockholders approved an increase in the number of shares of common stock reserved for issuance under the 2010 Plan from 12,553,475 to 16,553,475. In May 2013, our stockholders approved an increase in the number of shares of common stock reserved for issuance under the 2010 Plan from 16,553,475 to 21,753,475. In May 2014, our stockholders approved an increase in the number of shares of common stock reserved for issuance under the 2010 Plan from 21,753,475 to 24,753,475. In May 2016, our stockholders approved an increase in the number of shares of common stock reserved for issuance under the 2010 Plan from 24,753,475 to 30,753,475. In May 2018, our stockholders approved an increase in the number of shares of common stock reserved for issuance under the 2010 Plan from 30,753,475 to 36,753,475.</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activity under the 2010 Stock Plan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89"/>
              </w:rPr>
              <w:t>Shares Subject to</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 Available</w:t>
            </w:r>
          </w:p>
        </w:tc>
        <w:tc>
          <w:tcPr>
            <w:tcW w:w="178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3"/>
              </w:rPr>
              <w:t>Outstanding Options</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 Grant</w:t>
            </w: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3,909,701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11,206,553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right="51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68.36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Additional authorization</w:t>
            </w:r>
          </w:p>
        </w:tc>
        <w:tc>
          <w:tcPr>
            <w:tcW w:w="10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(3,245,314)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3,245,314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(1,353,518)</w:t>
            </w:r>
          </w:p>
        </w:tc>
        <w:tc>
          <w:tcPr>
            <w:tcW w:w="700" w:type="dxa"/>
            <w:vAlign w:val="bottom"/>
          </w:tcPr>
          <w:p>
            <w:pPr>
              <w:jc w:val="center"/>
              <w:ind w:right="51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(813,190)</w:t>
            </w:r>
          </w:p>
        </w:tc>
        <w:tc>
          <w:tcPr>
            <w:tcW w:w="70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6,477,577</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12,285,159</w:t>
            </w:r>
          </w:p>
        </w:tc>
        <w:tc>
          <w:tcPr>
            <w:tcW w:w="140" w:type="dxa"/>
            <w:vAlign w:val="bottom"/>
          </w:tcPr>
          <w:p>
            <w:pPr>
              <w:spacing w:after="0"/>
              <w:rPr>
                <w:sz w:val="18"/>
                <w:szCs w:val="18"/>
                <w:color w:val="auto"/>
              </w:rPr>
            </w:pPr>
          </w:p>
        </w:tc>
        <w:tc>
          <w:tcPr>
            <w:tcW w:w="700" w:type="dxa"/>
            <w:vAlign w:val="bottom"/>
          </w:tcPr>
          <w:p>
            <w:pPr>
              <w:jc w:val="center"/>
              <w:ind w:right="51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July 2016, we revised the terms of our annual stock option grants to provide that new option grants would generally have a 10-year term and vest over four years, with 25% vesting after one year and the remainder vesting in 36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equal monthly installments. Previously, our option grants generally had 7-year terms and vested over three years, with 33% vesting after one year and the remainder vesting in 24 equal monthly installments.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to purchase a total of 7,194,171, 7,250,283 and 7,995,735 shares as of December 31, 2018, 2017 and 2016, respectively, were exercisable. The aggregate intrinsic value of options exercised for the years ended December 31, 2018, 2017 and 2016 were $73.9 million, $264.2 million and $137.0 million, respectively. At December 31, 2018 the aggregate intrinsic value of options outstanding and vested options were $118.5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stock options outstanding as of December 31, 2018 for the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5"/>
          </w:tcPr>
          <w:p>
            <w:pPr>
              <w:ind w:left="7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2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1140" w:type="dxa"/>
            <w:vAlign w:val="bottom"/>
          </w:tcPr>
          <w:p>
            <w:pPr>
              <w:jc w:val="right"/>
              <w:ind w:right="93"/>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jc w:val="right"/>
              <w:ind w:right="114"/>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$2.80 - $17.79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588,741</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588,741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$17.89 - $18.32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1,474,120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1,474,120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$18.97 - $64.55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1,652,452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1,439,924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$65.36 - $68.40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142,566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$68.62 - $68.62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1,426,578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$68.82 - $81.16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1,234,047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73.59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892,781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$83.83 - $94.63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1,701,957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$95.34 - $95.76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1,578,529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95.62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780,898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$100.81 - $113.64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1,462,739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$115.19 - $138.52</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1,023,430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8.09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128.30</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466,750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128.88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12,285,159</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7,194,171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Performance Shares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7"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Also, in January 2014, Hervé Hoppenot, our President and Chief Executive Officer, was granted a one-time grant of 400,000 RSUs outside of our 2010 Stock Incentive Plan. Vesting of the RSUs will be subject to Mr. Hoppenot’s continued employment on the applicable vesting dates, with one</w:t>
      </w:r>
      <w:r>
        <w:rPr>
          <w:rFonts w:ascii="MS PGothic" w:cs="MS PGothic" w:eastAsia="MS PGothic" w:hAnsi="MS PGothic"/>
          <w:sz w:val="18"/>
          <w:szCs w:val="18"/>
          <w:color w:val="auto"/>
        </w:rPr>
        <w:t>‑</w:t>
      </w:r>
      <w:r>
        <w:rPr>
          <w:rFonts w:ascii="Arial" w:cs="Arial" w:eastAsia="Arial" w:hAnsi="Arial"/>
          <w:sz w:val="18"/>
          <w:szCs w:val="18"/>
          <w:color w:val="auto"/>
        </w:rPr>
        <w:t>sixth of the RSUs vesting at the end of each of the calendar years 2014 through 2019, subject to earlier acceleration of vesting upon the occurrence of certain events in accordance with the terms of his employment agreement. As of December 31, 2018, a total of 266,667 RSUs granted to Mr. Hoppenot vested, leaving 133,333 RSUs outstanding.</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June 2018, we granted 190,000 RSUs and 446,500 PSUs under long term incentive plans with performance and/or service-based milestones with graded and/or cliff vesting over three to four years. For one of the long term incentive plans, under which 106,500 PSUs were granted, the actual number of shares of our common stock into which each PSU may convert are subject to a multiplier of up to 267% based on the level at which the performance conditions are achieved. Compensation expense for the performance-based awards is recorded over the estimated service period for each milestone when the performance conditions are deemed probable of achievement. For the period ended December 31, 2018, the stock compensation expense recorded during the period was for service-based awards and performance conditions deemed probable of achievement. For PSUs containing performance conditions which were not deemed probable of achievement at December 31, 2018, no stock compensation expense was recognized.</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July 2018, we granted 77,243 PSUs to executives with a performance milestone and graded vesting over four years. The shares of our common stock into which each PSU may convert is subject to a multiplier up to 150% based on the level at which the performance condition is achieved. Compensation expense for the performance-based awards is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recorded over the estimated service period when the performance condition is deemed probable of achievement. The actual number of shares of our common stock into which each PSU converted was at a multiplier of 83% based on the performance condition being achieved as of December 31, 2018.</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did not grant any PSUs during the years ended December, 31, 2017 and 2016. We granted a total of 55,326 PSUs during the year ended December 31, 2014 which had performance conditions that required expense recognition assessments during the year ended December 31, 2016. At December 31, 2016, we recognized stock compensation expense for those awards that had performance conditions deemed probable of achievement at that date. For PSUs, containing performance conditions which were not deemed probable of achievement at December 31, 2016, no stock compensation expense was recognized for those awards. The actual number of shares of our common stock into which each PSU converted was at a multiplier of 100% based on the performance conditions achieved as of December 31, 2016.</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PSUs and RSUs. Under the true-up provisions of the stock compensation guidance, we will record additional expense as the awards vest if the actual forfeiture rate is lower than we estimated, and will record a recovery of prior expense if the actual forfeiture is higher than we estimated.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RSU and PSU award activity under the 2010 Stock Plan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Shares Available</w:t>
            </w:r>
          </w:p>
        </w:tc>
        <w:tc>
          <w:tcPr>
            <w:tcW w:w="162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91"/>
              </w:rPr>
              <w:t>Shares Subject to</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1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Outstanding Awards</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2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for Grant</w:t>
            </w:r>
          </w:p>
        </w:tc>
        <w:tc>
          <w:tcPr>
            <w:tcW w:w="9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Grant Date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769,202</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1,178,660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98.88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Additional authorization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RSUs granted</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(898,598)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898,598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PSUs granted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(523,743)</w:t>
            </w:r>
          </w:p>
        </w:tc>
        <w:tc>
          <w:tcPr>
            <w:tcW w:w="840" w:type="dxa"/>
            <w:vAlign w:val="bottom"/>
          </w:tcPr>
          <w:p>
            <w:pPr>
              <w:jc w:val="right"/>
              <w:spacing w:after="0"/>
              <w:rPr>
                <w:sz w:val="20"/>
                <w:szCs w:val="20"/>
                <w:color w:val="auto"/>
              </w:rPr>
            </w:pPr>
            <w:r>
              <w:rPr>
                <w:rFonts w:ascii="Arial" w:cs="Arial" w:eastAsia="Arial" w:hAnsi="Arial"/>
                <w:sz w:val="18"/>
                <w:szCs w:val="18"/>
                <w:color w:val="auto"/>
              </w:rPr>
              <w:t>523,743</w:t>
            </w:r>
          </w:p>
        </w:tc>
        <w:tc>
          <w:tcPr>
            <w:tcW w:w="80" w:type="dxa"/>
            <w:vAlign w:val="bottom"/>
          </w:tcPr>
          <w:p>
            <w:pPr>
              <w:spacing w:after="0"/>
              <w:rPr>
                <w:sz w:val="18"/>
                <w:szCs w:val="18"/>
                <w:color w:val="auto"/>
              </w:rPr>
            </w:pPr>
          </w:p>
        </w:tc>
        <w:tc>
          <w:tcPr>
            <w:tcW w:w="70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RSUs cancelled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(120,591)</w:t>
            </w:r>
          </w:p>
        </w:tc>
        <w:tc>
          <w:tcPr>
            <w:tcW w:w="70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95.33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PSUs cancelled</w:t>
            </w:r>
          </w:p>
        </w:tc>
        <w:tc>
          <w:tcPr>
            <w:tcW w:w="1080" w:type="dxa"/>
            <w:vAlign w:val="bottom"/>
          </w:tcPr>
          <w:p>
            <w:pPr>
              <w:jc w:val="right"/>
              <w:spacing w:after="0"/>
              <w:rPr>
                <w:sz w:val="20"/>
                <w:szCs w:val="20"/>
                <w:color w:val="auto"/>
              </w:rPr>
            </w:pPr>
            <w:r>
              <w:rPr>
                <w:rFonts w:ascii="Arial" w:cs="Arial" w:eastAsia="Arial" w:hAnsi="Arial"/>
                <w:sz w:val="18"/>
                <w:szCs w:val="18"/>
                <w:color w:val="auto"/>
              </w:rPr>
              <w:t>78,299</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(78,299)</w:t>
            </w:r>
          </w:p>
        </w:tc>
        <w:tc>
          <w:tcPr>
            <w:tcW w:w="70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(358,774)</w:t>
            </w:r>
          </w:p>
        </w:tc>
        <w:tc>
          <w:tcPr>
            <w:tcW w:w="70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545,751</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2,043,337</w:t>
            </w:r>
          </w:p>
        </w:tc>
        <w:tc>
          <w:tcPr>
            <w:tcW w:w="80" w:type="dxa"/>
            <w:vAlign w:val="bottom"/>
          </w:tcPr>
          <w:p>
            <w:pPr>
              <w:spacing w:after="0"/>
              <w:rPr>
                <w:sz w:val="18"/>
                <w:szCs w:val="18"/>
                <w:color w:val="auto"/>
              </w:rPr>
            </w:pPr>
          </w:p>
        </w:tc>
        <w:tc>
          <w:tcPr>
            <w:tcW w:w="70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i w:val="1"/>
          <w:iCs w:val="1"/>
          <w:color w:val="auto"/>
        </w:rPr>
        <w:t xml:space="preserve">Employee Stock Purchase Plan. </w:t>
      </w:r>
      <w:r>
        <w:rPr>
          <w:rFonts w:ascii="Arial" w:cs="Arial" w:eastAsia="Arial" w:hAnsi="Arial"/>
          <w:sz w:val="16"/>
          <w:szCs w:val="16"/>
          <w:color w:val="auto"/>
        </w:rPr>
        <w:t>On May 21, 1997, our stockholders adopted the 1997 Employee Stock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Plan (the “ESPP”). Each regular full</w:t>
      </w:r>
      <w:r>
        <w:rPr>
          <w:rFonts w:ascii="MS PGothic" w:cs="MS PGothic" w:eastAsia="MS PGothic" w:hAnsi="MS PGothic"/>
          <w:sz w:val="16"/>
          <w:szCs w:val="16"/>
          <w:color w:val="auto"/>
        </w:rPr>
        <w:t>‑</w:t>
      </w:r>
      <w:r>
        <w:rPr>
          <w:rFonts w:ascii="Arial" w:cs="Arial" w:eastAsia="Arial" w:hAnsi="Arial"/>
          <w:sz w:val="16"/>
          <w:szCs w:val="16"/>
          <w:color w:val="auto"/>
        </w:rPr>
        <w:t>time and part</w:t>
      </w:r>
      <w:r>
        <w:rPr>
          <w:rFonts w:ascii="MS PGothic" w:cs="MS PGothic" w:eastAsia="MS PGothic" w:hAnsi="MS PGothic"/>
          <w:sz w:val="16"/>
          <w:szCs w:val="16"/>
          <w:color w:val="auto"/>
        </w:rPr>
        <w:t>‑</w:t>
      </w:r>
      <w:r>
        <w:rPr>
          <w:rFonts w:ascii="Arial" w:cs="Arial" w:eastAsia="Arial" w:hAnsi="Arial"/>
          <w:sz w:val="16"/>
          <w:szCs w:val="16"/>
          <w:color w:val="auto"/>
        </w:rPr>
        <w:t>time employee working 20 hours or more per week is eligible to participate after one month of employment. We issued 233,712, 157,277 and 126,648 shares under the ESPP in 2018, 2017 and 2016, respectively. For the years ended December 31, 2018, 2017 and 2016, we recorded stock compensation expense of $3.7 million, $3.2 million and $2.4 million, respectively, as the ESPP is considered compensatory under the FASB stock compensation rules. As of December 31, 2018, 693,521 shares remain available for issuance under the ESPP.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 Compensation</w:t>
      </w:r>
    </w:p>
    <w:p>
      <w:pPr>
        <w:spacing w:after="0" w:line="229"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We recorded $148.2 million, $133.1 million and $96.2 million, respectively, of stock compensation expense for the years ended December 31, 2018, 2017 and 2016. For the year ended December 31, 2018, we capitalized $0.1 million of stock compensation expense as part of the cost of an asset. We utilized the Black-Scholes valuation model for estimating the fair value of the stock options granted, with the following weighted</w:t>
      </w:r>
      <w:r>
        <w:rPr>
          <w:rFonts w:ascii="MS PGothic" w:cs="MS PGothic" w:eastAsia="MS PGothic" w:hAnsi="MS PGothic"/>
          <w:sz w:val="17"/>
          <w:szCs w:val="17"/>
          <w:color w:val="auto"/>
        </w:rPr>
        <w:t>‑</w:t>
      </w:r>
      <w:r>
        <w:rPr>
          <w:rFonts w:ascii="Arial" w:cs="Arial" w:eastAsia="Arial" w:hAnsi="Arial"/>
          <w:sz w:val="17"/>
          <w:szCs w:val="17"/>
          <w:color w:val="auto"/>
        </w:rPr>
        <w:t>average assumptions: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54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0"/>
              </w:rPr>
              <w:t>Employee Stock Options</w:t>
            </w:r>
          </w:p>
        </w:tc>
        <w:tc>
          <w:tcPr>
            <w:tcW w:w="2320" w:type="dxa"/>
            <w:vAlign w:val="bottom"/>
            <w:gridSpan w:val="6"/>
          </w:tcPr>
          <w:p>
            <w:pPr>
              <w:jc w:val="center"/>
              <w:ind w:right="50"/>
              <w:spacing w:after="0"/>
              <w:rPr>
                <w:sz w:val="20"/>
                <w:szCs w:val="20"/>
                <w:color w:val="auto"/>
              </w:rPr>
            </w:pPr>
            <w:r>
              <w:rPr>
                <w:rFonts w:ascii="Arial" w:cs="Arial" w:eastAsia="Arial" w:hAnsi="Arial"/>
                <w:sz w:val="14"/>
                <w:szCs w:val="14"/>
                <w:b w:val="1"/>
                <w:bCs w:val="1"/>
                <w:color w:val="auto"/>
                <w:w w:val="91"/>
              </w:rPr>
              <w:t>Employee Stock Purchase Plan</w:t>
            </w:r>
          </w:p>
        </w:tc>
      </w:tr>
      <w:tr>
        <w:trPr>
          <w:trHeight w:val="171"/>
        </w:trPr>
        <w:tc>
          <w:tcPr>
            <w:tcW w:w="4200" w:type="dxa"/>
            <w:vAlign w:val="bottom"/>
          </w:tcPr>
          <w:p>
            <w:pPr>
              <w:spacing w:after="0"/>
              <w:rPr>
                <w:sz w:val="14"/>
                <w:szCs w:val="14"/>
                <w:color w:val="auto"/>
              </w:rPr>
            </w:pPr>
          </w:p>
        </w:tc>
        <w:tc>
          <w:tcPr>
            <w:tcW w:w="254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1"/>
              </w:rPr>
              <w:t>For the year ended December 31,</w:t>
            </w:r>
          </w:p>
        </w:tc>
        <w:tc>
          <w:tcPr>
            <w:tcW w:w="2320" w:type="dxa"/>
            <w:vAlign w:val="bottom"/>
            <w:gridSpan w:val="6"/>
          </w:tcPr>
          <w:p>
            <w:pPr>
              <w:jc w:val="center"/>
              <w:ind w:right="7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42"/>
        </w:trPr>
        <w:tc>
          <w:tcPr>
            <w:tcW w:w="4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Average expected life (in years)</w:t>
            </w:r>
          </w:p>
        </w:tc>
        <w:tc>
          <w:tcPr>
            <w:tcW w:w="62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Weighted-average fair value (in dollars)</w:t>
            </w:r>
          </w:p>
        </w:tc>
        <w:tc>
          <w:tcPr>
            <w:tcW w:w="620" w:type="dxa"/>
            <w:vAlign w:val="bottom"/>
          </w:tcPr>
          <w:p>
            <w:pPr>
              <w:jc w:val="right"/>
              <w:spacing w:after="0"/>
              <w:rPr>
                <w:sz w:val="20"/>
                <w:szCs w:val="20"/>
                <w:color w:val="auto"/>
              </w:rPr>
            </w:pPr>
            <w:r>
              <w:rPr>
                <w:rFonts w:ascii="Arial" w:cs="Arial" w:eastAsia="Arial" w:hAnsi="Arial"/>
                <w:sz w:val="18"/>
                <w:szCs w:val="18"/>
                <w:color w:val="auto"/>
              </w:rPr>
              <w:t>34.20</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53.41</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39.35</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15.80</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19.42</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18.82</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24" w:lineRule="exact"/>
        <w:rPr>
          <w:sz w:val="20"/>
          <w:szCs w:val="20"/>
          <w:color w:val="auto"/>
        </w:rPr>
      </w:pPr>
      <w:r>
        <w:rPr>
          <w:rFonts w:ascii="Arial" w:cs="Arial" w:eastAsia="Arial" w:hAnsi="Arial"/>
          <w:sz w:val="16"/>
          <w:szCs w:val="16"/>
          <w:color w:val="auto"/>
        </w:rPr>
        <w:t>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derived from the U.S. Federal Reserve rate in effect at the time of grant. The expected life calculation is based on the observed and expected time to the exercise of options by our employees based on historical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compensation cost of options granted but not yet vested as of December 31, 2018, was $99.7 million, which is expected to be recognized over the weighted average period of 1.5 years. Total compensation cost of RSUs granted but not yet vested, as of December 31, 2018, was $61.4 million, which is expected to be recognized over the weighted average period of 1.5 years. Total compensation cost of PSUs granted but not yet vested, as of December 31, 2018, was $29.1 million, which is expected to be recognized over the weighted average period of 3.0 years, should the underlying performance conditions be deemed probable of achievement.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U.S. federal, state and foreign corporate income taxes. The provision for income taxes is based on income (loss) before provision for income taxes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478,050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272,574</w:t>
            </w:r>
          </w:p>
        </w:tc>
        <w:tc>
          <w:tcPr>
            <w:tcW w:w="240" w:type="dxa"/>
            <w:vAlign w:val="bottom"/>
            <w:shd w:val="clear" w:color="auto" w:fill="CCEEFF"/>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Non-U.S.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(362,703)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(348,783)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(165,170)</w:t>
            </w:r>
          </w:p>
        </w:tc>
      </w:tr>
      <w:tr>
        <w:trPr>
          <w:trHeight w:val="217"/>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(312,290)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446"/>
        </w:trPr>
        <w:tc>
          <w:tcPr>
            <w:tcW w:w="5900" w:type="dxa"/>
            <w:vAlign w:val="bottom"/>
            <w:gridSpan w:val="5"/>
          </w:tcPr>
          <w:p>
            <w:pPr>
              <w:ind w:left="660"/>
              <w:spacing w:after="0"/>
              <w:rPr>
                <w:sz w:val="20"/>
                <w:szCs w:val="20"/>
                <w:color w:val="auto"/>
              </w:rPr>
            </w:pPr>
            <w:r>
              <w:rPr>
                <w:rFonts w:ascii="Arial" w:cs="Arial" w:eastAsia="Arial" w:hAnsi="Arial"/>
                <w:sz w:val="18"/>
                <w:szCs w:val="18"/>
                <w:color w:val="auto"/>
                <w:w w:val="92"/>
              </w:rPr>
              <w:t>Our provision for income taxes consists of the following (in thousands):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51"/>
        </w:trPr>
        <w:tc>
          <w:tcPr>
            <w:tcW w:w="4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State</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5,010</w:t>
            </w:r>
          </w:p>
        </w:tc>
        <w:tc>
          <w:tcPr>
            <w:tcW w:w="40" w:type="dxa"/>
            <w:vAlign w:val="bottom"/>
          </w:tcPr>
          <w:p>
            <w:pPr>
              <w:spacing w:after="0"/>
              <w:rPr>
                <w:sz w:val="18"/>
                <w:szCs w:val="18"/>
                <w:color w:val="auto"/>
              </w:rPr>
            </w:pP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8"/>
                <w:szCs w:val="18"/>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40" w:type="dxa"/>
            <w:vAlign w:val="bottom"/>
            <w:shd w:val="clear" w:color="auto" w:fill="CCEEFF"/>
          </w:tcPr>
          <w:p>
            <w:pPr>
              <w:spacing w:after="0"/>
              <w:rPr>
                <w:sz w:val="18"/>
                <w:szCs w:val="18"/>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240" w:type="dxa"/>
            <w:vAlign w:val="bottom"/>
            <w:tcBorders>
              <w:bottom w:val="single" w:sz="8" w:color="CCEEFF"/>
            </w:tcBorders>
          </w:tcPr>
          <w:p>
            <w:pPr>
              <w:spacing w:after="0"/>
              <w:rPr>
                <w:sz w:val="18"/>
                <w:szCs w:val="18"/>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State</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0"/>
        </w:trPr>
        <w:tc>
          <w:tcPr>
            <w:tcW w:w="40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r>
      <w:tr>
        <w:trPr>
          <w:trHeight w:val="217"/>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5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2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reconciliation of income taxes at the U.S. federal statutory rate to the provision for income taxes is as follows (in 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9"/>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at U.S. federal statutory rate</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(109,302)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Unbenefited net operating losses and tax credits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(51,861)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(47,410)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related to share-based compensation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(29,541)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tax impact of Tax Cuts and Jobs Act of 2017</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196,751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Non-deductible officer compensation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8"/>
                <w:szCs w:val="18"/>
                <w:color w:val="auto"/>
              </w:rPr>
            </w:pPr>
          </w:p>
        </w:tc>
      </w:tr>
      <w:tr>
        <w:trPr>
          <w:trHeight w:val="217"/>
        </w:trPr>
        <w:tc>
          <w:tcPr>
            <w:tcW w:w="62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60" w:type="dxa"/>
            <w:vAlign w:val="bottom"/>
          </w:tcPr>
          <w:p>
            <w:pPr>
              <w:spacing w:after="0"/>
              <w:rPr>
                <w:sz w:val="18"/>
                <w:szCs w:val="18"/>
                <w:color w:val="auto"/>
              </w:rPr>
            </w:pPr>
          </w:p>
        </w:tc>
      </w:tr>
    </w:tbl>
    <w:p>
      <w:pPr>
        <w:spacing w:after="0" w:line="94" w:lineRule="exact"/>
        <w:rPr>
          <w:sz w:val="20"/>
          <w:szCs w:val="20"/>
          <w:color w:val="auto"/>
        </w:rPr>
      </w:pPr>
    </w:p>
    <w:p>
      <w:pPr>
        <w:ind w:left="120" w:hanging="117"/>
        <w:spacing w:after="0"/>
        <w:tabs>
          <w:tab w:leader="none" w:pos="120" w:val="left"/>
        </w:tabs>
        <w:numPr>
          <w:ilvl w:val="0"/>
          <w:numId w:val="35"/>
        </w:numPr>
        <w:rPr>
          <w:rFonts w:ascii="Arial" w:cs="Arial" w:eastAsia="Arial" w:hAnsi="Arial"/>
          <w:sz w:val="9"/>
          <w:szCs w:val="9"/>
          <w:color w:val="auto"/>
        </w:rPr>
      </w:pPr>
      <w:r>
        <w:rPr>
          <w:rFonts w:ascii="Arial" w:cs="Arial" w:eastAsia="Arial" w:hAnsi="Arial"/>
          <w:sz w:val="18"/>
          <w:szCs w:val="18"/>
          <w:color w:val="auto"/>
        </w:rPr>
        <w:t>Statutory U.S. federal income tax rate of 21% in 2018 and 35% in 2017 and 2016.</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foreign tax rate differential in the table above reflects the impact of operations in jurisdictions with tax rates that differ from the U.S. federal statutory rate.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6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148,142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259,189</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research credits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333,311</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Capitalized research and development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53,871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37,044</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accruals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Non-cash compensation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44,647</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41,831</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Intangibles, net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93,730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94,249</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w:t>
            </w:r>
          </w:p>
        </w:tc>
        <w:tc>
          <w:tcPr>
            <w:tcW w:w="40" w:type="dxa"/>
            <w:vAlign w:val="bottom"/>
            <w:tcBorders>
              <w:bottom w:val="single" w:sz="8" w:color="CCEEFF"/>
            </w:tcBorders>
          </w:tcPr>
          <w:p>
            <w:pPr>
              <w:spacing w:after="0"/>
              <w:rPr>
                <w:sz w:val="18"/>
                <w:szCs w:val="18"/>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847,051</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Less valuation allowance for deferred tax assets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(836,992)</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(834,783)</w:t>
            </w:r>
          </w:p>
        </w:tc>
      </w:tr>
      <w:tr>
        <w:trPr>
          <w:trHeight w:val="217"/>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(17,424)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(11,463)</w:t>
            </w:r>
          </w:p>
        </w:tc>
      </w:tr>
      <w:tr>
        <w:trPr>
          <w:trHeight w:val="23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0"/>
        </w:trPr>
        <w:tc>
          <w:tcPr>
            <w:tcW w:w="5260" w:type="dxa"/>
            <w:vAlign w:val="bottom"/>
          </w:tcPr>
          <w:p>
            <w:pPr>
              <w:spacing w:after="0" w:line="203" w:lineRule="exact"/>
              <w:rPr>
                <w:sz w:val="20"/>
                <w:szCs w:val="20"/>
                <w:color w:val="auto"/>
              </w:rPr>
            </w:pPr>
            <w:r>
              <w:rPr>
                <w:rFonts w:ascii="Arial" w:cs="Arial" w:eastAsia="Arial" w:hAnsi="Arial"/>
                <w:sz w:val="18"/>
                <w:szCs w:val="18"/>
                <w:color w:val="auto"/>
              </w:rPr>
              <w:t>Net deferred income taxes</w:t>
            </w:r>
          </w:p>
        </w:tc>
        <w:tc>
          <w:tcPr>
            <w:tcW w:w="180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805</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deferred income tax balance is reported in other assets, net on the consolidated balance sheets as of December 31, 2018 and 2017.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the Company has net operating loss (“NOL”) carryforwards, research and development credit carryforwards and orphan drug tax credit carryforwards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Expiring if not utilized</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Federal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216,970</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2034</w:t>
            </w:r>
          </w:p>
        </w:tc>
        <w:tc>
          <w:tcPr>
            <w:tcW w:w="140" w:type="dxa"/>
            <w:vAlign w:val="bottom"/>
          </w:tcPr>
          <w:p>
            <w:pPr>
              <w:spacing w:after="0"/>
              <w:rPr>
                <w:sz w:val="19"/>
                <w:szCs w:val="19"/>
                <w:color w:val="auto"/>
              </w:rPr>
            </w:pPr>
          </w:p>
        </w:tc>
      </w:tr>
      <w:tr>
        <w:trPr>
          <w:trHeight w:val="230"/>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343,022</w:t>
            </w:r>
          </w:p>
        </w:tc>
        <w:tc>
          <w:tcPr>
            <w:tcW w:w="14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2020 through 2037; indefinite</w:t>
            </w: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Foreign</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757,312</w:t>
            </w:r>
          </w:p>
        </w:tc>
        <w:tc>
          <w:tcPr>
            <w:tcW w:w="140" w:type="dxa"/>
            <w:vAlign w:val="bottom"/>
          </w:tcPr>
          <w:p>
            <w:pPr>
              <w:spacing w:after="0"/>
              <w:rPr>
                <w:sz w:val="19"/>
                <w:szCs w:val="19"/>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2020 through 2025</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carryforwards</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Federal</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197,400</w:t>
            </w:r>
          </w:p>
        </w:tc>
        <w:tc>
          <w:tcPr>
            <w:tcW w:w="140" w:type="dxa"/>
            <w:vAlign w:val="bottom"/>
          </w:tcPr>
          <w:p>
            <w:pPr>
              <w:spacing w:after="0"/>
              <w:rPr>
                <w:sz w:val="19"/>
                <w:szCs w:val="19"/>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2019 through 2038</w:t>
            </w:r>
          </w:p>
        </w:tc>
      </w:tr>
      <w:tr>
        <w:trPr>
          <w:trHeight w:val="230"/>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25,247</w:t>
            </w:r>
          </w:p>
        </w:tc>
        <w:tc>
          <w:tcPr>
            <w:tcW w:w="14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2021 through 2032; indefinite</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Orphan drug tax credit carryforwards</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210,242</w:t>
            </w:r>
          </w:p>
        </w:tc>
        <w:tc>
          <w:tcPr>
            <w:tcW w:w="140" w:type="dxa"/>
            <w:vAlign w:val="bottom"/>
          </w:tcPr>
          <w:p>
            <w:pPr>
              <w:spacing w:after="0"/>
              <w:rPr>
                <w:sz w:val="20"/>
                <w:szCs w:val="20"/>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2029 through 2038</w:t>
            </w:r>
          </w:p>
        </w:tc>
      </w:tr>
    </w:tbl>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utilize our federal and state NOLs may be limited under Internal Revenue Code Section 382 (“Section 382”). Section 382 imposes annual limitations on the utilization of NOL carryforwards and other tax attributes upon an ownership change. In general terms, an ownership change may result from transactions that increase the aggregate ownership of certain stockholders in our stock by more than 50 percentage points over a testing period (generally three years). We have completed a Section 382 analysis through the year ended December 31, 2017. Based on this analysis, our NOLs and other tax attributes accumulated through 2017 should not be limited under Section 382. We have not updated our analysis through 2018.</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22, 2017, the Tax Cuts and Jobs Act of 2017 (“the Act”) was signed into law making significant changes to the Internal Revenue Code. The Act contains numerous provisions impacting corporate taxpayers. Changes include a federal corporate tax rate decrease from 35% to 21% effective for tax years beginning after December 31, 2017, the transition of U.S. international taxation from a worldwide tax system to a territorial system and temporary full expensing of certain business assets. We recorded provisional tax impacts related to the revaluation of deferred tax assets and liabilities as well as the temporary full expensing of certain business assets in our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 ended December 31, 2017. Upon the completion of the 2017 U.S. federal corporate income tax return during the fourth quarter of 2018, we finalized our analysis of the Act and determined no additional adjustments were required.</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valuation allowance for deferred tax assets increased by approximately $2.2 million during the year ended December 31, 2018, increased by approximately $14.6 million during the year ended December 31, 2017 and increased by approximately $277.3 million during the year ended December 31, 2016. The net valuation allowance increase during 2018 was primarily due to the generation of U.S. federal R&amp;D credits, orphan drug credits and Swiss NOLs, offset by the utilization of NOLs in the U.S.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Valuation allowances require an assessment of both positive and negative evidence when determining whether it is more likely than not that deferred tax assets are recoverable. Such assessment is required on a jurisdiction-by-jurisdiction basis. The ultimate realization of deferred tax assets is dependent upon the generation of future taxable income during the periods in which those temporary differences become deductible.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upon our analysis of our historical operating results, as well as projections of our future taxable income (losses) during the periods in which the temporary differences will be recoverable, management believes the uncertainty regarding the realization of our U.S. and Swiss net deferred tax assets requires a full valuation allowance against such net assets as of December 31, 2018. When performing our assessment on projections of future taxable income (losses), we consider factors such as the likelihood of regulatory approval and commercial success of products currently under development, among other factors.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financial statement recognition of the benefit for a tax position is dependent upon the benefit being more likely than not to be sustainable upon audit by the applicable taxing authority. If this threshold is met, the tax benefit is then measured and recognized at the largest amount that is greater than 50% likely of being realized upon ultimate settlement. If such unrecognized tax benefits were realized and not subject to valuation allowances, we would recognize a tax benefit of $22.4 million. The following table summarizes the gross amounts of unrecognized tax benefits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8"/>
                <w:szCs w:val="18"/>
                <w:color w:val="auto"/>
              </w:rPr>
              <w:t>Additions related to prior periods tax positions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2,571</w:t>
            </w: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Reductions related to prior periods tax positions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8"/>
                <w:szCs w:val="18"/>
                <w:color w:val="auto"/>
              </w:rPr>
              <w:t>Additions related to current period tax positions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5,555</w:t>
            </w: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Reductions due to lapse of applicable statute of limitations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8"/>
                <w:szCs w:val="18"/>
                <w:color w:val="auto"/>
              </w:rPr>
              <w:t>Currency translation adjustment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policy is to recognize interest and penalties related to uncertain tax positions, if any, as a component of income tax expense. During the years ended December 31, 2018, 2017 and 2016, we recorded interest and penalties as a component of income tax expense of $0.1 million, $0.3 million and $0.3 million, respectively. Due to NOL and tax credit carry forwards that remain unutilized, U.S. federal and state income tax returns remain subject to examination for three years after utilization of that year’s NOL carryforward. The earliest year which generated an NOL included in our current NOL carryforward is 2014 for U.S. federal tax purposes. All tax years for our foreign subsidiaries are open to audit in their respective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Net Income (Loss) Per Share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basic net income (loss) per share is computed by dividing the net income (loss) by the number of weighted average common shares outstanding during the period. Our diluted net income (loss) per share is computed by dividing net income (loss) by the weighted average common shares outstanding during the period assuming potentially dilutive common shares of stock options, RSUs, PSUs and common shares issuable upon conversion of the 2018 Notes and 2020 Notes using the if-converted method. Common shares issuable upon conversion of the 2018 Notes and 2020 Notes were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excluded from the diluted net income (loss) per share computation for all periods presented as their share effect was anti-dilutive.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(loss) per share was calculated as follows for the periods indicated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45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auto"/>
            </w:tcBorders>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6220" w:type="dxa"/>
            <w:vAlign w:val="bottom"/>
            <w:gridSpan w:val="4"/>
          </w:tcPr>
          <w:p>
            <w:pPr>
              <w:ind w:left="120"/>
              <w:spacing w:after="0" w:line="182" w:lineRule="exact"/>
              <w:rPr>
                <w:sz w:val="20"/>
                <w:szCs w:val="20"/>
                <w:color w:val="auto"/>
              </w:rPr>
            </w:pPr>
            <w:r>
              <w:rPr>
                <w:rFonts w:ascii="Arial" w:cs="Arial" w:eastAsia="Arial" w:hAnsi="Arial"/>
                <w:sz w:val="18"/>
                <w:szCs w:val="18"/>
                <w:b w:val="1"/>
                <w:bCs w:val="1"/>
                <w:color w:val="auto"/>
              </w:rPr>
              <w:t>Basic Net Income (Loss) Per Share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Basic net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(313,142)</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104,222</w:t>
            </w:r>
          </w:p>
        </w:tc>
        <w:tc>
          <w:tcPr>
            <w:tcW w:w="0" w:type="dxa"/>
            <w:vAlign w:val="bottom"/>
          </w:tcPr>
          <w:p>
            <w:pPr>
              <w:spacing w:after="0"/>
              <w:rPr>
                <w:sz w:val="1"/>
                <w:szCs w:val="1"/>
                <w:color w:val="auto"/>
              </w:rPr>
            </w:pPr>
          </w:p>
        </w:tc>
      </w:tr>
      <w:tr>
        <w:trPr>
          <w:trHeight w:val="230"/>
        </w:trPr>
        <w:tc>
          <w:tcPr>
            <w:tcW w:w="6220" w:type="dxa"/>
            <w:vAlign w:val="bottom"/>
            <w:gridSpan w:val="4"/>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212,383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204,580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187,873</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4"/>
          </w:tcPr>
          <w:p>
            <w:pPr>
              <w:ind w:left="120"/>
              <w:spacing w:after="0"/>
              <w:rPr>
                <w:sz w:val="20"/>
                <w:szCs w:val="20"/>
                <w:color w:val="auto"/>
              </w:rPr>
            </w:pPr>
            <w:r>
              <w:rPr>
                <w:rFonts w:ascii="Arial" w:cs="Arial" w:eastAsia="Arial" w:hAnsi="Arial"/>
                <w:sz w:val="18"/>
                <w:szCs w:val="18"/>
                <w:color w:val="auto"/>
              </w:rPr>
              <w:t>Basic net income (loss)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220" w:type="dxa"/>
            <w:vAlign w:val="bottom"/>
            <w:gridSpan w:val="4"/>
          </w:tcPr>
          <w:p>
            <w:pPr>
              <w:ind w:left="120"/>
              <w:spacing w:after="0" w:line="189" w:lineRule="exact"/>
              <w:rPr>
                <w:sz w:val="20"/>
                <w:szCs w:val="20"/>
                <w:color w:val="auto"/>
              </w:rPr>
            </w:pPr>
            <w:r>
              <w:rPr>
                <w:rFonts w:ascii="Arial" w:cs="Arial" w:eastAsia="Arial" w:hAnsi="Arial"/>
                <w:sz w:val="18"/>
                <w:szCs w:val="18"/>
                <w:b w:val="1"/>
                <w:bCs w:val="1"/>
                <w:color w:val="auto"/>
              </w:rPr>
              <w:t>Diluted Net Income (Loss) Per Share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Diluted net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(313,142)</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104,222</w:t>
            </w:r>
          </w:p>
        </w:tc>
        <w:tc>
          <w:tcPr>
            <w:tcW w:w="0" w:type="dxa"/>
            <w:vAlign w:val="bottom"/>
          </w:tcPr>
          <w:p>
            <w:pPr>
              <w:spacing w:after="0"/>
              <w:rPr>
                <w:sz w:val="1"/>
                <w:szCs w:val="1"/>
                <w:color w:val="auto"/>
              </w:rPr>
            </w:pPr>
          </w:p>
        </w:tc>
      </w:tr>
      <w:tr>
        <w:trPr>
          <w:trHeight w:val="230"/>
        </w:trPr>
        <w:tc>
          <w:tcPr>
            <w:tcW w:w="6220" w:type="dxa"/>
            <w:vAlign w:val="bottom"/>
            <w:gridSpan w:val="4"/>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212,383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204,580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187,873</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4"/>
          </w:tcPr>
          <w:p>
            <w:pPr>
              <w:ind w:left="120"/>
              <w:spacing w:after="0"/>
              <w:rPr>
                <w:sz w:val="20"/>
                <w:szCs w:val="20"/>
                <w:color w:val="auto"/>
              </w:rPr>
            </w:pPr>
            <w:r>
              <w:rPr>
                <w:rFonts w:ascii="Arial" w:cs="Arial" w:eastAsia="Arial" w:hAnsi="Arial"/>
                <w:sz w:val="18"/>
                <w:szCs w:val="18"/>
                <w:color w:val="auto"/>
              </w:rPr>
              <w:t>Dilutive stock options and RSUs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4"/>
          </w:tcPr>
          <w:p>
            <w:pPr>
              <w:ind w:left="120"/>
              <w:spacing w:after="0"/>
              <w:rPr>
                <w:sz w:val="20"/>
                <w:szCs w:val="20"/>
                <w:color w:val="auto"/>
              </w:rPr>
            </w:pPr>
            <w:r>
              <w:rPr>
                <w:rFonts w:ascii="Arial" w:cs="Arial" w:eastAsia="Arial" w:hAnsi="Arial"/>
                <w:sz w:val="18"/>
                <w:szCs w:val="18"/>
                <w:color w:val="auto"/>
                <w:w w:val="97"/>
              </w:rPr>
              <w:t>Weighted average shares used to compute diluted net income (loss) per share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215,635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204,580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194,125</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gridSpan w:val="4"/>
          </w:tcPr>
          <w:p>
            <w:pPr>
              <w:ind w:left="120"/>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potential common shares that were excluded from the diluted net income (loss) per share computation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8,255,992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12,585,213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Common shares issuable upon conversion of the 2018 Notes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149,375</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7,245,149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issuable upon conversion of the 2020 Notes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7,241,284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80" w:type="dxa"/>
            <w:vAlign w:val="bottom"/>
          </w:tcPr>
          <w:p>
            <w:pPr>
              <w:spacing w:after="0" w:line="182" w:lineRule="exact"/>
              <w:rPr>
                <w:sz w:val="20"/>
                <w:szCs w:val="20"/>
                <w:color w:val="auto"/>
              </w:rPr>
            </w:pPr>
            <w:r>
              <w:rPr>
                <w:rFonts w:ascii="Arial" w:cs="Arial" w:eastAsia="Arial" w:hAnsi="Arial"/>
                <w:sz w:val="18"/>
                <w:szCs w:val="18"/>
                <w:color w:val="auto"/>
                <w:w w:val="98"/>
              </w:rPr>
              <w:t>Total potential common shares excluded from diluted net income</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8,624,931</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13,103,527</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17,278,857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(loss) per share computation</w:t>
            </w: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We have a defined contribution plan qualified under Section 401(k) of the Internal Revenue Code covering all U.S. employees and defined contribution plans for other Incyte employees in Europe. Employees may contribute a portion of their compensation, which is then matched by us, subject to certain limitations. Defined contribution expense was $10.5 million, $8.9 million and $6.6 million for the years ended December 31, 2018, 2017 and 2016, respectively. Included in the 2018, 2017 and 2016 defined contribution expense was $1.4 million, $1.0 million and $0.3 million, respectively, of expense related to matching contributions under the European defined contribution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pension plans assumptions reflect the expected investment return and discount rate on plan assets and disability rate probabilities. The benefit obligation at December 31, 2018 for the plans was determined using a discount</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rate of 0.75%, rate of compensation increase of 2.25% and long-term expected return on plan assets of 0.75%. The 2018 net periodic benefit cost for the plans was determined using discount rates of 0.75% to 1.00%, rates of compensation increase of 2.00% to 2.25% and long-term expected return on plan assets of 0.75%. The benefit obligation at December 31, 2017 for the plans was determined using a discount rate of 0.75%, rate of compensation increase of 2.00% and long-term expected return on plan assets of 0.75%. The 2017 net periodic benefit cost for the plans was determined using a discount rate of 0.75%, rate of compensation increase of 1.50% and long-term expected return on plan assets of 0.75%.</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information regarding changes in the obligations and plan assets, the funded status and the amounts recorded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beginning of year</w:t>
            </w:r>
          </w:p>
        </w:tc>
        <w:tc>
          <w:tcPr>
            <w:tcW w:w="10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37,584</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23,787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Employer service cost</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Plan change</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Transfer of benefits net of payments from fund</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Expenses paid from assets</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w:t>
            </w:r>
          </w:p>
        </w:tc>
        <w:tc>
          <w:tcPr>
            <w:tcW w:w="10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obligation, end of year</w:t>
            </w:r>
          </w:p>
        </w:tc>
        <w:tc>
          <w:tcPr>
            <w:tcW w:w="1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46,038</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37,584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24,191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Transfer of benefits net of payments from fund</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Expenses paid from assets</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Translation (gain) loss</w:t>
            </w:r>
          </w:p>
        </w:tc>
        <w:tc>
          <w:tcPr>
            <w:tcW w:w="1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10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30,368</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24,191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Unfunded liability, end of year</w:t>
            </w:r>
          </w:p>
        </w:tc>
        <w:tc>
          <w:tcPr>
            <w:tcW w:w="10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13,393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unfunded liability is reported in other liabilities on the consolidated balance sheet as of December 31, 2018 and 2017. The accumulated benefit obligation is $39.8 million and $33.1 million as of December 31, 2018 and 2017,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6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4,450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7"/>
        </w:trPr>
        <w:tc>
          <w:tcPr>
            <w:tcW w:w="36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4,977</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other income (expense), net on the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changes in the plans assets and the benefit obligation that is recognized in accumulated other comprehensive income (loss) were as follows, net of tax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366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8"/>
                <w:szCs w:val="18"/>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liability, beginning of year</w:t>
            </w:r>
          </w:p>
        </w:tc>
        <w:tc>
          <w:tcPr>
            <w:tcW w:w="1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8,450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Plan change</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prior service costs</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20" w:type="dxa"/>
            <w:vAlign w:val="bottom"/>
            <w:tcBorders>
              <w:bottom w:val="single" w:sz="8" w:color="CCEEFF"/>
            </w:tcBorders>
          </w:tcPr>
          <w:p>
            <w:pPr>
              <w:spacing w:after="0"/>
              <w:rPr>
                <w:sz w:val="18"/>
                <w:szCs w:val="18"/>
                <w:color w:val="auto"/>
              </w:rPr>
            </w:pPr>
          </w:p>
        </w:tc>
      </w:tr>
      <w:tr>
        <w:trPr>
          <w:trHeight w:val="217"/>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liability, end of year</w:t>
            </w:r>
          </w:p>
        </w:tc>
        <w:tc>
          <w:tcPr>
            <w:tcW w:w="1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9,146</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prior service cost for the pension plans that will be amortized from accumulated other comprehensive income (loss) into net periodic benefit cost over the next fiscal year is $0.2 million. The actuarial loss for the pension plans that will be amortized from accumulated other comprehensive income (loss) into net periodic benefit cost over the next fiscal year is $0.3 million.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contribute a total of $3.6 million to the pension plans in 2019. The following benefit payments, which reflect expected future service, as appropriate, are expected to be paid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2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2020</w:t>
            </w:r>
          </w:p>
        </w:tc>
        <w:tc>
          <w:tcPr>
            <w:tcW w:w="3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1,759</w:t>
            </w:r>
          </w:p>
        </w:tc>
        <w:tc>
          <w:tcPr>
            <w:tcW w:w="160" w:type="dxa"/>
            <w:vAlign w:val="bottom"/>
          </w:tcPr>
          <w:p>
            <w:pPr>
              <w:spacing w:after="0"/>
              <w:rPr>
                <w:sz w:val="19"/>
                <w:szCs w:val="19"/>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2022</w:t>
            </w:r>
          </w:p>
        </w:tc>
        <w:tc>
          <w:tcPr>
            <w:tcW w:w="3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2,131</w:t>
            </w:r>
          </w:p>
        </w:tc>
        <w:tc>
          <w:tcPr>
            <w:tcW w:w="160" w:type="dxa"/>
            <w:vAlign w:val="bottom"/>
          </w:tcPr>
          <w:p>
            <w:pPr>
              <w:spacing w:after="0"/>
              <w:rPr>
                <w:sz w:val="19"/>
                <w:szCs w:val="19"/>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60" w:type="dxa"/>
            <w:vAlign w:val="bottom"/>
            <w:shd w:val="clear" w:color="auto" w:fill="CCEEFF"/>
          </w:tcPr>
          <w:p>
            <w:pPr>
              <w:spacing w:after="0"/>
              <w:rPr>
                <w:sz w:val="19"/>
                <w:szCs w:val="19"/>
                <w:color w:val="auto"/>
              </w:rPr>
            </w:pPr>
          </w:p>
        </w:tc>
      </w:tr>
      <w:tr>
        <w:trPr>
          <w:trHeight w:val="230"/>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2024-2027</w:t>
            </w:r>
          </w:p>
        </w:tc>
        <w:tc>
          <w:tcPr>
            <w:tcW w:w="3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w:t>
            </w:r>
          </w:p>
        </w:tc>
        <w:tc>
          <w:tcPr>
            <w:tcW w:w="160" w:type="dxa"/>
            <w:vAlign w:val="bottom"/>
            <w:tcBorders>
              <w:bottom w:val="single" w:sz="8" w:color="CCEEFF"/>
            </w:tcBorders>
          </w:tcPr>
          <w:p>
            <w:pPr>
              <w:spacing w:after="0"/>
              <w:rPr>
                <w:sz w:val="19"/>
                <w:szCs w:val="19"/>
                <w:color w:val="auto"/>
              </w:rPr>
            </w:pPr>
          </w:p>
        </w:tc>
      </w:tr>
      <w:tr>
        <w:trPr>
          <w:trHeight w:val="217"/>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21,320</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Rent expense for all leases for the years ended December 31, 2018, 2017 and 2016, was approximately $9.4 million, $8.2 million and $5.4 million, respectively.</w:t>
      </w:r>
    </w:p>
    <w:p>
      <w:pPr>
        <w:spacing w:after="0" w:line="170"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Future non</w:t>
      </w:r>
      <w:r>
        <w:rPr>
          <w:rFonts w:ascii="MS PGothic" w:cs="MS PGothic" w:eastAsia="MS PGothic" w:hAnsi="MS PGothic"/>
          <w:sz w:val="18"/>
          <w:szCs w:val="18"/>
          <w:color w:val="auto"/>
        </w:rPr>
        <w:t>‑</w:t>
      </w:r>
      <w:r>
        <w:rPr>
          <w:rFonts w:ascii="Arial" w:cs="Arial" w:eastAsia="Arial" w:hAnsi="Arial"/>
          <w:sz w:val="18"/>
          <w:szCs w:val="18"/>
          <w:color w:val="auto"/>
        </w:rPr>
        <w:t>cancelable minimum payments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 Leases</w:t>
            </w: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Financing Lease</w:t>
            </w:r>
            <w:r>
              <w:rPr>
                <w:rFonts w:ascii="Arial" w:cs="Arial" w:eastAsia="Arial" w:hAnsi="Arial"/>
                <w:sz w:val="14"/>
                <w:szCs w:val="14"/>
                <w:b w:val="1"/>
                <w:bCs w:val="1"/>
                <w:color w:val="auto"/>
                <w:vertAlign w:val="superscript"/>
              </w:rPr>
              <w:t>1</w:t>
            </w: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2,793</w:t>
            </w: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35,850</w:t>
            </w:r>
          </w:p>
        </w:tc>
        <w:tc>
          <w:tcPr>
            <w:tcW w:w="60" w:type="dxa"/>
            <w:vAlign w:val="bottom"/>
          </w:tcPr>
          <w:p>
            <w:pPr>
              <w:spacing w:after="0"/>
              <w:rPr>
                <w:sz w:val="18"/>
                <w:szCs w:val="18"/>
                <w:color w:val="auto"/>
              </w:rPr>
            </w:pPr>
          </w:p>
        </w:tc>
      </w:tr>
      <w:tr>
        <w:trPr>
          <w:trHeight w:val="217"/>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94" w:lineRule="exact"/>
        <w:rPr>
          <w:sz w:val="20"/>
          <w:szCs w:val="20"/>
          <w:color w:val="auto"/>
        </w:rPr>
      </w:pPr>
    </w:p>
    <w:p>
      <w:pPr>
        <w:ind w:firstLine="3"/>
        <w:spacing w:after="0" w:line="277" w:lineRule="auto"/>
        <w:tabs>
          <w:tab w:leader="none" w:pos="119" w:val="left"/>
        </w:tabs>
        <w:numPr>
          <w:ilvl w:val="0"/>
          <w:numId w:val="36"/>
        </w:numPr>
        <w:rPr>
          <w:rFonts w:ascii="Arial" w:cs="Arial" w:eastAsia="Arial" w:hAnsi="Arial"/>
          <w:sz w:val="9"/>
          <w:szCs w:val="9"/>
          <w:color w:val="auto"/>
        </w:rPr>
      </w:pPr>
      <w:r>
        <w:rPr>
          <w:rFonts w:ascii="Arial" w:cs="Arial" w:eastAsia="Arial" w:hAnsi="Arial"/>
          <w:sz w:val="18"/>
          <w:szCs w:val="18"/>
          <w:color w:val="auto"/>
        </w:rPr>
        <w:t>Represents the future minimum lease payments relating to leases where we are deemed, for accounting purposes, to be the owner of the building (see Note 1 of the Notes to the Consolidated Financial Statements).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approximately 112,000 square feet of office space in Chadds Ford, Pennsylvania, approximately 100,000 square feet of laboratory and office space in Wilmington, Delaware and approximately 63,000 square feet of office space in Europe and Japan.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Once construction is complete,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future rental payments over the 15 year term are approximately $41.9 million, which excludes the remaining build-out costs to be paid by us.</w:t>
      </w:r>
    </w:p>
    <w:p>
      <w:pPr>
        <w:spacing w:after="0" w:line="170"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187"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color w:val="auto"/>
        </w:rPr>
        <w:t>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We are cooperating with this inquiry. Given that the investigation is still ongoing and that we have not yet been made aware of the substance of any civil claims, we cannot predict the outcome of the investigation, the timing of the ultimate resolution of this matter, or reasonably estimate the possible range of loss, if any, that may result from this matter. Accordingly, no reserve has been made with respect to this matter in the 2018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2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currently operate in one operating business segment focused on the discovery, development and commercialization of proprietary therapeutics. Our chief operating decision-maker manages the operations of our company as a single operating segment. We do not operate in any material separate lines of business or separate business entities with respect to our products or product development.</w:t>
      </w:r>
    </w:p>
    <w:p>
      <w:pPr>
        <w:spacing w:after="0" w:line="187" w:lineRule="exact"/>
        <w:rPr>
          <w:sz w:val="20"/>
          <w:szCs w:val="20"/>
          <w:color w:val="auto"/>
        </w:rPr>
      </w:pPr>
    </w:p>
    <w:p>
      <w:pPr>
        <w:jc w:val="both"/>
        <w:ind w:right="220" w:firstLine="648"/>
        <w:spacing w:after="0" w:line="271" w:lineRule="auto"/>
        <w:rPr>
          <w:sz w:val="20"/>
          <w:szCs w:val="20"/>
          <w:color w:val="auto"/>
        </w:rPr>
      </w:pPr>
      <w:r>
        <w:rPr>
          <w:rFonts w:ascii="Arial" w:cs="Arial" w:eastAsia="Arial" w:hAnsi="Arial"/>
          <w:sz w:val="17"/>
          <w:szCs w:val="17"/>
          <w:color w:val="auto"/>
        </w:rPr>
        <w:t>During the year ended December 31, 2018, total revenues generated by subsidiaries in the United States was $1.8 billion and total revenues generated from subsidiaries in Europe was $79.9 million. During the year ended December 31, 2017, total revenues generated by subsidiaries in the United States was $1.5 billion and total revenues generated from subsidiaries in Europe was $66.9 million. During the year ended December 31, 2016, total revenues generated by subsidiaries in the United States was $1.1 billion and total revenues generated from subsidiaries in Europe was $29.6 million. As of December 31, 2018, property and equipment, net was approximately $252.5 million in the United States and approximately $67.3 million in Europe. As of December 31, 2017, property and equipment, net was approximately $252.4 million in the United States and approximately $7.4 million in Europe.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Interim Consolidated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8"/>
              </w:rPr>
              <w:t>Fiscal 2018 Quarter Ended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8"/>
                <w:szCs w:val="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521,516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449,683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528,402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(41,140)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52,394</w:t>
            </w:r>
          </w:p>
        </w:tc>
        <w:tc>
          <w:tcPr>
            <w:tcW w:w="42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69,063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used in computation of basic net income (loss) per</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213,013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w w:val="91"/>
              </w:rPr>
              <w:t>Shares used in computation of diluted net income (loss) per</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share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211,681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215,103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215,964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216,042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4340" w:type="dxa"/>
            <w:vAlign w:val="bottom"/>
          </w:tcPr>
          <w:p>
            <w:pPr>
              <w:spacing w:after="0"/>
              <w:rPr>
                <w:sz w:val="24"/>
                <w:szCs w:val="24"/>
                <w:color w:val="auto"/>
              </w:rPr>
            </w:pP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w w:val="99"/>
              </w:rPr>
              <w:t>120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420" w:top="125" w:right="119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w w:val="98"/>
              </w:rPr>
              <w:t>Fiscal 2017 Quarter Ended</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8"/>
                <w:szCs w:val="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326,444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381,534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(187,083)</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(12,484)</w:t>
            </w:r>
          </w:p>
        </w:tc>
        <w:tc>
          <w:tcPr>
            <w:tcW w:w="4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36,054</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(149,629)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Shares used in computation of basic net income (loss) per</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206,796</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211,125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w w:val="93"/>
              </w:rPr>
              <w:t>Shares used in computation of diluted net income (loss) per</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195,260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205,141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212,610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211,125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jc w:val="both"/>
        <w:ind w:left="320" w:right="140" w:hanging="317"/>
        <w:spacing w:after="0" w:line="271" w:lineRule="auto"/>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quarters ended March 31, 2018, June 30, 2018, September 30, 2018 and December 31, 2018 include $334.5 million, $365.5 million, $367.7 million, and $399.2 million, respectively, of product revenues, net, relating to JAKAFI and ICLUSIG. The quarters ended March 31, 2018, June 30, 2018, September 30, 2018 and December 31, 2018 include $47.7 million, $56.0 million, $61.9 million and $69.2 million, respectively, of product royalty revenues related to the sale of JAKAVI and OLUMIANT outside the United States. In November 2009 and December 2009, we entered into collaborative research and license agreements with Novartis and Lilly, respectively. The quarters ended March 31, 2018, June 30, 2018, September 30, 2018 and December 31, 2018 include $0.0 million, $100.0 million, $20.0 million and $60.0 million, respectively, of milestone and contract revenues relating to these agreements.</w:t>
      </w:r>
    </w:p>
    <w:p>
      <w:pPr>
        <w:spacing w:after="0" w:line="178" w:lineRule="exact"/>
        <w:rPr>
          <w:rFonts w:ascii="Arial" w:cs="Arial" w:eastAsia="Arial" w:hAnsi="Arial"/>
          <w:sz w:val="17"/>
          <w:szCs w:val="17"/>
          <w:color w:val="auto"/>
        </w:rPr>
      </w:pPr>
    </w:p>
    <w:p>
      <w:pPr>
        <w:jc w:val="both"/>
        <w:ind w:left="320" w:right="140" w:hanging="317"/>
        <w:spacing w:after="0" w:line="271" w:lineRule="auto"/>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quarters ended March 31, 2017, June 30, 2017, September 30, 2017 and December 31, 2017 include $264.8 million, $291.7 million, $322.0 million, and $321.8 million, respectively, of product revenues, net, relating to JAKAFI and ICLUSIG. The quarters ended March 31, 2017, June 30, 2017, September 30, 2017 and December 31, 2017 include $29.2 million, $34.8 million, $44.5 million and $52.3 million, respectively, of product royalty revenues related to the sale of JAKAVI and OLUMIANT outside the United States. In November 2009 and December 2009, we entered into collaborative research and license agreements with Novartis and Lilly, respectively. The quarters ended March 31, 2017, June 30, 2017, September 30, 2017 and December 31, 2017 include $90.0 million, $0.0 million, $15.0 million and $70.0 million, respectively, of milestone and contract revenues relating to these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right="140" w:firstLine="648"/>
        <w:spacing w:after="0" w:line="217" w:lineRule="exact"/>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We maintain “disclosure controls and procedures,” as such term</w:t>
      </w:r>
      <w:r>
        <w:rPr>
          <w:rFonts w:ascii="Arial" w:cs="Arial" w:eastAsia="Arial" w:hAnsi="Arial"/>
          <w:sz w:val="16"/>
          <w:szCs w:val="16"/>
          <w:i w:val="1"/>
          <w:iCs w:val="1"/>
          <w:color w:val="auto"/>
        </w:rPr>
        <w:t xml:space="preserve"> </w:t>
      </w:r>
      <w:r>
        <w:rPr>
          <w:rFonts w:ascii="Arial" w:cs="Arial" w:eastAsia="Arial" w:hAnsi="Arial"/>
          <w:sz w:val="16"/>
          <w:szCs w:val="16"/>
          <w:color w:val="auto"/>
        </w:rPr>
        <w:t>is defined in Rule 13a</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w:t>
      </w:r>
      <w:r>
        <w:rPr>
          <w:rFonts w:ascii="MS PGothic" w:cs="MS PGothic" w:eastAsia="MS PGothic" w:hAnsi="MS PGothic"/>
          <w:sz w:val="16"/>
          <w:szCs w:val="16"/>
          <w:color w:val="auto"/>
        </w:rPr>
        <w:t>‑</w:t>
      </w:r>
      <w:r>
        <w:rPr>
          <w:rFonts w:ascii="Arial" w:cs="Arial" w:eastAsia="Arial" w:hAnsi="Arial"/>
          <w:sz w:val="16"/>
          <w:szCs w:val="16"/>
          <w:color w:val="auto"/>
        </w:rPr>
        <w: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00"/>
          </w:cols>
          <w:pgMar w:left="1420" w:top="125" w:right="127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Based on their evaluation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our Chief Executive Officer and Chief Financial Officer concluded that, as of such date, our disclosure controls and procedures were effective at the reasonable assurance level.</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There were no change in our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(as defined in Rules 13a-15(f) and 15d-15(f) under the Exchange Act) for the quarter ended December 31, 2018, that materially affected or are reasonably likely to materially affect our internal control over financial reporting.</w:t>
      </w:r>
    </w:p>
    <w:p>
      <w:pPr>
        <w:spacing w:after="0" w:line="166"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Our management is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establishing and maintaining adequate internal control over financial reporting, as such term is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 xml:space="preserve">15(f). Because of its inherent limitations, internal control over financial reporting may not prevent or detect misstatements. Projections of any evaluation of the effectiveness to future periods are subject to the risk that controls may become inadequate because of changes in conditions, or that the degree of compliance with the policies or procedures may deteriorate. Our management, with the participation of our Chief Executive Officer and Chief Financial Officer, conducted an evaluation of the effectiveness of our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(2013</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framework).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concluded that our internal control over financial reporting was effective as of December 31, 2018. The effectiveness of our internal control over financial reporting as of December 31, 2018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280" w:firstLine="2278"/>
        <w:spacing w:after="0" w:line="489"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Incyte Corporation</w:t>
      </w: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Incyte Corporation’s internal control over financial reporting as of December 31, 2018, based on criteria established in Internal Control—Integrated Framework issued by the Committee of Sponsoring Organizations of the Treadway Commission (2013 framework) (the COSO criteria). In our opinion, Incyte Corporation (the Company) maintained, in all material respects, effective internal control over financial reporting as of December 31, 2018, based on the COSO criteria.</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Incyte Corporation as of December 31, 2018 and 2017, the related consolidated statements of operations, comprehensive income (loss), stockholders’ equity and cash flows for each of the three years in the period ended December 31, 2018, and the related notes and our report dated February 14, 2019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information required by this item (with respect to Directors) is incorporated by reference from the information under the caption “Election of Directors” contained in our Proxy Statement to be filed with the Securities and Exchange Commission in connection with the solicitation of proxies for our 2019 Annual Meeting of Stockholders to be held on April 26, 2019 (the “Proxy Statement”). Certain information required by this item concerning executive officers is set forth in Part I of this Report under the caption “Executive Officers of the Registrant” and is incorporated herein by reference.</w:t>
      </w:r>
    </w:p>
    <w:p>
      <w:pPr>
        <w:spacing w:after="0" w:line="158"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color w:val="auto"/>
        </w:rPr>
        <w:t>Item 405 of Regulation S</w:t>
      </w:r>
      <w:r>
        <w:rPr>
          <w:rFonts w:ascii="MS PGothic" w:cs="MS PGothic" w:eastAsia="MS PGothic" w:hAnsi="MS PGothic"/>
          <w:sz w:val="17"/>
          <w:szCs w:val="17"/>
          <w:color w:val="auto"/>
        </w:rPr>
        <w:t>‑</w:t>
      </w:r>
      <w:r>
        <w:rPr>
          <w:rFonts w:ascii="Arial" w:cs="Arial" w:eastAsia="Arial" w:hAnsi="Arial"/>
          <w:sz w:val="17"/>
          <w:szCs w:val="17"/>
          <w:color w:val="auto"/>
        </w:rPr>
        <w:t>K calls for disclosure of any known late filing or failure by an insider to file a report required by Section 16(a) of the Exchange Act. This disclosure is contained in the section entitled “Section 16(a) Beneficial Ownership Reporting Compliance” in the Proxy Statement and is incorporated herein by reference.</w:t>
      </w:r>
    </w:p>
    <w:p>
      <w:pPr>
        <w:spacing w:after="0" w:line="202"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We have adopted a Code of Business Conduct and Ethics that applies to all of our officers and employees, including our Chief Executive Officer, Chief Financial Officer, Corporate Controller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Chief Executive Officer, Chief Financial Officer, Corporate Controller, and others providing similar functions. Stockholders may request a free copy of our Code of Business Conduct and Ethics and our Senior Financial Officers’ Code of Ethics by contacting Incyte Corporation, Attention: Investor Relations, 1801 Augustine Cut</w:t>
      </w:r>
      <w:r>
        <w:rPr>
          <w:rFonts w:ascii="MS PGothic" w:cs="MS PGothic" w:eastAsia="MS PGothic" w:hAnsi="MS PGothic"/>
          <w:sz w:val="16"/>
          <w:szCs w:val="16"/>
          <w:color w:val="auto"/>
        </w:rPr>
        <w:t>‑</w:t>
      </w:r>
      <w:r>
        <w:rPr>
          <w:rFonts w:ascii="Arial" w:cs="Arial" w:eastAsia="Arial" w:hAnsi="Arial"/>
          <w:sz w:val="16"/>
          <w:szCs w:val="16"/>
          <w:color w:val="auto"/>
        </w:rPr>
        <w:t>Off, Wilmington, DE 19803.</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any waivers, if and when granted, of our Code of Business Conduct and Ethics or Senior Financial Officers’ Code of Ethics on our website at </w:t>
      </w:r>
      <w:r>
        <w:rPr>
          <w:rFonts w:ascii="Arial" w:cs="Arial" w:eastAsia="Arial" w:hAnsi="Arial"/>
          <w:sz w:val="18"/>
          <w:szCs w:val="18"/>
          <w:i w:val="1"/>
          <w:iCs w:val="1"/>
          <w:color w:val="auto"/>
        </w:rPr>
        <w:t>http://www.incyte.com</w:t>
      </w:r>
      <w:r>
        <w:rPr>
          <w:rFonts w:ascii="Arial" w:cs="Arial" w:eastAsia="Arial" w:hAnsi="Arial"/>
          <w:sz w:val="18"/>
          <w:szCs w:val="18"/>
          <w:color w:val="auto"/>
        </w:rPr>
        <w:t xml:space="preserve"> within four business days following the date of such amendment or waiver.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has appointed an Audit Committee of three directors, currently comprised of Mr. Paul J. Clancy, as Chairman, Mr. Paul A. Brooke, and Ms. Wendy Dixon. The Board of Directors has also determined that Mr. Clancy and Mr. Brooke are each qualified as an Audit Committee Financial Expert under the definition outlined by the Securities and Exchange Commission. In addition, each of the members of the Audit Committee qualifies as an “independent director” under the applicable standards of The Nasdaq Stock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“Compensation of Directors” and “Executive Compensation” contained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“Security Ownership of Certain Beneficial Owners and Management” and “Equity Compensation Plan Information” contained in the Proxy Statement.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“Corporate Governance—Certain Relationships and Related Transactions” and “Corporate Governance—Director Independence” contained in the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“Ratification of Independent Registered Public Accounting Firm—Principal Accountant Fees and Services” contained in the Proxy Statement.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ind w:left="700" w:hanging="697"/>
        <w:spacing w:after="0"/>
        <w:tabs>
          <w:tab w:leader="none" w:pos="7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229" w:lineRule="exact"/>
        <w:rPr>
          <w:rFonts w:ascii="Arial" w:cs="Arial" w:eastAsia="Arial" w:hAnsi="Arial"/>
          <w:sz w:val="18"/>
          <w:szCs w:val="18"/>
          <w:b w:val="1"/>
          <w:bCs w:val="1"/>
          <w:color w:val="auto"/>
        </w:rPr>
      </w:pPr>
    </w:p>
    <w:p>
      <w:pPr>
        <w:ind w:left="1300" w:hanging="649"/>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Reference is made to the Index to Consolidated Financial Statements of Incyte Corporation under Item 8 of Part II hereof.</w:t>
      </w:r>
    </w:p>
    <w:p>
      <w:pPr>
        <w:spacing w:after="0" w:line="170" w:lineRule="exact"/>
        <w:rPr>
          <w:rFonts w:ascii="Arial" w:cs="Arial" w:eastAsia="Arial" w:hAnsi="Arial"/>
          <w:sz w:val="18"/>
          <w:szCs w:val="18"/>
          <w:color w:val="auto"/>
        </w:rPr>
      </w:pPr>
    </w:p>
    <w:p>
      <w:pPr>
        <w:ind w:left="1300" w:hanging="649"/>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because they are not applicable or not required or because the information is included elsewhere in the Consolidated Financial Statements or the Notes thereto.</w:t>
      </w:r>
    </w:p>
    <w:p>
      <w:pPr>
        <w:spacing w:after="0" w:line="181" w:lineRule="exact"/>
        <w:rPr>
          <w:rFonts w:ascii="Arial" w:cs="Arial" w:eastAsia="Arial" w:hAnsi="Arial"/>
          <w:sz w:val="18"/>
          <w:szCs w:val="18"/>
          <w:color w:val="auto"/>
        </w:rPr>
      </w:pPr>
    </w:p>
    <w:p>
      <w:pPr>
        <w:ind w:left="1300" w:hanging="649"/>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See Item 15(b) below. Each management contract or compensatory plan or arrangement required to be filed has been identified.</w:t>
      </w:r>
    </w:p>
    <w:p>
      <w:pPr>
        <w:spacing w:after="0" w:line="166" w:lineRule="exact"/>
        <w:rPr>
          <w:rFonts w:ascii="Arial" w:cs="Arial" w:eastAsia="Arial" w:hAnsi="Arial"/>
          <w:sz w:val="18"/>
          <w:szCs w:val="18"/>
          <w:color w:val="auto"/>
        </w:rPr>
      </w:pPr>
    </w:p>
    <w:p>
      <w:pPr>
        <w:ind w:left="700" w:hanging="697"/>
        <w:spacing w:after="0"/>
        <w:tabs>
          <w:tab w:leader="none" w:pos="7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300" w:type="dxa"/>
            <w:vAlign w:val="bottom"/>
            <w:gridSpan w:val="10"/>
            <w:vMerge w:val="restart"/>
          </w:tcPr>
          <w:p>
            <w:pPr>
              <w:ind w:left="15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30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Pr>
          <w:p>
            <w:pPr>
              <w:ind w:left="220"/>
              <w:spacing w:after="0" w:line="170" w:lineRule="exact"/>
              <w:rPr>
                <w:sz w:val="20"/>
                <w:szCs w:val="20"/>
                <w:color w:val="auto"/>
              </w:rPr>
            </w:pPr>
            <w:r>
              <w:rPr>
                <w:rFonts w:ascii="Arial" w:cs="Arial" w:eastAsia="Arial" w:hAnsi="Arial"/>
                <w:sz w:val="18"/>
                <w:szCs w:val="18"/>
                <w:color w:val="auto"/>
              </w:rPr>
              <w:t>3(i)</w:t>
            </w:r>
          </w:p>
        </w:tc>
        <w:tc>
          <w:tcPr>
            <w:tcW w:w="7700" w:type="dxa"/>
            <w:vAlign w:val="bottom"/>
            <w:tcBorders>
              <w:bottom w:val="single" w:sz="8" w:color="0000EE"/>
            </w:tcBorders>
            <w:gridSpan w:val="10"/>
          </w:tcPr>
          <w:p>
            <w:pPr>
              <w:spacing w:after="0" w:line="170"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Integrated copy of the Restated Certificate of Incorporation, as amended, of the Company (incorporated by</w:t>
              </w:r>
            </w:hyperlink>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reference to Exhibit 3(i) to the Company’s Annual Report on Form 10-K for the year ended December 31,</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1">
              <w:r>
                <w:rPr>
                  <w:rFonts w:ascii="Arial" w:cs="Arial" w:eastAsia="Arial" w:hAnsi="Arial"/>
                  <w:sz w:val="18"/>
                  <w:szCs w:val="18"/>
                  <w:color w:val="0000EE"/>
                  <w:w w:val="86"/>
                </w:rPr>
                <w:t>2009).</w:t>
              </w:r>
            </w:hyperlink>
          </w:p>
        </w:tc>
        <w:tc>
          <w:tcPr>
            <w:tcW w:w="1080" w:type="dxa"/>
            <w:vAlign w:val="bottom"/>
            <w:tcBorders>
              <w:top w:val="single" w:sz="8" w:color="0000EE"/>
            </w:tcBorders>
          </w:tcPr>
          <w:p>
            <w:pPr>
              <w:spacing w:after="0"/>
              <w:rPr>
                <w:sz w:val="17"/>
                <w:szCs w:val="17"/>
                <w:color w:val="auto"/>
              </w:rPr>
            </w:pPr>
          </w:p>
        </w:tc>
        <w:tc>
          <w:tcPr>
            <w:tcW w:w="36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220"/>
              <w:spacing w:after="0" w:line="196" w:lineRule="exact"/>
              <w:rPr>
                <w:sz w:val="20"/>
                <w:szCs w:val="20"/>
                <w:color w:val="auto"/>
              </w:rPr>
            </w:pPr>
            <w:r>
              <w:rPr>
                <w:rFonts w:ascii="Arial" w:cs="Arial" w:eastAsia="Arial" w:hAnsi="Arial"/>
                <w:sz w:val="18"/>
                <w:szCs w:val="18"/>
                <w:color w:val="auto"/>
              </w:rPr>
              <w:t>3(ii)</w:t>
            </w:r>
          </w:p>
        </w:tc>
        <w:tc>
          <w:tcPr>
            <w:tcW w:w="7840" w:type="dxa"/>
            <w:vAlign w:val="bottom"/>
            <w:gridSpan w:val="12"/>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Bylaws of the Company, as amended as of November 15, 2017 (incorporated by reference to Exhibit 3.1 to</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the Company’s Current Report on Form 8-K filed November 17, 2017).</w:t>
              </w:r>
            </w:hyperlink>
          </w:p>
        </w:tc>
        <w:tc>
          <w:tcPr>
            <w:tcW w:w="2540" w:type="dxa"/>
            <w:vAlign w:val="bottom"/>
            <w:tcBorders>
              <w:top w:val="single" w:sz="8" w:color="0000EE"/>
            </w:tcBorders>
            <w:gridSpan w:val="7"/>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220"/>
              <w:spacing w:after="0" w:line="196" w:lineRule="exact"/>
              <w:rPr>
                <w:sz w:val="20"/>
                <w:szCs w:val="20"/>
                <w:color w:val="auto"/>
              </w:rPr>
            </w:pPr>
            <w:r>
              <w:rPr>
                <w:rFonts w:ascii="Arial" w:cs="Arial" w:eastAsia="Arial" w:hAnsi="Arial"/>
                <w:sz w:val="18"/>
                <w:szCs w:val="18"/>
                <w:color w:val="auto"/>
              </w:rPr>
              <w:t>4.1</w:t>
            </w:r>
          </w:p>
        </w:tc>
        <w:tc>
          <w:tcPr>
            <w:tcW w:w="7840" w:type="dxa"/>
            <w:vAlign w:val="bottom"/>
            <w:gridSpan w:val="12"/>
          </w:tcPr>
          <w:p>
            <w:pPr>
              <w:spacing w:after="0" w:line="196" w:lineRule="exact"/>
              <w:rPr>
                <w:rFonts w:ascii="Arial" w:cs="Arial" w:eastAsia="Arial" w:hAnsi="Arial"/>
                <w:sz w:val="18"/>
                <w:szCs w:val="18"/>
                <w:color w:val="0000EE"/>
                <w:w w:val="96"/>
              </w:rPr>
            </w:pPr>
            <w:hyperlink r:id="rId133">
              <w:r>
                <w:rPr>
                  <w:rFonts w:ascii="Arial" w:cs="Arial" w:eastAsia="Arial" w:hAnsi="Arial"/>
                  <w:sz w:val="18"/>
                  <w:szCs w:val="18"/>
                  <w:color w:val="0000EE"/>
                  <w:w w:val="96"/>
                </w:rPr>
                <w:t>Form of Common Stock Certificate (incorporated by reference to the exhibit of the same number to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Company’s Annual Report on Form 10-K for the year ended December 31, 2002).</w:t>
              </w:r>
            </w:hyperlink>
          </w:p>
        </w:tc>
        <w:tc>
          <w:tcPr>
            <w:tcW w:w="1500" w:type="dxa"/>
            <w:vAlign w:val="bottom"/>
            <w:tcBorders>
              <w:top w:val="single" w:sz="8" w:color="0000EE"/>
            </w:tcBorders>
            <w:gridSpan w:val="3"/>
          </w:tcPr>
          <w:p>
            <w:pPr>
              <w:spacing w:after="0"/>
              <w:rPr>
                <w:sz w:val="17"/>
                <w:szCs w:val="17"/>
                <w:color w:val="auto"/>
              </w:rPr>
            </w:pPr>
          </w:p>
        </w:tc>
        <w:tc>
          <w:tcPr>
            <w:tcW w:w="4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220"/>
              <w:spacing w:after="0" w:line="196" w:lineRule="exact"/>
              <w:rPr>
                <w:sz w:val="20"/>
                <w:szCs w:val="20"/>
                <w:color w:val="auto"/>
              </w:rPr>
            </w:pPr>
            <w:r>
              <w:rPr>
                <w:rFonts w:ascii="Arial" w:cs="Arial" w:eastAsia="Arial" w:hAnsi="Arial"/>
                <w:sz w:val="18"/>
                <w:szCs w:val="18"/>
                <w:color w:val="auto"/>
              </w:rPr>
              <w:t>4.2</w:t>
            </w:r>
          </w:p>
        </w:tc>
        <w:tc>
          <w:tcPr>
            <w:tcW w:w="7840" w:type="dxa"/>
            <w:vAlign w:val="bottom"/>
            <w:gridSpan w:val="12"/>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Indenture, dated as of November 14, 2013, between the Company and U.S. Bank National Association, as</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620" w:type="dxa"/>
            <w:vAlign w:val="bottom"/>
            <w:tcBorders>
              <w:top w:val="single" w:sz="8" w:color="0000EE"/>
            </w:tcBorders>
            <w:gridSpan w:val="8"/>
          </w:tcPr>
          <w:p>
            <w:pPr>
              <w:spacing w:after="0" w:line="196" w:lineRule="exact"/>
              <w:rPr>
                <w:rFonts w:ascii="Arial" w:cs="Arial" w:eastAsia="Arial" w:hAnsi="Arial"/>
                <w:sz w:val="18"/>
                <w:szCs w:val="18"/>
                <w:color w:val="0000EE"/>
                <w:w w:val="95"/>
              </w:rPr>
            </w:pPr>
            <w:hyperlink r:id="rId134">
              <w:r>
                <w:rPr>
                  <w:rFonts w:ascii="Arial" w:cs="Arial" w:eastAsia="Arial" w:hAnsi="Arial"/>
                  <w:sz w:val="18"/>
                  <w:szCs w:val="18"/>
                  <w:color w:val="0000EE"/>
                  <w:w w:val="95"/>
                </w:rPr>
                <w:t>trustee (incorporated by reference to Exhibit 4.1 to the Company’s Current Report on Form 8-K filed</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November 14, 2013).</w:t>
              </w:r>
            </w:hyperlink>
          </w:p>
        </w:tc>
        <w:tc>
          <w:tcPr>
            <w:tcW w:w="5720" w:type="dxa"/>
            <w:vAlign w:val="bottom"/>
            <w:tcBorders>
              <w:top w:val="single" w:sz="8" w:color="0000EE"/>
            </w:tcBorders>
            <w:gridSpan w:val="4"/>
          </w:tcPr>
          <w:p>
            <w:pPr>
              <w:spacing w:after="0"/>
              <w:rPr>
                <w:sz w:val="17"/>
                <w:szCs w:val="17"/>
                <w:color w:val="auto"/>
              </w:rPr>
            </w:pPr>
          </w:p>
        </w:tc>
        <w:tc>
          <w:tcPr>
            <w:tcW w:w="5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220"/>
              <w:spacing w:after="0" w:line="196" w:lineRule="exact"/>
              <w:rPr>
                <w:sz w:val="20"/>
                <w:szCs w:val="20"/>
                <w:color w:val="auto"/>
              </w:rPr>
            </w:pPr>
            <w:r>
              <w:rPr>
                <w:rFonts w:ascii="Arial" w:cs="Arial" w:eastAsia="Arial" w:hAnsi="Arial"/>
                <w:sz w:val="18"/>
                <w:szCs w:val="18"/>
                <w:color w:val="auto"/>
              </w:rPr>
              <w:t>4.3</w:t>
            </w:r>
          </w:p>
        </w:tc>
        <w:tc>
          <w:tcPr>
            <w:tcW w:w="7840" w:type="dxa"/>
            <w:vAlign w:val="bottom"/>
            <w:gridSpan w:val="12"/>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Indenture, dated as of November 14, 2013, between the Company and U.S. Bank National Association, as</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620" w:type="dxa"/>
            <w:vAlign w:val="bottom"/>
            <w:tcBorders>
              <w:top w:val="single" w:sz="8" w:color="0000EE"/>
            </w:tcBorders>
            <w:gridSpan w:val="8"/>
          </w:tcPr>
          <w:p>
            <w:pPr>
              <w:spacing w:after="0" w:line="196"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trustee (incorporated by reference to Exhibit 4.2 to the Company’s Current Report on Form 8-K filed</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November 14, 2013).</w:t>
              </w:r>
            </w:hyperlink>
          </w:p>
        </w:tc>
        <w:tc>
          <w:tcPr>
            <w:tcW w:w="5720" w:type="dxa"/>
            <w:vAlign w:val="bottom"/>
            <w:tcBorders>
              <w:top w:val="single" w:sz="8" w:color="0000EE"/>
            </w:tcBorders>
            <w:gridSpan w:val="4"/>
          </w:tcPr>
          <w:p>
            <w:pPr>
              <w:spacing w:after="0"/>
              <w:rPr>
                <w:sz w:val="17"/>
                <w:szCs w:val="17"/>
                <w:color w:val="auto"/>
              </w:rPr>
            </w:pPr>
          </w:p>
        </w:tc>
        <w:tc>
          <w:tcPr>
            <w:tcW w:w="5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w:t>
            </w:r>
          </w:p>
        </w:tc>
        <w:tc>
          <w:tcPr>
            <w:tcW w:w="7840" w:type="dxa"/>
            <w:vAlign w:val="bottom"/>
            <w:gridSpan w:val="12"/>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1993 Directors’ Stock Option Plan of Incyte Corporation, as amended (incorporated by reference to Exhibit</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7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Company’s Quarterly Report on Form 10-Q for the quarter ended June 30, 2009).</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20" w:type="dxa"/>
            <w:vAlign w:val="bottom"/>
          </w:tcPr>
          <w:p>
            <w:pPr>
              <w:spacing w:after="0"/>
              <w:rPr>
                <w:sz w:val="24"/>
                <w:szCs w:val="24"/>
                <w:color w:val="auto"/>
              </w:rPr>
            </w:pPr>
          </w:p>
        </w:tc>
        <w:tc>
          <w:tcPr>
            <w:tcW w:w="5160" w:type="dxa"/>
            <w:vAlign w:val="bottom"/>
            <w:tcBorders>
              <w:top w:val="single" w:sz="8" w:color="0000EE"/>
            </w:tcBorders>
            <w:gridSpan w:val="3"/>
          </w:tcPr>
          <w:p>
            <w:pPr>
              <w:ind w:left="3180"/>
              <w:spacing w:after="0"/>
              <w:rPr>
                <w:sz w:val="20"/>
                <w:szCs w:val="20"/>
                <w:color w:val="auto"/>
              </w:rPr>
            </w:pPr>
            <w:r>
              <w:rPr>
                <w:rFonts w:ascii="Arial" w:cs="Arial" w:eastAsia="Arial" w:hAnsi="Arial"/>
                <w:sz w:val="18"/>
                <w:szCs w:val="18"/>
                <w:color w:val="auto"/>
              </w:rPr>
              <w:t>125</w:t>
            </w:r>
          </w:p>
        </w:tc>
        <w:tc>
          <w:tcPr>
            <w:tcW w:w="7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60" w:type="dxa"/>
            <w:vAlign w:val="bottom"/>
            <w:gridSpan w:val="27"/>
            <w:vMerge w:val="restart"/>
          </w:tcPr>
          <w:p>
            <w:pPr>
              <w:ind w:left="11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860" w:type="dxa"/>
            <w:vAlign w:val="bottom"/>
            <w:tcBorders>
              <w:bottom w:val="single" w:sz="8" w:color="auto"/>
            </w:tcBorders>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Pr>
          <w:p>
            <w:pPr>
              <w:ind w:left="80"/>
              <w:spacing w:after="0" w:line="170" w:lineRule="exact"/>
              <w:rPr>
                <w:sz w:val="20"/>
                <w:szCs w:val="20"/>
                <w:color w:val="auto"/>
              </w:rPr>
            </w:pPr>
            <w:r>
              <w:rPr>
                <w:rFonts w:ascii="Arial" w:cs="Arial" w:eastAsia="Arial" w:hAnsi="Arial"/>
                <w:sz w:val="18"/>
                <w:szCs w:val="18"/>
                <w:color w:val="auto"/>
              </w:rPr>
              <w:t>10.2#</w:t>
            </w:r>
          </w:p>
        </w:tc>
        <w:tc>
          <w:tcPr>
            <w:tcW w:w="7200" w:type="dxa"/>
            <w:vAlign w:val="bottom"/>
            <w:tcBorders>
              <w:bottom w:val="single" w:sz="8" w:color="0000EE"/>
            </w:tcBorders>
            <w:gridSpan w:val="16"/>
          </w:tcPr>
          <w:p>
            <w:pPr>
              <w:spacing w:after="0" w:line="170"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Incyte Corporation Amended and Restated 2010 Stock Incentive Plan, as amended (incorporated by</w:t>
              </w:r>
            </w:hyperlink>
          </w:p>
        </w:tc>
        <w:tc>
          <w:tcPr>
            <w:tcW w:w="64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6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reference to Exhibit 10.1 to the Company’s Current Report on Form 8-K filed May 2, 2018).</w:t>
              </w:r>
            </w:hyperlink>
          </w:p>
        </w:tc>
        <w:tc>
          <w:tcPr>
            <w:tcW w:w="11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10.3#</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Form of Stock Option Agreement for Executive Officers under the Incyte Corporation Amended and</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0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Restated 2010 Stock Incentive Plan, as amended (incorporated by reference to Exhibit 10.7 to the</w:t>
              </w:r>
            </w:hyperlink>
          </w:p>
        </w:tc>
        <w:tc>
          <w:tcPr>
            <w:tcW w:w="8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Company’s Quarterly Report on Form 10-Q for the quarter ended June 30, 2016).</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10.4#</w:t>
            </w:r>
          </w:p>
        </w:tc>
        <w:tc>
          <w:tcPr>
            <w:tcW w:w="7840" w:type="dxa"/>
            <w:vAlign w:val="bottom"/>
            <w:gridSpan w:val="32"/>
          </w:tcPr>
          <w:p>
            <w:pPr>
              <w:spacing w:after="0" w:line="196" w:lineRule="exact"/>
              <w:rPr>
                <w:rFonts w:ascii="Arial" w:cs="Arial" w:eastAsia="Arial" w:hAnsi="Arial"/>
                <w:sz w:val="18"/>
                <w:szCs w:val="18"/>
                <w:color w:val="0000EE"/>
                <w:w w:val="97"/>
              </w:rPr>
            </w:pPr>
            <w:hyperlink r:id="rId139">
              <w:r>
                <w:rPr>
                  <w:rFonts w:ascii="Arial" w:cs="Arial" w:eastAsia="Arial" w:hAnsi="Arial"/>
                  <w:sz w:val="18"/>
                  <w:szCs w:val="18"/>
                  <w:color w:val="0000EE"/>
                  <w:w w:val="97"/>
                </w:rPr>
                <w:t>Form of Nonstatutory Stock Option Agreement under the 2010 Stock Incentive Plan (incorporated by</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reference to Exhibit 10.4 to the Company’s Quarterly Report on Form 10-Q for the quarter ended June 30,</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9">
              <w:r>
                <w:rPr>
                  <w:rFonts w:ascii="Arial" w:cs="Arial" w:eastAsia="Arial" w:hAnsi="Arial"/>
                  <w:sz w:val="18"/>
                  <w:szCs w:val="18"/>
                  <w:color w:val="0000EE"/>
                  <w:w w:val="86"/>
                </w:rPr>
                <w:t>2014).</w:t>
              </w:r>
            </w:hyperlink>
          </w:p>
        </w:tc>
        <w:tc>
          <w:tcPr>
            <w:tcW w:w="2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10.5#</w:t>
            </w:r>
          </w:p>
        </w:tc>
        <w:tc>
          <w:tcPr>
            <w:tcW w:w="776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Form of Incentive Stock Option Agreement under the 2010 Stock Incentive Plan (incorporated by reference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4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to Exhibit 10.5 to the Company’s Quarterly Report on Form 10-Q for the quarter ended June 30, 2014).</w:t>
              </w:r>
            </w:hyperlink>
          </w:p>
        </w:tc>
        <w:tc>
          <w:tcPr>
            <w:tcW w:w="4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10.6#</w:t>
            </w:r>
          </w:p>
        </w:tc>
        <w:tc>
          <w:tcPr>
            <w:tcW w:w="7840" w:type="dxa"/>
            <w:vAlign w:val="bottom"/>
            <w:gridSpan w:val="32"/>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Form of Nonstatutory Stock Option Agreement for Outside Directors under the 2010 Stock Incentive Plan</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640" w:type="dxa"/>
            <w:vAlign w:val="bottom"/>
            <w:tcBorders>
              <w:top w:val="single" w:sz="8" w:color="0000EE"/>
            </w:tcBorders>
            <w:gridSpan w:val="27"/>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(incorporated by reference to Exhibit 10.24 to the Company’s Annual Report on Form 10-K for the year</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4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ended December 31, 2013).</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10.7#</w:t>
            </w:r>
          </w:p>
        </w:tc>
        <w:tc>
          <w:tcPr>
            <w:tcW w:w="74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Form of Restricted Stock Unit Award Agreement under the 2010 Stock Incentive Plan (incorporated by</w:t>
              </w:r>
            </w:hyperlink>
          </w:p>
        </w:tc>
        <w:tc>
          <w:tcPr>
            <w:tcW w:w="4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reference to Exhibit 10.6 to the Company’s Quarterly Report on Form 10-Q for the quarter ended June 30,</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2">
              <w:r>
                <w:rPr>
                  <w:rFonts w:ascii="Arial" w:cs="Arial" w:eastAsia="Arial" w:hAnsi="Arial"/>
                  <w:sz w:val="18"/>
                  <w:szCs w:val="18"/>
                  <w:color w:val="0000EE"/>
                  <w:w w:val="86"/>
                </w:rPr>
                <w:t>2014).</w:t>
              </w:r>
            </w:hyperlink>
          </w:p>
        </w:tc>
        <w:tc>
          <w:tcPr>
            <w:tcW w:w="2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10.8#</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Form of Performance Share Award Agreement under the 2010 Stock Incentive Plan (incorporated by</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reference to Exhibit 10.4 to the Company’s Quarterly Report on Form 10-Q for the quarter ended March</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43">
              <w:r>
                <w:rPr>
                  <w:rFonts w:ascii="Arial" w:cs="Arial" w:eastAsia="Arial" w:hAnsi="Arial"/>
                  <w:sz w:val="18"/>
                  <w:szCs w:val="18"/>
                  <w:color w:val="0000EE"/>
                  <w:w w:val="86"/>
                </w:rPr>
                <w:t>31, 2014).</w:t>
              </w:r>
            </w:hyperlink>
          </w:p>
        </w:tc>
        <w:tc>
          <w:tcPr>
            <w:tcW w:w="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10.9#</w:t>
            </w:r>
          </w:p>
        </w:tc>
        <w:tc>
          <w:tcPr>
            <w:tcW w:w="774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Form of Performance Share Award Agreement under the Amended and Restated 2010 Stock Incentive Plan</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76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(incorporated by reference to Exhibit 10.2 to the Company's Quarterly Report on Form 10-Q for the quarter</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144">
              <w:r>
                <w:rPr>
                  <w:rFonts w:ascii="Arial" w:cs="Arial" w:eastAsia="Arial" w:hAnsi="Arial"/>
                  <w:sz w:val="18"/>
                  <w:szCs w:val="18"/>
                  <w:color w:val="0000EE"/>
                  <w:w w:val="86"/>
                </w:rPr>
                <w:t>ended June 30, 2018).</w:t>
              </w:r>
            </w:hyperlink>
          </w:p>
        </w:tc>
        <w:tc>
          <w:tcPr>
            <w:tcW w:w="62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20" w:type="dxa"/>
            <w:vAlign w:val="bottom"/>
          </w:tcPr>
          <w:p>
            <w:pPr>
              <w:ind w:left="80"/>
              <w:spacing w:after="0"/>
              <w:rPr>
                <w:sz w:val="20"/>
                <w:szCs w:val="20"/>
                <w:color w:val="auto"/>
              </w:rPr>
            </w:pPr>
            <w:r>
              <w:rPr>
                <w:rFonts w:ascii="Arial" w:cs="Arial" w:eastAsia="Arial" w:hAnsi="Arial"/>
                <w:sz w:val="18"/>
                <w:szCs w:val="18"/>
                <w:color w:val="auto"/>
              </w:rPr>
              <w:t>10.10#</w:t>
            </w:r>
          </w:p>
        </w:tc>
        <w:tc>
          <w:tcPr>
            <w:tcW w:w="7840" w:type="dxa"/>
            <w:vAlign w:val="bottom"/>
            <w:gridSpan w:val="32"/>
          </w:tcPr>
          <w:p>
            <w:pPr>
              <w:spacing w:after="0"/>
              <w:rPr>
                <w:sz w:val="20"/>
                <w:szCs w:val="20"/>
                <w:color w:val="auto"/>
              </w:rPr>
            </w:pPr>
            <w:r>
              <w:rPr>
                <w:rFonts w:ascii="Arial" w:cs="Arial" w:eastAsia="Arial" w:hAnsi="Arial"/>
                <w:sz w:val="18"/>
                <w:szCs w:val="18"/>
                <w:color w:val="auto"/>
                <w:w w:val="99"/>
              </w:rPr>
              <w:t>Form of Indemnity Agreement between the Company and its directors and officers (incorporated by</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840" w:type="dxa"/>
            <w:vAlign w:val="bottom"/>
            <w:gridSpan w:val="32"/>
          </w:tcPr>
          <w:p>
            <w:pPr>
              <w:spacing w:after="0"/>
              <w:rPr>
                <w:sz w:val="20"/>
                <w:szCs w:val="20"/>
                <w:color w:val="auto"/>
              </w:rPr>
            </w:pPr>
            <w:r>
              <w:rPr>
                <w:rFonts w:ascii="Arial" w:cs="Arial" w:eastAsia="Arial" w:hAnsi="Arial"/>
                <w:sz w:val="18"/>
                <w:szCs w:val="18"/>
                <w:color w:val="auto"/>
                <w:w w:val="97"/>
              </w:rPr>
              <w:t>reference to Exhibit 10.5 to the Company’s Registration Statement on Form S-1 (File No. 33 68138)).</w:t>
            </w:r>
          </w:p>
        </w:tc>
        <w:tc>
          <w:tcPr>
            <w:tcW w:w="0" w:type="dxa"/>
            <w:vAlign w:val="bottom"/>
          </w:tcPr>
          <w:p>
            <w:pPr>
              <w:spacing w:after="0"/>
              <w:rPr>
                <w:sz w:val="1"/>
                <w:szCs w:val="1"/>
                <w:color w:val="auto"/>
              </w:rPr>
            </w:pPr>
          </w:p>
        </w:tc>
      </w:tr>
      <w:tr>
        <w:trPr>
          <w:trHeight w:val="190"/>
        </w:trPr>
        <w:tc>
          <w:tcPr>
            <w:tcW w:w="1220" w:type="dxa"/>
            <w:vAlign w:val="bottom"/>
          </w:tcPr>
          <w:p>
            <w:pPr>
              <w:ind w:left="80"/>
              <w:spacing w:after="0" w:line="190" w:lineRule="exact"/>
              <w:rPr>
                <w:sz w:val="20"/>
                <w:szCs w:val="20"/>
                <w:color w:val="auto"/>
              </w:rPr>
            </w:pPr>
            <w:r>
              <w:rPr>
                <w:rFonts w:ascii="Arial" w:cs="Arial" w:eastAsia="Arial" w:hAnsi="Arial"/>
                <w:sz w:val="18"/>
                <w:szCs w:val="18"/>
                <w:color w:val="auto"/>
              </w:rPr>
              <w:t>10.11#</w:t>
            </w:r>
          </w:p>
        </w:tc>
        <w:tc>
          <w:tcPr>
            <w:tcW w:w="7840" w:type="dxa"/>
            <w:vAlign w:val="bottom"/>
            <w:gridSpan w:val="32"/>
          </w:tcPr>
          <w:p>
            <w:pPr>
              <w:spacing w:after="0" w:line="190" w:lineRule="exact"/>
              <w:rPr>
                <w:rFonts w:ascii="Arial" w:cs="Arial" w:eastAsia="Arial" w:hAnsi="Arial"/>
                <w:sz w:val="18"/>
                <w:szCs w:val="18"/>
                <w:color w:val="0000EE"/>
                <w:w w:val="96"/>
              </w:rPr>
            </w:pPr>
            <w:hyperlink r:id="rId145">
              <w:r>
                <w:rPr>
                  <w:rFonts w:ascii="Arial" w:cs="Arial" w:eastAsia="Arial" w:hAnsi="Arial"/>
                  <w:sz w:val="18"/>
                  <w:szCs w:val="18"/>
                  <w:color w:val="0000EE"/>
                  <w:w w:val="96"/>
                </w:rPr>
                <w:t>1997 Employee Stock Purchase Plan of Incyte Corporation, as amended (incorporated by reference to</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3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Exhibit 10.2 to the Company’s Current Report on Form 8-K filed May 27, 2016).</w:t>
              </w:r>
            </w:hyperlink>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10.12#</w:t>
            </w:r>
          </w:p>
        </w:tc>
        <w:tc>
          <w:tcPr>
            <w:tcW w:w="76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Form of Employment Agreement between the Company and Barry P. Flannelly (effective as of August 11,</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2014)</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David W. Gryska (effective as of October 31, 2014), Steven H. Stein (effective as of March 2,</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7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2015)</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Vijay K. Iyengar (effective as of May 9, 2016), Maria E. Pasquale (effective as of April 9, 2018) and</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5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Dashyant Dhanak (effective as of December 10, 2018) (incorporated by reference to Exhibit 10.14 to the</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9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Company’s Annual Report on Form 10-K for the year ended December 31, 2012).</w:t>
              </w:r>
            </w:hyperlink>
          </w:p>
        </w:tc>
        <w:tc>
          <w:tcPr>
            <w:tcW w:w="19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10.13#</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Form of Amended and Restated Employment Agreement, effective as of April 18, 2012, between the</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7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Company and Reid M. Huber, Paula J. Swain and Wenqing Yao (incorporated by reference to Exhibit 10.14</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64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to the Company’s Quarterly Report on Form 10-Q for the quarter ended March 31, 2012).</w:t>
              </w:r>
            </w:hyperlink>
          </w:p>
        </w:tc>
        <w:tc>
          <w:tcPr>
            <w:tcW w:w="13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10.14#*</w:t>
            </w:r>
          </w:p>
        </w:tc>
        <w:tc>
          <w:tcPr>
            <w:tcW w:w="7840" w:type="dxa"/>
            <w:vAlign w:val="bottom"/>
            <w:gridSpan w:val="32"/>
          </w:tcPr>
          <w:p>
            <w:pPr>
              <w:spacing w:after="0" w:line="196" w:lineRule="exact"/>
              <w:rPr>
                <w:rFonts w:ascii="Arial" w:cs="Arial" w:eastAsia="Arial" w:hAnsi="Arial"/>
                <w:sz w:val="18"/>
                <w:szCs w:val="18"/>
                <w:color w:val="0000EE"/>
                <w:w w:val="99"/>
              </w:rPr>
            </w:pPr>
            <w:hyperlink w:anchor="page132">
              <w:r>
                <w:rPr>
                  <w:rFonts w:ascii="Arial" w:cs="Arial" w:eastAsia="Arial" w:hAnsi="Arial"/>
                  <w:sz w:val="18"/>
                  <w:szCs w:val="18"/>
                  <w:color w:val="0000EE"/>
                  <w:w w:val="99"/>
                </w:rPr>
                <w:t>Offer of Employment Letter, dated December 14, 2018, from the Company to Christiana Stamoulis.</w:t>
              </w:r>
            </w:hyperlink>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10.15#</w:t>
            </w:r>
          </w:p>
        </w:tc>
        <w:tc>
          <w:tcPr>
            <w:tcW w:w="6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Offer of Employment Letter, dated as of January 3, 2014, from the Company to Hervé Hoppenot</w:t>
              </w:r>
            </w:hyperlink>
          </w:p>
        </w:tc>
        <w:tc>
          <w:tcPr>
            <w:tcW w:w="220" w:type="dxa"/>
            <w:vAlign w:val="bottom"/>
            <w:tcBorders>
              <w:top w:val="single" w:sz="8" w:color="0000EE"/>
            </w:tcBorders>
            <w:gridSpan w:val="4"/>
          </w:tcPr>
          <w:p>
            <w:pPr>
              <w:spacing w:after="0"/>
              <w:rPr>
                <w:sz w:val="17"/>
                <w:szCs w:val="17"/>
                <w:color w:val="auto"/>
              </w:rPr>
            </w:pPr>
          </w:p>
        </w:tc>
        <w:tc>
          <w:tcPr>
            <w:tcW w:w="6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(incorporated by reference to Exhibit 10.1 to the Company’s Current Report on Form 8-K filed January 13,</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8">
              <w:r>
                <w:rPr>
                  <w:rFonts w:ascii="Arial" w:cs="Arial" w:eastAsia="Arial" w:hAnsi="Arial"/>
                  <w:sz w:val="18"/>
                  <w:szCs w:val="18"/>
                  <w:color w:val="0000EE"/>
                  <w:w w:val="86"/>
                </w:rPr>
                <w:t>2014).</w:t>
              </w:r>
            </w:hyperlink>
          </w:p>
        </w:tc>
        <w:tc>
          <w:tcPr>
            <w:tcW w:w="2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10.15.1#</w:t>
            </w:r>
          </w:p>
        </w:tc>
        <w:tc>
          <w:tcPr>
            <w:tcW w:w="7840" w:type="dxa"/>
            <w:vAlign w:val="bottom"/>
            <w:gridSpan w:val="32"/>
          </w:tcPr>
          <w:p>
            <w:pPr>
              <w:spacing w:after="0" w:line="196" w:lineRule="exact"/>
              <w:rPr>
                <w:rFonts w:ascii="Arial" w:cs="Arial" w:eastAsia="Arial" w:hAnsi="Arial"/>
                <w:sz w:val="18"/>
                <w:szCs w:val="18"/>
                <w:color w:val="0000EE"/>
                <w:w w:val="99"/>
              </w:rPr>
            </w:pPr>
            <w:hyperlink r:id="rId149">
              <w:r>
                <w:rPr>
                  <w:rFonts w:ascii="Arial" w:cs="Arial" w:eastAsia="Arial" w:hAnsi="Arial"/>
                  <w:sz w:val="18"/>
                  <w:szCs w:val="18"/>
                  <w:color w:val="0000EE"/>
                  <w:w w:val="99"/>
                </w:rPr>
                <w:t>Employment Agreement between the Company and Hervé Hoppenot dated as of January 11, 2014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(incorporated by reference to Exhibit 10.2 to the Company’s Current Report on Form 8-K filed January 13,</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9">
              <w:r>
                <w:rPr>
                  <w:rFonts w:ascii="Arial" w:cs="Arial" w:eastAsia="Arial" w:hAnsi="Arial"/>
                  <w:sz w:val="18"/>
                  <w:szCs w:val="18"/>
                  <w:color w:val="0000EE"/>
                  <w:w w:val="86"/>
                </w:rPr>
                <w:t>2014).</w:t>
              </w:r>
            </w:hyperlink>
          </w:p>
        </w:tc>
        <w:tc>
          <w:tcPr>
            <w:tcW w:w="2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10.15.2#</w:t>
            </w:r>
          </w:p>
        </w:tc>
        <w:tc>
          <w:tcPr>
            <w:tcW w:w="7840" w:type="dxa"/>
            <w:vAlign w:val="bottom"/>
            <w:gridSpan w:val="32"/>
          </w:tcPr>
          <w:p>
            <w:pPr>
              <w:spacing w:after="0" w:line="196" w:lineRule="exact"/>
              <w:rPr>
                <w:rFonts w:ascii="Arial" w:cs="Arial" w:eastAsia="Arial" w:hAnsi="Arial"/>
                <w:sz w:val="18"/>
                <w:szCs w:val="18"/>
                <w:color w:val="0000EE"/>
                <w:w w:val="96"/>
              </w:rPr>
            </w:pPr>
            <w:hyperlink r:id="rId150">
              <w:r>
                <w:rPr>
                  <w:rFonts w:ascii="Arial" w:cs="Arial" w:eastAsia="Arial" w:hAnsi="Arial"/>
                  <w:sz w:val="18"/>
                  <w:szCs w:val="18"/>
                  <w:color w:val="0000EE"/>
                  <w:w w:val="96"/>
                </w:rPr>
                <w:t>Amendment, dated as of April 13, 2015, to Employment Agreement between the Company and Hervé</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Hoppenot, dated as of January 11, 2014 (incorporated by reference to Exhibit 10.3 to the Company’s</w:t>
              </w:r>
            </w:hyperlink>
          </w:p>
        </w:tc>
        <w:tc>
          <w:tcPr>
            <w:tcW w:w="80" w:type="dxa"/>
            <w:vAlign w:val="bottom"/>
            <w:tcBorders>
              <w:top w:val="single" w:sz="8" w:color="0000EE"/>
            </w:tcBorders>
            <w:gridSpan w:val="3"/>
          </w:tcPr>
          <w:p>
            <w:pPr>
              <w:spacing w:after="0"/>
              <w:rPr>
                <w:sz w:val="17"/>
                <w:szCs w:val="17"/>
                <w:color w:val="auto"/>
              </w:rPr>
            </w:pPr>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Quarterly Report on Form 10-Q for the quarter ended March 31, 2015).</w:t>
              </w:r>
            </w:hyperlink>
          </w:p>
        </w:tc>
        <w:tc>
          <w:tcPr>
            <w:tcW w:w="27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10.16#</w:t>
            </w:r>
          </w:p>
        </w:tc>
        <w:tc>
          <w:tcPr>
            <w:tcW w:w="74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Restricted Stock Unit Award Agreement between the Company and Hervé Hoppenot dated January 13,</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2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2014 (incorporated by reference to Exhibit 10.3 to the Company’s Current Report on Form 8-K filed</w:t>
              </w:r>
            </w:hyperlink>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51">
              <w:r>
                <w:rPr>
                  <w:rFonts w:ascii="Arial" w:cs="Arial" w:eastAsia="Arial" w:hAnsi="Arial"/>
                  <w:sz w:val="18"/>
                  <w:szCs w:val="18"/>
                  <w:color w:val="0000EE"/>
                  <w:w w:val="87"/>
                </w:rPr>
                <w:t>January 13, 2014).</w:t>
              </w:r>
            </w:hyperlink>
          </w:p>
        </w:tc>
        <w:tc>
          <w:tcPr>
            <w:tcW w:w="65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10.17†</w:t>
            </w:r>
          </w:p>
        </w:tc>
        <w:tc>
          <w:tcPr>
            <w:tcW w:w="77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Collaboration and License Agreement entered into as of November 24, 2009, by and between the Company</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0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and Novartis International Pharmaceutical Ltd. (incorporated by reference to Exhibit 10.21 to the</w:t>
              </w:r>
            </w:hyperlink>
          </w:p>
        </w:tc>
        <w:tc>
          <w:tcPr>
            <w:tcW w:w="8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Company’s Annual Report on Form 10-K for the year ended December 31, 2009).</w:t>
              </w:r>
            </w:hyperlink>
          </w:p>
        </w:tc>
        <w:tc>
          <w:tcPr>
            <w:tcW w:w="0" w:type="dxa"/>
            <w:vAlign w:val="bottom"/>
          </w:tcPr>
          <w:p>
            <w:pPr>
              <w:spacing w:after="0"/>
              <w:rPr>
                <w:sz w:val="1"/>
                <w:szCs w:val="1"/>
                <w:color w:val="auto"/>
              </w:rPr>
            </w:pPr>
          </w:p>
        </w:tc>
      </w:tr>
      <w:tr>
        <w:trPr>
          <w:trHeight w:val="669"/>
        </w:trPr>
        <w:tc>
          <w:tcPr>
            <w:tcW w:w="1220" w:type="dxa"/>
            <w:vAlign w:val="bottom"/>
          </w:tcPr>
          <w:p>
            <w:pPr>
              <w:spacing w:after="0"/>
              <w:rPr>
                <w:sz w:val="24"/>
                <w:szCs w:val="24"/>
                <w:color w:val="auto"/>
              </w:rPr>
            </w:pPr>
          </w:p>
        </w:tc>
        <w:tc>
          <w:tcPr>
            <w:tcW w:w="5140" w:type="dxa"/>
            <w:vAlign w:val="bottom"/>
            <w:tcBorders>
              <w:top w:val="single" w:sz="8" w:color="0000EE"/>
            </w:tcBorders>
            <w:gridSpan w:val="6"/>
          </w:tcPr>
          <w:p>
            <w:pPr>
              <w:ind w:left="3180"/>
              <w:spacing w:after="0"/>
              <w:rPr>
                <w:sz w:val="20"/>
                <w:szCs w:val="20"/>
                <w:color w:val="auto"/>
              </w:rPr>
            </w:pPr>
            <w:r>
              <w:rPr>
                <w:rFonts w:ascii="Arial" w:cs="Arial" w:eastAsia="Arial" w:hAnsi="Arial"/>
                <w:sz w:val="18"/>
                <w:szCs w:val="18"/>
                <w:color w:val="auto"/>
              </w:rPr>
              <w:t>126</w:t>
            </w: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00" w:type="dxa"/>
            <w:vAlign w:val="bottom"/>
            <w:gridSpan w:val="31"/>
            <w:vMerge w:val="restart"/>
          </w:tcPr>
          <w:p>
            <w:pPr>
              <w:ind w:left="5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Pr>
          <w:p>
            <w:pPr>
              <w:ind w:left="80"/>
              <w:spacing w:after="0" w:line="170" w:lineRule="exact"/>
              <w:rPr>
                <w:sz w:val="20"/>
                <w:szCs w:val="20"/>
                <w:color w:val="auto"/>
              </w:rPr>
            </w:pPr>
            <w:r>
              <w:rPr>
                <w:rFonts w:ascii="Arial" w:cs="Arial" w:eastAsia="Arial" w:hAnsi="Arial"/>
                <w:sz w:val="18"/>
                <w:szCs w:val="18"/>
                <w:color w:val="auto"/>
              </w:rPr>
              <w:t>10.17.1†</w:t>
            </w:r>
          </w:p>
        </w:tc>
        <w:tc>
          <w:tcPr>
            <w:tcW w:w="7060" w:type="dxa"/>
            <w:vAlign w:val="bottom"/>
            <w:tcBorders>
              <w:bottom w:val="single" w:sz="8" w:color="0000EE"/>
            </w:tcBorders>
            <w:gridSpan w:val="16"/>
          </w:tcPr>
          <w:p>
            <w:pPr>
              <w:spacing w:after="0" w:line="170"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Amendment, dated as of April 5, 2016, to Collaboration and License Agreement entered into as of</w:t>
              </w:r>
            </w:hyperlink>
          </w:p>
        </w:tc>
        <w:tc>
          <w:tcPr>
            <w:tcW w:w="78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November 24, 2009, by and between the Company and Novartis International Pharmaceutical Ltd.</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778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(incorporated by reference to Exhibit 10.1 to the Company’s Quarterly Report on Form 10-Q for the quarter</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53">
              <w:r>
                <w:rPr>
                  <w:rFonts w:ascii="Arial" w:cs="Arial" w:eastAsia="Arial" w:hAnsi="Arial"/>
                  <w:sz w:val="18"/>
                  <w:szCs w:val="18"/>
                  <w:color w:val="0000EE"/>
                  <w:w w:val="86"/>
                </w:rPr>
                <w:t>ended June 30, 2016).</w:t>
              </w:r>
            </w:hyperlink>
          </w:p>
        </w:tc>
        <w:tc>
          <w:tcPr>
            <w:tcW w:w="626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10.18†</w:t>
            </w:r>
          </w:p>
        </w:tc>
        <w:tc>
          <w:tcPr>
            <w:tcW w:w="75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License, Development and Commercialization Agreement, entered into as of December 18, 2009, by and</w:t>
              </w:r>
            </w:hyperlink>
          </w:p>
        </w:tc>
        <w:tc>
          <w:tcPr>
            <w:tcW w:w="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9"/>
              </w:rPr>
            </w:pPr>
            <w:hyperlink r:id="rId154">
              <w:r>
                <w:rPr>
                  <w:rFonts w:ascii="Arial" w:cs="Arial" w:eastAsia="Arial" w:hAnsi="Arial"/>
                  <w:sz w:val="18"/>
                  <w:szCs w:val="18"/>
                  <w:color w:val="0000EE"/>
                  <w:w w:val="99"/>
                </w:rPr>
                <w:t>between the Company and Eli Lilly and Company (incorporated by reference to Exhibit 10.22 to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Company’s Annual Report on Form 10-K for the year ended December 31, 2009).</w:t>
              </w:r>
            </w:hyperlink>
          </w:p>
        </w:tc>
        <w:tc>
          <w:tcPr>
            <w:tcW w:w="1300" w:type="dxa"/>
            <w:vAlign w:val="bottom"/>
            <w:tcBorders>
              <w:top w:val="single" w:sz="8" w:color="0000EE"/>
            </w:tcBorders>
            <w:gridSpan w:val="8"/>
          </w:tcPr>
          <w:p>
            <w:pPr>
              <w:spacing w:after="0"/>
              <w:rPr>
                <w:sz w:val="17"/>
                <w:szCs w:val="17"/>
                <w:color w:val="auto"/>
              </w:rPr>
            </w:pPr>
          </w:p>
        </w:tc>
        <w:tc>
          <w:tcPr>
            <w:tcW w:w="6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10.18.1†</w:t>
            </w:r>
          </w:p>
        </w:tc>
        <w:tc>
          <w:tcPr>
            <w:tcW w:w="7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Amendment, dated June 22, 2010, to License, Development and Commercialization Agreement entered</w:t>
              </w:r>
            </w:hyperlink>
          </w:p>
        </w:tc>
        <w:tc>
          <w:tcPr>
            <w:tcW w:w="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6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into as of December 18, 2009, by and between the Company and Eli Lilly and Company (incorporated by</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reference to Exhibit 10.6 to the Company’s Quarterly Report on Form 10-Q for the quarter ended June 30,</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5">
              <w:r>
                <w:rPr>
                  <w:rFonts w:ascii="Arial" w:cs="Arial" w:eastAsia="Arial" w:hAnsi="Arial"/>
                  <w:sz w:val="18"/>
                  <w:szCs w:val="18"/>
                  <w:color w:val="0000EE"/>
                  <w:w w:val="86"/>
                </w:rPr>
                <w:t>2010).</w:t>
              </w:r>
            </w:hyperlink>
          </w:p>
        </w:tc>
        <w:tc>
          <w:tcPr>
            <w:tcW w:w="1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10.18.2†</w:t>
            </w:r>
          </w:p>
        </w:tc>
        <w:tc>
          <w:tcPr>
            <w:tcW w:w="778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Third Amendment, entered into effective March 31, 2016, to License, Development and Commercialization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0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Agreement entered into as of December 18, 2009, by and between the Company and Eli Lilly and</w:t>
              </w:r>
            </w:hyperlink>
          </w:p>
        </w:tc>
        <w:tc>
          <w:tcPr>
            <w:tcW w:w="8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7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Company (incorporated by reference to Exhibit 10.1 to the Company’s Quarterly Report on Form 10-Q for</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156">
              <w:r>
                <w:rPr>
                  <w:rFonts w:ascii="Arial" w:cs="Arial" w:eastAsia="Arial" w:hAnsi="Arial"/>
                  <w:sz w:val="18"/>
                  <w:szCs w:val="18"/>
                  <w:color w:val="0000EE"/>
                  <w:w w:val="88"/>
                </w:rPr>
                <w:t>the quarter ended March 31, 2016).</w:t>
              </w:r>
            </w:hyperlink>
          </w:p>
        </w:tc>
        <w:tc>
          <w:tcPr>
            <w:tcW w:w="53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10.18.3†</w:t>
            </w:r>
          </w:p>
        </w:tc>
        <w:tc>
          <w:tcPr>
            <w:tcW w:w="7840" w:type="dxa"/>
            <w:vAlign w:val="bottom"/>
            <w:gridSpan w:val="37"/>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Fourth Amendment, entered into effective December 13, 2016, to License, Development and</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776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Commercialization Agreement entered into as of December 18, 2009, by and between the Company and Eli</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7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Lilly and Company (incorporated by reference to Exhibit 10.21.4 to Amendment No. 2 on Form 10-K/A to</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61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the Company’s Annual Report on Form 10-K for the year ended December 31, 2016).</w:t>
              </w:r>
            </w:hyperlink>
          </w:p>
        </w:tc>
        <w:tc>
          <w:tcPr>
            <w:tcW w:w="16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10.19†</w:t>
            </w:r>
          </w:p>
        </w:tc>
        <w:tc>
          <w:tcPr>
            <w:tcW w:w="7840" w:type="dxa"/>
            <w:vAlign w:val="bottom"/>
            <w:gridSpan w:val="37"/>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License, Development and Commercialization Agreement, dated as of January 9, 2015, by and among the</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77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Company, Incyte Europe S.à.r.l. (a wholly owned subsidiary of the Company), Agenus Inc. and 4-Antibody</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5"/>
              </w:rPr>
            </w:pPr>
            <w:hyperlink r:id="rId158">
              <w:r>
                <w:rPr>
                  <w:rFonts w:ascii="Arial" w:cs="Arial" w:eastAsia="Arial" w:hAnsi="Arial"/>
                  <w:sz w:val="18"/>
                  <w:szCs w:val="18"/>
                  <w:color w:val="0000EE"/>
                  <w:w w:val="95"/>
                </w:rPr>
                <w:t>AG (incorporated by reference to Exhibit 10.1 to the Company’s Quarterly Report on Form 10-Q for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quarter ended March 31, 2015).</w:t>
              </w:r>
            </w:hyperlink>
          </w:p>
        </w:tc>
        <w:tc>
          <w:tcPr>
            <w:tcW w:w="5220" w:type="dxa"/>
            <w:vAlign w:val="bottom"/>
            <w:tcBorders>
              <w:top w:val="single" w:sz="8" w:color="0000EE"/>
            </w:tcBorders>
            <w:gridSpan w:val="20"/>
          </w:tcPr>
          <w:p>
            <w:pPr>
              <w:spacing w:after="0"/>
              <w:rPr>
                <w:sz w:val="17"/>
                <w:szCs w:val="17"/>
                <w:color w:val="auto"/>
              </w:rPr>
            </w:pPr>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10.19.1†</w:t>
            </w:r>
          </w:p>
        </w:tc>
        <w:tc>
          <w:tcPr>
            <w:tcW w:w="7840" w:type="dxa"/>
            <w:vAlign w:val="bottom"/>
            <w:gridSpan w:val="37"/>
          </w:tcPr>
          <w:p>
            <w:pPr>
              <w:spacing w:after="0" w:line="196" w:lineRule="exact"/>
              <w:rPr>
                <w:rFonts w:ascii="Arial" w:cs="Arial" w:eastAsia="Arial" w:hAnsi="Arial"/>
                <w:sz w:val="18"/>
                <w:szCs w:val="18"/>
                <w:color w:val="0000EE"/>
                <w:w w:val="99"/>
              </w:rPr>
            </w:pPr>
            <w:hyperlink r:id="rId159">
              <w:r>
                <w:rPr>
                  <w:rFonts w:ascii="Arial" w:cs="Arial" w:eastAsia="Arial" w:hAnsi="Arial"/>
                  <w:sz w:val="18"/>
                  <w:szCs w:val="18"/>
                  <w:color w:val="0000EE"/>
                  <w:w w:val="99"/>
                </w:rPr>
                <w:t>First Amendment, dated as of February 14, 2017, to License, Development and Commercialization</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774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Agreement entered into as of January 9, 2015, by and among the Company, Incyte Europe S.à.r.l. (a wholly</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9"/>
              </w:rPr>
            </w:pPr>
            <w:hyperlink r:id="rId159">
              <w:r>
                <w:rPr>
                  <w:rFonts w:ascii="Arial" w:cs="Arial" w:eastAsia="Arial" w:hAnsi="Arial"/>
                  <w:sz w:val="18"/>
                  <w:szCs w:val="18"/>
                  <w:color w:val="0000EE"/>
                  <w:w w:val="99"/>
                </w:rPr>
                <w:t>owned subsidiary of the Company), Agenus Inc. and Agenus Switzerland Inc. (f/k/a 4-Antibody AG)</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77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(incorporated by reference to Exhibit 10.1 to the Company's Quarterly Report on Form 10-Q for the quarter</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ended March 31, 2017).</w:t>
              </w:r>
            </w:hyperlink>
          </w:p>
        </w:tc>
        <w:tc>
          <w:tcPr>
            <w:tcW w:w="612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10.20†</w:t>
            </w:r>
          </w:p>
        </w:tc>
        <w:tc>
          <w:tcPr>
            <w:tcW w:w="7840" w:type="dxa"/>
            <w:vAlign w:val="bottom"/>
            <w:gridSpan w:val="37"/>
          </w:tcPr>
          <w:p>
            <w:pPr>
              <w:spacing w:after="0" w:line="196" w:lineRule="exact"/>
              <w:rPr>
                <w:rFonts w:ascii="Arial" w:cs="Arial" w:eastAsia="Arial" w:hAnsi="Arial"/>
                <w:sz w:val="18"/>
                <w:szCs w:val="18"/>
                <w:color w:val="0000EE"/>
                <w:w w:val="98"/>
              </w:rPr>
            </w:pPr>
            <w:hyperlink r:id="rId160">
              <w:r>
                <w:rPr>
                  <w:rFonts w:ascii="Arial" w:cs="Arial" w:eastAsia="Arial" w:hAnsi="Arial"/>
                  <w:sz w:val="18"/>
                  <w:szCs w:val="18"/>
                  <w:color w:val="0000EE"/>
                  <w:w w:val="98"/>
                </w:rPr>
                <w:t>Stock Purchase Agreement, dated as of February 14, 2017, between the Company and Agenus Inc.</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77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(incorporated by reference to Exhibit 10.2 to the Company's Quarterly Report on Form 10-Q for the quarter</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ended March 31, 2017).</w:t>
              </w:r>
            </w:hyperlink>
          </w:p>
        </w:tc>
        <w:tc>
          <w:tcPr>
            <w:tcW w:w="612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10.21†</w:t>
            </w:r>
          </w:p>
        </w:tc>
        <w:tc>
          <w:tcPr>
            <w:tcW w:w="7840" w:type="dxa"/>
            <w:vAlign w:val="bottom"/>
            <w:gridSpan w:val="37"/>
          </w:tcPr>
          <w:p>
            <w:pPr>
              <w:spacing w:after="0" w:line="196"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Share Purchase Agreement, dated as of May 9, 2016, by and among Incyte Europe S.à.r.l., ARIAD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060" w:type="dxa"/>
            <w:vAlign w:val="bottom"/>
            <w:tcBorders>
              <w:top w:val="single" w:sz="8" w:color="0000EE"/>
            </w:tcBorders>
            <w:gridSpan w:val="16"/>
          </w:tcPr>
          <w:p>
            <w:pPr>
              <w:spacing w:after="0" w:line="19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Pharmaceuticals (Cayman) L.P., ARIAD Pharmaceuticals, Inc., as guarantor, and the Company, as</w:t>
              </w:r>
            </w:hyperlink>
          </w:p>
        </w:tc>
        <w:tc>
          <w:tcPr>
            <w:tcW w:w="7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76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guarantor (incorporated by reference to Exhibit 10.2 to the Company’s Quarterly Report on Form 10-Q for</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4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61">
              <w:r>
                <w:rPr>
                  <w:rFonts w:ascii="Arial" w:cs="Arial" w:eastAsia="Arial" w:hAnsi="Arial"/>
                  <w:sz w:val="18"/>
                  <w:szCs w:val="18"/>
                  <w:color w:val="0000EE"/>
                  <w:w w:val="87"/>
                </w:rPr>
                <w:t>the quarter ended June 30, 2016).</w:t>
              </w:r>
            </w:hyperlink>
          </w:p>
        </w:tc>
        <w:tc>
          <w:tcPr>
            <w:tcW w:w="54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10.22†</w:t>
            </w:r>
          </w:p>
        </w:tc>
        <w:tc>
          <w:tcPr>
            <w:tcW w:w="7840" w:type="dxa"/>
            <w:vAlign w:val="bottom"/>
            <w:gridSpan w:val="37"/>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Amended and Restated Buy-In License Agreement, dated as of June 1, 2016, between ARIAD</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6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Pharmaceuticals, Inc., ARIAD Pharmaceuticals (Europe) S.à.r.l. and the Company, as guarantor</w:t>
              </w:r>
            </w:hyperlink>
          </w:p>
        </w:tc>
        <w:tc>
          <w:tcPr>
            <w:tcW w:w="9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(incorporated by reference to Exhibit 10.3 to Amendment No. 1 on Form 10-Q/A to the Company’s</w:t>
              </w:r>
            </w:hyperlink>
          </w:p>
        </w:tc>
        <w:tc>
          <w:tcPr>
            <w:tcW w:w="6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Quarterly Report on Form 10-Q for the quarter ended June 30, 2016).</w:t>
              </w:r>
            </w:hyperlink>
          </w:p>
        </w:tc>
        <w:tc>
          <w:tcPr>
            <w:tcW w:w="28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10.23†</w:t>
            </w:r>
          </w:p>
        </w:tc>
        <w:tc>
          <w:tcPr>
            <w:tcW w:w="772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Collaboration and License Agreement, dated December 20, 2016, by and between the Company and Merus</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6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N.V. (incorporated by reference to Exhibit 10.27 to Amendment No. 2 on Form 10-K/A to the Company’s</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Annual Report on Form 10-K for the year ended December 31, 2016).</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10.24†</w:t>
            </w:r>
          </w:p>
        </w:tc>
        <w:tc>
          <w:tcPr>
            <w:tcW w:w="75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Share Subscription Agreement, dated December 20, 2016, by and between the Company and Merus N.V.</w:t>
              </w:r>
            </w:hyperlink>
          </w:p>
        </w:tc>
        <w:tc>
          <w:tcPr>
            <w:tcW w:w="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9"/>
              </w:rPr>
            </w:pPr>
            <w:hyperlink r:id="rId164">
              <w:r>
                <w:rPr>
                  <w:rFonts w:ascii="Arial" w:cs="Arial" w:eastAsia="Arial" w:hAnsi="Arial"/>
                  <w:sz w:val="18"/>
                  <w:szCs w:val="18"/>
                  <w:color w:val="0000EE"/>
                  <w:w w:val="99"/>
                </w:rPr>
                <w:t>(incorporated by reference to Exhibit 10.28 to Amendment No. 2 on Form 10-K/A to the Company’s</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Annual Report on Form 10-K for the year ended December 31, 2016).</w:t>
              </w:r>
            </w:hyperlink>
          </w:p>
        </w:tc>
        <w:tc>
          <w:tcPr>
            <w:tcW w:w="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10.25†</w:t>
            </w:r>
          </w:p>
        </w:tc>
        <w:tc>
          <w:tcPr>
            <w:tcW w:w="7840" w:type="dxa"/>
            <w:vAlign w:val="bottom"/>
            <w:gridSpan w:val="37"/>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Global Collaboration and License Agreement, dated October 24, 2017, by and between the Company and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580" w:type="dxa"/>
            <w:vAlign w:val="bottom"/>
            <w:tcBorders>
              <w:top w:val="single" w:sz="8" w:color="0000EE"/>
            </w:tcBorders>
            <w:gridSpan w:val="26"/>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MacroGenics, Inc. (incorporated by reference to Exhibit 10.23 to the Company's Annual Report on Form</w:t>
              </w:r>
            </w:hyperlink>
          </w:p>
        </w:tc>
        <w:tc>
          <w:tcPr>
            <w:tcW w:w="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10-K for the year ended December 31, 2017).</w:t>
              </w:r>
            </w:hyperlink>
          </w:p>
        </w:tc>
        <w:tc>
          <w:tcPr>
            <w:tcW w:w="4280" w:type="dxa"/>
            <w:vAlign w:val="bottom"/>
            <w:tcBorders>
              <w:top w:val="single" w:sz="8" w:color="0000EE"/>
            </w:tcBorders>
            <w:gridSpan w:val="18"/>
          </w:tcPr>
          <w:p>
            <w:pPr>
              <w:spacing w:after="0"/>
              <w:rPr>
                <w:sz w:val="17"/>
                <w:szCs w:val="17"/>
                <w:color w:val="auto"/>
              </w:rPr>
            </w:pPr>
          </w:p>
        </w:tc>
        <w:tc>
          <w:tcPr>
            <w:tcW w:w="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10.25.1†</w:t>
            </w:r>
          </w:p>
        </w:tc>
        <w:tc>
          <w:tcPr>
            <w:tcW w:w="7840" w:type="dxa"/>
            <w:vAlign w:val="bottom"/>
            <w:gridSpan w:val="37"/>
          </w:tcPr>
          <w:p>
            <w:pPr>
              <w:spacing w:after="0" w:line="196" w:lineRule="exact"/>
              <w:rPr>
                <w:rFonts w:ascii="Arial" w:cs="Arial" w:eastAsia="Arial" w:hAnsi="Arial"/>
                <w:sz w:val="18"/>
                <w:szCs w:val="18"/>
                <w:color w:val="0000EE"/>
                <w:w w:val="95"/>
              </w:rPr>
            </w:pPr>
            <w:hyperlink r:id="rId166">
              <w:r>
                <w:rPr>
                  <w:rFonts w:ascii="Arial" w:cs="Arial" w:eastAsia="Arial" w:hAnsi="Arial"/>
                  <w:sz w:val="18"/>
                  <w:szCs w:val="18"/>
                  <w:color w:val="0000EE"/>
                  <w:w w:val="95"/>
                </w:rPr>
                <w:t>Amendment No. 1, dated as of March 15, 2018, to Global Collaboration and License Agreement, dated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420" w:type="dxa"/>
            <w:vAlign w:val="bottom"/>
            <w:tcBorders>
              <w:top w:val="single" w:sz="8" w:color="0000EE"/>
            </w:tcBorders>
            <w:gridSpan w:val="22"/>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October 24, 2017, by and between the Company and MacroGenics, Inc. (incorporated by reference to</w:t>
              </w:r>
            </w:hyperlink>
          </w:p>
        </w:tc>
        <w:tc>
          <w:tcPr>
            <w:tcW w:w="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300" w:type="dxa"/>
            <w:vAlign w:val="bottom"/>
            <w:gridSpan w:val="2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6"/>
              </w:rPr>
            </w:pPr>
            <w:hyperlink r:id="rId166">
              <w:r>
                <w:rPr>
                  <w:rFonts w:ascii="Arial" w:cs="Arial" w:eastAsia="Arial" w:hAnsi="Arial"/>
                  <w:sz w:val="18"/>
                  <w:szCs w:val="18"/>
                  <w:color w:val="0000EE"/>
                  <w:w w:val="96"/>
                </w:rPr>
                <w:t>Exhibit 10.1 to the Company's Quarterly Report on Form 10-Q for the quarter ended March 31, 2018).</w:t>
              </w:r>
            </w:hyperlink>
          </w:p>
        </w:tc>
        <w:tc>
          <w:tcPr>
            <w:tcW w:w="0" w:type="dxa"/>
            <w:vAlign w:val="bottom"/>
          </w:tcPr>
          <w:p>
            <w:pPr>
              <w:spacing w:after="0"/>
              <w:rPr>
                <w:sz w:val="1"/>
                <w:szCs w:val="1"/>
                <w:color w:val="auto"/>
              </w:rPr>
            </w:pPr>
          </w:p>
        </w:tc>
      </w:tr>
      <w:tr>
        <w:trPr>
          <w:trHeight w:val="669"/>
        </w:trPr>
        <w:tc>
          <w:tcPr>
            <w:tcW w:w="1220" w:type="dxa"/>
            <w:vAlign w:val="bottom"/>
          </w:tcPr>
          <w:p>
            <w:pPr>
              <w:spacing w:after="0"/>
              <w:rPr>
                <w:sz w:val="24"/>
                <w:szCs w:val="24"/>
                <w:color w:val="auto"/>
              </w:rPr>
            </w:pPr>
          </w:p>
        </w:tc>
        <w:tc>
          <w:tcPr>
            <w:tcW w:w="5000" w:type="dxa"/>
            <w:vAlign w:val="bottom"/>
            <w:tcBorders>
              <w:top w:val="single" w:sz="8" w:color="0000EE"/>
            </w:tcBorders>
            <w:gridSpan w:val="8"/>
          </w:tcPr>
          <w:p>
            <w:pPr>
              <w:ind w:left="3180"/>
              <w:spacing w:after="0"/>
              <w:rPr>
                <w:sz w:val="20"/>
                <w:szCs w:val="20"/>
                <w:color w:val="auto"/>
              </w:rPr>
            </w:pPr>
            <w:r>
              <w:rPr>
                <w:rFonts w:ascii="Arial" w:cs="Arial" w:eastAsia="Arial" w:hAnsi="Arial"/>
                <w:sz w:val="18"/>
                <w:szCs w:val="18"/>
                <w:color w:val="auto"/>
              </w:rPr>
              <w:t>127</w:t>
            </w:r>
          </w:p>
        </w:tc>
        <w:tc>
          <w:tcPr>
            <w:tcW w:w="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720" w:type="dxa"/>
            <w:vAlign w:val="bottom"/>
            <w:gridSpan w:val="9"/>
            <w:vMerge w:val="restart"/>
          </w:tcPr>
          <w:p>
            <w:pPr>
              <w:ind w:left="10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0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Pr>
          <w:p>
            <w:pPr>
              <w:ind w:left="80"/>
              <w:spacing w:after="0" w:line="170" w:lineRule="exact"/>
              <w:rPr>
                <w:sz w:val="20"/>
                <w:szCs w:val="20"/>
                <w:color w:val="auto"/>
              </w:rPr>
            </w:pPr>
            <w:r>
              <w:rPr>
                <w:rFonts w:ascii="Arial" w:cs="Arial" w:eastAsia="Arial" w:hAnsi="Arial"/>
                <w:sz w:val="18"/>
                <w:szCs w:val="18"/>
                <w:color w:val="auto"/>
              </w:rPr>
              <w:t>10.26</w:t>
            </w:r>
          </w:p>
        </w:tc>
        <w:tc>
          <w:tcPr>
            <w:tcW w:w="7840" w:type="dxa"/>
            <w:vAlign w:val="bottom"/>
            <w:gridSpan w:val="11"/>
          </w:tcPr>
          <w:p>
            <w:pPr>
              <w:spacing w:after="0" w:line="170"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Registration Rights Agreement, dated as of February 12, 2016, between the Company and 667, L.P., Baker</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Brothers Life Sciences, L.P. and 14159, L.P. (incorporated by reference to Exhibit 10.28 to the Company’s</w:t>
              </w:r>
            </w:hyperlink>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11"/>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Annual Report on Form 10-K for the year ended December 31, 2015).</w:t>
              </w:r>
            </w:hyperlink>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21.1*</w:t>
            </w:r>
          </w:p>
        </w:tc>
        <w:tc>
          <w:tcPr>
            <w:tcW w:w="2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Subsidiaries of the Company.</w:t>
              </w:r>
            </w:hyperlink>
          </w:p>
        </w:tc>
        <w:tc>
          <w:tcPr>
            <w:tcW w:w="2920" w:type="dxa"/>
            <w:vAlign w:val="bottom"/>
            <w:tcBorders>
              <w:top w:val="single" w:sz="8" w:color="0000EE"/>
            </w:tcBorders>
            <w:gridSpan w:val="3"/>
          </w:tcPr>
          <w:p>
            <w:pPr>
              <w:spacing w:after="0"/>
              <w:rPr>
                <w:sz w:val="17"/>
                <w:szCs w:val="17"/>
                <w:color w:val="auto"/>
              </w:rPr>
            </w:pPr>
          </w:p>
        </w:tc>
        <w:tc>
          <w:tcPr>
            <w:tcW w:w="28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23.1*</w:t>
            </w:r>
          </w:p>
        </w:tc>
        <w:tc>
          <w:tcPr>
            <w:tcW w:w="58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Consent of Ernst &amp; Young LLP, Independent Registered Public Accounting Firm.</w:t>
              </w:r>
            </w:hyperlink>
          </w:p>
        </w:tc>
        <w:tc>
          <w:tcPr>
            <w:tcW w:w="19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20" w:type="dxa"/>
            <w:vAlign w:val="bottom"/>
          </w:tcPr>
          <w:p>
            <w:pPr>
              <w:ind w:left="80"/>
              <w:spacing w:after="0"/>
              <w:rPr>
                <w:sz w:val="20"/>
                <w:szCs w:val="20"/>
                <w:color w:val="auto"/>
              </w:rPr>
            </w:pPr>
            <w:r>
              <w:rPr>
                <w:rFonts w:ascii="Arial" w:cs="Arial" w:eastAsia="Arial" w:hAnsi="Arial"/>
                <w:sz w:val="18"/>
                <w:szCs w:val="18"/>
                <w:color w:val="auto"/>
              </w:rPr>
              <w:t>24.1*</w:t>
            </w:r>
          </w:p>
        </w:tc>
        <w:tc>
          <w:tcPr>
            <w:tcW w:w="7840" w:type="dxa"/>
            <w:vAlign w:val="bottom"/>
            <w:gridSpan w:val="11"/>
          </w:tcPr>
          <w:p>
            <w:pPr>
              <w:spacing w:after="0"/>
              <w:rPr>
                <w:sz w:val="20"/>
                <w:szCs w:val="20"/>
                <w:color w:val="auto"/>
              </w:rPr>
            </w:pPr>
            <w:r>
              <w:rPr>
                <w:rFonts w:ascii="Arial" w:cs="Arial" w:eastAsia="Arial" w:hAnsi="Arial"/>
                <w:sz w:val="18"/>
                <w:szCs w:val="18"/>
                <w:color w:val="auto"/>
              </w:rPr>
              <w:t>Power of Attorney (see page 130 of this Form 10-K).</w:t>
            </w:r>
          </w:p>
        </w:tc>
        <w:tc>
          <w:tcPr>
            <w:tcW w:w="0" w:type="dxa"/>
            <w:vAlign w:val="bottom"/>
          </w:tcPr>
          <w:p>
            <w:pPr>
              <w:spacing w:after="0"/>
              <w:rPr>
                <w:sz w:val="1"/>
                <w:szCs w:val="1"/>
                <w:color w:val="auto"/>
              </w:rPr>
            </w:pPr>
          </w:p>
        </w:tc>
      </w:tr>
      <w:tr>
        <w:trPr>
          <w:trHeight w:val="190"/>
        </w:trPr>
        <w:tc>
          <w:tcPr>
            <w:tcW w:w="1220" w:type="dxa"/>
            <w:vAlign w:val="bottom"/>
          </w:tcPr>
          <w:p>
            <w:pPr>
              <w:ind w:left="80"/>
              <w:spacing w:after="0" w:line="190" w:lineRule="exact"/>
              <w:rPr>
                <w:sz w:val="20"/>
                <w:szCs w:val="20"/>
                <w:color w:val="auto"/>
              </w:rPr>
            </w:pPr>
            <w:r>
              <w:rPr>
                <w:rFonts w:ascii="Arial" w:cs="Arial" w:eastAsia="Arial" w:hAnsi="Arial"/>
                <w:sz w:val="18"/>
                <w:szCs w:val="18"/>
                <w:color w:val="auto"/>
              </w:rPr>
              <w:t>31.1*</w:t>
            </w:r>
          </w:p>
        </w:tc>
        <w:tc>
          <w:tcPr>
            <w:tcW w:w="7840" w:type="dxa"/>
            <w:vAlign w:val="bottom"/>
            <w:gridSpan w:val="11"/>
          </w:tcPr>
          <w:p>
            <w:pPr>
              <w:spacing w:after="0" w:line="190" w:lineRule="exact"/>
              <w:rPr>
                <w:rFonts w:ascii="Arial" w:cs="Arial" w:eastAsia="Arial" w:hAnsi="Arial"/>
                <w:sz w:val="18"/>
                <w:szCs w:val="18"/>
                <w:color w:val="0000EE"/>
              </w:rPr>
            </w:pPr>
            <w:hyperlink w:anchor="page136">
              <w:r>
                <w:rPr>
                  <w:rFonts w:ascii="Arial" w:cs="Arial" w:eastAsia="Arial" w:hAnsi="Arial"/>
                  <w:sz w:val="18"/>
                  <w:szCs w:val="18"/>
                  <w:color w:val="0000EE"/>
                </w:rPr>
                <w:t>Rule 13a 14(a) Certification of the Chief Executive Officer.</w:t>
              </w:r>
            </w:hyperlink>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31.2*</w:t>
            </w:r>
          </w:p>
        </w:tc>
        <w:tc>
          <w:tcPr>
            <w:tcW w:w="4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Rule 13a 14(a) Certification of the Chief Financial Officer.</w:t>
              </w:r>
            </w:hyperlink>
          </w:p>
        </w:tc>
        <w:tc>
          <w:tcPr>
            <w:tcW w:w="40" w:type="dxa"/>
            <w:vAlign w:val="bottom"/>
            <w:tcBorders>
              <w:top w:val="single" w:sz="8" w:color="0000EE"/>
            </w:tcBorders>
          </w:tcPr>
          <w:p>
            <w:pPr>
              <w:spacing w:after="0"/>
              <w:rPr>
                <w:sz w:val="17"/>
                <w:szCs w:val="17"/>
                <w:color w:val="auto"/>
              </w:rPr>
            </w:pPr>
          </w:p>
        </w:tc>
        <w:tc>
          <w:tcPr>
            <w:tcW w:w="35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32.1**</w:t>
            </w:r>
          </w:p>
        </w:tc>
        <w:tc>
          <w:tcPr>
            <w:tcW w:w="76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38">
              <w:r>
                <w:rPr>
                  <w:rFonts w:ascii="Arial" w:cs="Arial" w:eastAsia="Arial" w:hAnsi="Arial"/>
                  <w:sz w:val="18"/>
                  <w:szCs w:val="18"/>
                  <w:color w:val="0000EE"/>
                  <w:w w:val="91"/>
                </w:rPr>
                <w:t>Statement of the Chief Executive Officer under Section 906 of the Sarbanes Oxley Act of 2002 (18 U.S.C</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840" w:type="dxa"/>
            <w:vAlign w:val="bottom"/>
            <w:gridSpan w:val="11"/>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ind w:left="80"/>
              <w:spacing w:after="0" w:line="196" w:lineRule="exact"/>
              <w:rPr>
                <w:sz w:val="20"/>
                <w:szCs w:val="20"/>
                <w:color w:val="auto"/>
              </w:rPr>
            </w:pPr>
            <w:r>
              <w:rPr>
                <w:rFonts w:ascii="Arial" w:cs="Arial" w:eastAsia="Arial" w:hAnsi="Arial"/>
                <w:sz w:val="18"/>
                <w:szCs w:val="18"/>
                <w:color w:val="auto"/>
              </w:rPr>
              <w:t>32.2**</w:t>
            </w:r>
          </w:p>
        </w:tc>
        <w:tc>
          <w:tcPr>
            <w:tcW w:w="7840" w:type="dxa"/>
            <w:vAlign w:val="bottom"/>
            <w:gridSpan w:val="11"/>
          </w:tcPr>
          <w:p>
            <w:pPr>
              <w:spacing w:after="0" w:line="196" w:lineRule="exact"/>
              <w:rPr>
                <w:rFonts w:ascii="Arial" w:cs="Arial" w:eastAsia="Arial" w:hAnsi="Arial"/>
                <w:sz w:val="18"/>
                <w:szCs w:val="18"/>
                <w:color w:val="0000EE"/>
                <w:w w:val="94"/>
              </w:rPr>
            </w:pPr>
            <w:hyperlink w:anchor="page139">
              <w:r>
                <w:rPr>
                  <w:rFonts w:ascii="Arial" w:cs="Arial" w:eastAsia="Arial" w:hAnsi="Arial"/>
                  <w:sz w:val="18"/>
                  <w:szCs w:val="18"/>
                  <w:color w:val="0000EE"/>
                  <w:w w:val="94"/>
                </w:rPr>
                <w:t>Statement of the Chief Financial Officer under Section 906 of the Sarbanes Oxley Act of 2002 (18 U.S.C</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5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Section 1350).</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20" w:type="dxa"/>
            <w:vAlign w:val="bottom"/>
          </w:tcPr>
          <w:p>
            <w:pPr>
              <w:ind w:left="80"/>
              <w:spacing w:after="0"/>
              <w:rPr>
                <w:sz w:val="20"/>
                <w:szCs w:val="20"/>
                <w:color w:val="auto"/>
              </w:rPr>
            </w:pPr>
            <w:r>
              <w:rPr>
                <w:rFonts w:ascii="Arial" w:cs="Arial" w:eastAsia="Arial" w:hAnsi="Arial"/>
                <w:sz w:val="18"/>
                <w:szCs w:val="18"/>
                <w:color w:val="auto"/>
              </w:rPr>
              <w:t>101.INS*</w:t>
            </w:r>
          </w:p>
        </w:tc>
        <w:tc>
          <w:tcPr>
            <w:tcW w:w="784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220" w:type="dxa"/>
            <w:vAlign w:val="bottom"/>
          </w:tcPr>
          <w:p>
            <w:pPr>
              <w:ind w:left="80"/>
              <w:spacing w:after="0"/>
              <w:rPr>
                <w:sz w:val="20"/>
                <w:szCs w:val="20"/>
                <w:color w:val="auto"/>
              </w:rPr>
            </w:pPr>
            <w:r>
              <w:rPr>
                <w:rFonts w:ascii="Arial" w:cs="Arial" w:eastAsia="Arial" w:hAnsi="Arial"/>
                <w:sz w:val="18"/>
                <w:szCs w:val="18"/>
                <w:color w:val="auto"/>
              </w:rPr>
              <w:t>101.SCH*</w:t>
            </w:r>
          </w:p>
        </w:tc>
        <w:tc>
          <w:tcPr>
            <w:tcW w:w="78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220" w:type="dxa"/>
            <w:vAlign w:val="bottom"/>
          </w:tcPr>
          <w:p>
            <w:pPr>
              <w:ind w:left="80"/>
              <w:spacing w:after="0"/>
              <w:rPr>
                <w:sz w:val="20"/>
                <w:szCs w:val="20"/>
                <w:color w:val="auto"/>
              </w:rPr>
            </w:pPr>
            <w:r>
              <w:rPr>
                <w:rFonts w:ascii="Arial" w:cs="Arial" w:eastAsia="Arial" w:hAnsi="Arial"/>
                <w:sz w:val="18"/>
                <w:szCs w:val="18"/>
                <w:color w:val="auto"/>
              </w:rPr>
              <w:t>101.CAL*</w:t>
            </w:r>
          </w:p>
        </w:tc>
        <w:tc>
          <w:tcPr>
            <w:tcW w:w="78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220" w:type="dxa"/>
            <w:vAlign w:val="bottom"/>
          </w:tcPr>
          <w:p>
            <w:pPr>
              <w:ind w:left="80"/>
              <w:spacing w:after="0"/>
              <w:rPr>
                <w:sz w:val="20"/>
                <w:szCs w:val="20"/>
                <w:color w:val="auto"/>
              </w:rPr>
            </w:pPr>
            <w:r>
              <w:rPr>
                <w:rFonts w:ascii="Arial" w:cs="Arial" w:eastAsia="Arial" w:hAnsi="Arial"/>
                <w:sz w:val="18"/>
                <w:szCs w:val="18"/>
                <w:color w:val="auto"/>
              </w:rPr>
              <w:t>101.LAB*</w:t>
            </w:r>
          </w:p>
        </w:tc>
        <w:tc>
          <w:tcPr>
            <w:tcW w:w="78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1220" w:type="dxa"/>
            <w:vAlign w:val="bottom"/>
          </w:tcPr>
          <w:p>
            <w:pPr>
              <w:ind w:left="80"/>
              <w:spacing w:after="0"/>
              <w:rPr>
                <w:sz w:val="20"/>
                <w:szCs w:val="20"/>
                <w:color w:val="auto"/>
              </w:rPr>
            </w:pPr>
            <w:r>
              <w:rPr>
                <w:rFonts w:ascii="Arial" w:cs="Arial" w:eastAsia="Arial" w:hAnsi="Arial"/>
                <w:sz w:val="18"/>
                <w:szCs w:val="18"/>
                <w:color w:val="auto"/>
              </w:rPr>
              <w:t>101.PRE*</w:t>
            </w:r>
          </w:p>
        </w:tc>
        <w:tc>
          <w:tcPr>
            <w:tcW w:w="7840" w:type="dxa"/>
            <w:vAlign w:val="bottom"/>
            <w:gridSpan w:val="11"/>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color w:val="auto"/>
              </w:rPr>
              <w:t>101.DEF*</w:t>
            </w:r>
          </w:p>
        </w:tc>
        <w:tc>
          <w:tcPr>
            <w:tcW w:w="7840" w:type="dxa"/>
            <w:vAlign w:val="bottom"/>
            <w:gridSpan w:val="11"/>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640" w:hanging="637"/>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jc w:val="both"/>
        <w:ind w:left="660" w:hanging="657"/>
        <w:spacing w:after="0" w:line="219" w:lineRule="exact"/>
        <w:tabs>
          <w:tab w:leader="none" w:pos="732"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accordance with Item 601(b)(32)(ii) of Regulation S</w:t>
      </w:r>
      <w:r>
        <w:rPr>
          <w:rFonts w:ascii="MS PGothic" w:cs="MS PGothic" w:eastAsia="MS PGothic" w:hAnsi="MS PGothic"/>
          <w:sz w:val="17"/>
          <w:szCs w:val="17"/>
          <w:color w:val="auto"/>
        </w:rPr>
        <w:t>‑</w:t>
      </w:r>
      <w:r>
        <w:rPr>
          <w:rFonts w:ascii="Arial" w:cs="Arial" w:eastAsia="Arial" w:hAnsi="Arial"/>
          <w:sz w:val="17"/>
          <w:szCs w:val="17"/>
          <w:color w:val="auto"/>
        </w:rPr>
        <w:t>K and SEC Release Nos. 33</w:t>
      </w:r>
      <w:r>
        <w:rPr>
          <w:rFonts w:ascii="MS PGothic" w:cs="MS PGothic" w:eastAsia="MS PGothic" w:hAnsi="MS PGothic"/>
          <w:sz w:val="17"/>
          <w:szCs w:val="17"/>
          <w:color w:val="auto"/>
        </w:rPr>
        <w:t>‑</w:t>
      </w:r>
      <w:r>
        <w:rPr>
          <w:rFonts w:ascii="Arial" w:cs="Arial" w:eastAsia="Arial" w:hAnsi="Arial"/>
          <w:sz w:val="17"/>
          <w:szCs w:val="17"/>
          <w:color w:val="auto"/>
        </w:rPr>
        <w:t>8238 and 34</w:t>
      </w:r>
      <w:r>
        <w:rPr>
          <w:rFonts w:ascii="MS PGothic" w:cs="MS PGothic" w:eastAsia="MS PGothic" w:hAnsi="MS PGothic"/>
          <w:sz w:val="17"/>
          <w:szCs w:val="17"/>
          <w:color w:val="auto"/>
        </w:rPr>
        <w:t>‑</w:t>
      </w:r>
      <w:r>
        <w:rPr>
          <w:rFonts w:ascii="Arial" w:cs="Arial" w:eastAsia="Arial" w:hAnsi="Arial"/>
          <w:sz w:val="17"/>
          <w:szCs w:val="17"/>
          <w:color w:val="auto"/>
        </w:rPr>
        <w:t>47986, Final Rule: Management’s Reports on Internal Control Over Financial Reporting and Certification of Disclosure in Exchange Act Periodic Reports, the certifications furnished in Exhibits 32.1 and 32.2 hereto are deemed to accompany this Form 10</w:t>
      </w:r>
      <w:r>
        <w:rPr>
          <w:rFonts w:ascii="MS PGothic" w:cs="MS PGothic" w:eastAsia="MS PGothic" w:hAnsi="MS PGothic"/>
          <w:sz w:val="17"/>
          <w:szCs w:val="17"/>
          <w:color w:val="auto"/>
        </w:rPr>
        <w:t>‑</w:t>
      </w:r>
      <w:r>
        <w:rPr>
          <w:rFonts w:ascii="Arial" w:cs="Arial" w:eastAsia="Arial" w:hAnsi="Arial"/>
          <w:sz w:val="17"/>
          <w:szCs w:val="17"/>
          <w:color w:val="auto"/>
        </w:rPr>
        <w:t>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95" w:lineRule="exact"/>
        <w:rPr>
          <w:sz w:val="20"/>
          <w:szCs w:val="20"/>
          <w:color w:val="auto"/>
        </w:rPr>
      </w:pPr>
    </w:p>
    <w:p>
      <w:pPr>
        <w:ind w:left="640" w:hanging="637"/>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these agreements.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 or arrangement.</w:t>
      </w:r>
    </w:p>
    <w:p>
      <w:pPr>
        <w:spacing w:after="0" w:line="225" w:lineRule="exact"/>
        <w:rPr>
          <w:sz w:val="20"/>
          <w:szCs w:val="20"/>
          <w:color w:val="auto"/>
        </w:rPr>
      </w:pPr>
    </w:p>
    <w:p>
      <w:pPr>
        <w:ind w:firstLine="648"/>
        <w:spacing w:after="0" w:line="223" w:lineRule="exact"/>
        <w:rPr>
          <w:sz w:val="20"/>
          <w:szCs w:val="20"/>
          <w:color w:val="auto"/>
        </w:rPr>
      </w:pPr>
      <w:r>
        <w:rPr>
          <w:rFonts w:ascii="Arial" w:cs="Arial" w:eastAsia="Arial" w:hAnsi="Arial"/>
          <w:sz w:val="18"/>
          <w:szCs w:val="18"/>
          <w:color w:val="auto"/>
        </w:rPr>
        <w:t>Copies of above exhibits not contained herein are available to any stockholder upon written request to: Investor Relations, Incyte Corporation, 1801 Augustine Cut</w:t>
      </w:r>
      <w:r>
        <w:rPr>
          <w:rFonts w:ascii="MS PGothic" w:cs="MS PGothic" w:eastAsia="MS PGothic" w:hAnsi="MS PGothic"/>
          <w:sz w:val="18"/>
          <w:szCs w:val="18"/>
          <w:color w:val="auto"/>
        </w:rPr>
        <w:t>‑</w:t>
      </w:r>
      <w:r>
        <w:rPr>
          <w:rFonts w:ascii="Arial" w:cs="Arial" w:eastAsia="Arial" w:hAnsi="Arial"/>
          <w:sz w:val="18"/>
          <w:szCs w:val="18"/>
          <w:color w:val="auto"/>
        </w:rPr>
        <w:t>Off, Wilmington, DE 19803.</w:t>
      </w:r>
    </w:p>
    <w:p>
      <w:pPr>
        <w:spacing w:after="0" w:line="199" w:lineRule="exact"/>
        <w:rPr>
          <w:sz w:val="20"/>
          <w:szCs w:val="20"/>
          <w:color w:val="auto"/>
        </w:rPr>
      </w:pPr>
    </w:p>
    <w:p>
      <w:pPr>
        <w:ind w:left="680" w:hanging="677"/>
        <w:spacing w:after="0"/>
        <w:tabs>
          <w:tab w:leader="none" w:pos="6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Item 15(a)(2) above.</w:t>
      </w:r>
    </w:p>
    <w:p>
      <w:pPr>
        <w:spacing w:after="0" w:line="221" w:lineRule="exact"/>
        <w:rPr>
          <w:sz w:val="20"/>
          <w:szCs w:val="20"/>
          <w:color w:val="auto"/>
        </w:rPr>
      </w:pPr>
    </w:p>
    <w:p>
      <w:pPr>
        <w:jc w:val="center"/>
        <w:ind w:right="6700"/>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Form 10-K Summary.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INCYTE CORPORATION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By:/s/Hervé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5715</wp:posOffset>
            </wp:positionV>
            <wp:extent cx="24441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Hervé Hoppenot</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6"/>
          <w:szCs w:val="16"/>
          <w:i w:val="1"/>
          <w:iCs w:val="1"/>
          <w:color w:val="auto"/>
        </w:rPr>
        <w:t>Chairman, President, and 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KNOW ALL PERSONS BY THESE PRESENTS, that each person whose signature appears below constitutes and appoints Hervé Hoppenot, Christiana Stamoulis, and Maria E. Pasquale, and each of them, his true and lawful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each with full power of substitution, for him or her in any and all capacities, to sign any amendments to this report on Form 10</w:t>
      </w:r>
      <w:r>
        <w:rPr>
          <w:rFonts w:ascii="MS PGothic" w:cs="MS PGothic" w:eastAsia="MS PGothic" w:hAnsi="MS PGothic"/>
          <w:sz w:val="18"/>
          <w:szCs w:val="18"/>
          <w:color w:val="auto"/>
        </w:rPr>
        <w:t>‑</w:t>
      </w:r>
      <w:r>
        <w:rPr>
          <w:rFonts w:ascii="Arial" w:cs="Arial" w:eastAsia="Arial" w:hAnsi="Arial"/>
          <w:sz w:val="18"/>
          <w:szCs w:val="18"/>
          <w:color w:val="auto"/>
        </w:rPr>
        <w:t>K and to file the same, with exhibits thereto and other documents in connection therewith, with the Securities and Exchange Commission, hereby ratifying and confirming all that each of said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their substitute or substitutes may do or cause to be done by virtue hereof.</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20" w:type="dxa"/>
            <w:vAlign w:val="bottom"/>
            <w:tcBorders>
              <w:bottom w:val="single" w:sz="8" w:color="auto"/>
            </w:tcBorders>
          </w:tcPr>
          <w:p>
            <w:pPr>
              <w:jc w:val="right"/>
              <w:ind w:right="1948"/>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Chairman, President, and Chief Executive Officer</w:t>
            </w:r>
          </w:p>
        </w:tc>
        <w:tc>
          <w:tcPr>
            <w:tcW w:w="16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14, 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2660" w:type="dxa"/>
            <w:vAlign w:val="bottom"/>
            <w:vMerge w:val="restart"/>
          </w:tcPr>
          <w:p>
            <w:pPr>
              <w:jc w:val="center"/>
              <w:spacing w:after="0"/>
              <w:rPr>
                <w:sz w:val="20"/>
                <w:szCs w:val="20"/>
                <w:color w:val="auto"/>
              </w:rPr>
            </w:pPr>
            <w:r>
              <w:rPr>
                <w:rFonts w:ascii="Arial" w:cs="Arial" w:eastAsia="Arial" w:hAnsi="Arial"/>
                <w:sz w:val="18"/>
                <w:szCs w:val="18"/>
                <w:color w:val="auto"/>
                <w:w w:val="91"/>
              </w:rPr>
              <w:t>/s/ Hervé Hoppenot</w:t>
            </w:r>
          </w:p>
        </w:tc>
        <w:tc>
          <w:tcPr>
            <w:tcW w:w="80" w:type="dxa"/>
            <w:vAlign w:val="bottom"/>
          </w:tcPr>
          <w:p>
            <w:pPr>
              <w:spacing w:after="0"/>
              <w:rPr>
                <w:sz w:val="10"/>
                <w:szCs w:val="10"/>
                <w:color w:val="auto"/>
              </w:rPr>
            </w:pPr>
          </w:p>
        </w:tc>
        <w:tc>
          <w:tcPr>
            <w:tcW w:w="4400" w:type="dxa"/>
            <w:vAlign w:val="bottom"/>
            <w:gridSpan w:val="2"/>
            <w:vMerge w:val="restart"/>
          </w:tcPr>
          <w:p>
            <w:pPr>
              <w:ind w:left="80"/>
              <w:spacing w:after="0"/>
              <w:rPr>
                <w:sz w:val="20"/>
                <w:szCs w:val="20"/>
                <w:color w:val="auto"/>
              </w:rPr>
            </w:pPr>
            <w:r>
              <w:rPr>
                <w:rFonts w:ascii="Arial" w:cs="Arial" w:eastAsia="Arial" w:hAnsi="Arial"/>
                <w:sz w:val="18"/>
                <w:szCs w:val="18"/>
                <w:color w:val="auto"/>
              </w:rPr>
              <w:t>(Principal Executive Officer) and Director</w:t>
            </w:r>
          </w:p>
        </w:tc>
        <w:tc>
          <w:tcPr>
            <w:tcW w:w="1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Hervé Hoppenot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Christiana Stamoulis</w:t>
            </w:r>
          </w:p>
        </w:tc>
        <w:tc>
          <w:tcPr>
            <w:tcW w:w="80" w:type="dxa"/>
            <w:vAlign w:val="bottom"/>
            <w:tcBorders>
              <w:bottom w:val="single" w:sz="8" w:color="auto"/>
            </w:tcBorders>
          </w:tcPr>
          <w:p>
            <w:pPr>
              <w:spacing w:after="0"/>
              <w:rPr>
                <w:sz w:val="24"/>
                <w:szCs w:val="24"/>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Chief Financial Officer (Principal Financial Officer)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Christiana Stamoulis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Paul Trower</w:t>
            </w:r>
          </w:p>
        </w:tc>
        <w:tc>
          <w:tcPr>
            <w:tcW w:w="80" w:type="dxa"/>
            <w:vAlign w:val="bottom"/>
            <w:tcBorders>
              <w:bottom w:val="single" w:sz="8" w:color="auto"/>
            </w:tcBorders>
          </w:tcPr>
          <w:p>
            <w:pPr>
              <w:spacing w:after="0"/>
              <w:rPr>
                <w:sz w:val="24"/>
                <w:szCs w:val="24"/>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VP, Finance (Principal Accounting Officer)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Paul Trower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Julian C. Baker</w:t>
            </w:r>
          </w:p>
        </w:tc>
        <w:tc>
          <w:tcPr>
            <w:tcW w:w="80" w:type="dxa"/>
            <w:vAlign w:val="bottom"/>
            <w:tcBorders>
              <w:bottom w:val="single" w:sz="8" w:color="auto"/>
            </w:tcBorders>
          </w:tcPr>
          <w:p>
            <w:pPr>
              <w:spacing w:after="0"/>
              <w:rPr>
                <w:sz w:val="24"/>
                <w:szCs w:val="24"/>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Julian C. Baker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8"/>
                <w:szCs w:val="18"/>
                <w:color w:val="auto"/>
                <w:w w:val="88"/>
              </w:rPr>
              <w:t>/s/ Jean</w:t>
            </w:r>
            <w:r>
              <w:rPr>
                <w:rFonts w:ascii="MS PGothic" w:cs="MS PGothic" w:eastAsia="MS PGothic" w:hAnsi="MS PGothic"/>
                <w:sz w:val="18"/>
                <w:szCs w:val="18"/>
                <w:color w:val="auto"/>
                <w:w w:val="88"/>
              </w:rPr>
              <w:t>‑</w:t>
            </w:r>
            <w:r>
              <w:rPr>
                <w:rFonts w:ascii="Arial" w:cs="Arial" w:eastAsia="Arial" w:hAnsi="Arial"/>
                <w:sz w:val="18"/>
                <w:szCs w:val="18"/>
                <w:color w:val="auto"/>
                <w:w w:val="88"/>
              </w:rPr>
              <w:t>Jacques Bienaimé</w:t>
            </w:r>
          </w:p>
        </w:tc>
        <w:tc>
          <w:tcPr>
            <w:tcW w:w="80" w:type="dxa"/>
            <w:vAlign w:val="bottom"/>
            <w:tcBorders>
              <w:bottom w:val="single" w:sz="8" w:color="auto"/>
            </w:tcBorders>
          </w:tcPr>
          <w:p>
            <w:pPr>
              <w:spacing w:after="0"/>
              <w:rPr>
                <w:sz w:val="24"/>
                <w:szCs w:val="24"/>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line="207" w:lineRule="exact"/>
              <w:rPr>
                <w:sz w:val="20"/>
                <w:szCs w:val="20"/>
                <w:color w:val="auto"/>
              </w:rPr>
            </w:pPr>
            <w:r>
              <w:rPr>
                <w:rFonts w:ascii="Arial" w:cs="Arial" w:eastAsia="Arial" w:hAnsi="Arial"/>
                <w:sz w:val="18"/>
                <w:szCs w:val="18"/>
                <w:color w:val="auto"/>
                <w:w w:val="87"/>
              </w:rPr>
              <w:t>Jean</w:t>
            </w:r>
            <w:r>
              <w:rPr>
                <w:rFonts w:ascii="MS PGothic" w:cs="MS PGothic" w:eastAsia="MS PGothic" w:hAnsi="MS PGothic"/>
                <w:sz w:val="18"/>
                <w:szCs w:val="18"/>
                <w:color w:val="auto"/>
                <w:w w:val="87"/>
              </w:rPr>
              <w:t>‑</w:t>
            </w:r>
            <w:r>
              <w:rPr>
                <w:rFonts w:ascii="Arial" w:cs="Arial" w:eastAsia="Arial" w:hAnsi="Arial"/>
                <w:sz w:val="18"/>
                <w:szCs w:val="18"/>
                <w:color w:val="auto"/>
                <w:w w:val="87"/>
              </w:rPr>
              <w:t>Jacques Bienaimé</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Paul A. Brooke</w:t>
            </w:r>
          </w:p>
        </w:tc>
        <w:tc>
          <w:tcPr>
            <w:tcW w:w="80" w:type="dxa"/>
            <w:vAlign w:val="bottom"/>
            <w:tcBorders>
              <w:bottom w:val="single" w:sz="8" w:color="auto"/>
            </w:tcBorders>
          </w:tcPr>
          <w:p>
            <w:pPr>
              <w:spacing w:after="0"/>
              <w:rPr>
                <w:sz w:val="24"/>
                <w:szCs w:val="24"/>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3"/>
              </w:rPr>
              <w:t>Paul A. Brooke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Paul J. Clancy</w:t>
            </w:r>
          </w:p>
        </w:tc>
        <w:tc>
          <w:tcPr>
            <w:tcW w:w="80" w:type="dxa"/>
            <w:vAlign w:val="bottom"/>
            <w:tcBorders>
              <w:bottom w:val="single" w:sz="8" w:color="auto"/>
            </w:tcBorders>
          </w:tcPr>
          <w:p>
            <w:pPr>
              <w:spacing w:after="0"/>
              <w:rPr>
                <w:sz w:val="24"/>
                <w:szCs w:val="24"/>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Paul J. Clancy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Wendy L. Dixon</w:t>
            </w:r>
          </w:p>
        </w:tc>
        <w:tc>
          <w:tcPr>
            <w:tcW w:w="80" w:type="dxa"/>
            <w:vAlign w:val="bottom"/>
            <w:tcBorders>
              <w:bottom w:val="single" w:sz="8" w:color="auto"/>
            </w:tcBorders>
          </w:tcPr>
          <w:p>
            <w:pPr>
              <w:spacing w:after="0"/>
              <w:rPr>
                <w:sz w:val="24"/>
                <w:szCs w:val="24"/>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4"/>
              </w:rPr>
              <w:t>Wendy L. Dixon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Jacqualyn A. Fouse</w:t>
            </w:r>
          </w:p>
        </w:tc>
        <w:tc>
          <w:tcPr>
            <w:tcW w:w="80" w:type="dxa"/>
            <w:vAlign w:val="bottom"/>
            <w:tcBorders>
              <w:bottom w:val="single" w:sz="8" w:color="auto"/>
            </w:tcBorders>
          </w:tcPr>
          <w:p>
            <w:pPr>
              <w:spacing w:after="0"/>
              <w:rPr>
                <w:sz w:val="24"/>
                <w:szCs w:val="24"/>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Jacqualyn A. Fouse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Paul A. Friedman</w:t>
            </w:r>
          </w:p>
        </w:tc>
        <w:tc>
          <w:tcPr>
            <w:tcW w:w="80" w:type="dxa"/>
            <w:vAlign w:val="bottom"/>
            <w:tcBorders>
              <w:bottom w:val="single" w:sz="8" w:color="auto"/>
            </w:tcBorders>
          </w:tcPr>
          <w:p>
            <w:pPr>
              <w:spacing w:after="0"/>
              <w:rPr>
                <w:sz w:val="24"/>
                <w:szCs w:val="24"/>
                <w:color w:val="auto"/>
              </w:rPr>
            </w:pP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Paul A. Friedman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80" w:type="dxa"/>
            <w:vAlign w:val="bottom"/>
            <w:gridSpan w:val="3"/>
          </w:tcPr>
          <w:p>
            <w:pPr>
              <w:jc w:val="right"/>
              <w:ind w:right="2488"/>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31" w:name="page132"/>
    <w:bookmarkEnd w:id="131"/>
    <w:p>
      <w:pPr>
        <w:jc w:val="right"/>
        <w:ind w:right="139"/>
        <w:spacing w:after="0"/>
        <w:rPr>
          <w:sz w:val="20"/>
          <w:szCs w:val="20"/>
          <w:color w:val="auto"/>
        </w:rPr>
      </w:pPr>
      <w:r>
        <w:rPr>
          <w:rFonts w:ascii="Arial" w:cs="Arial" w:eastAsia="Arial" w:hAnsi="Arial"/>
          <w:sz w:val="18"/>
          <w:szCs w:val="18"/>
          <w:b w:val="1"/>
          <w:bCs w:val="1"/>
          <w:color w:val="auto"/>
        </w:rPr>
        <w:t>Exhibit 10.14</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Incyte Corporation</w:t>
      </w:r>
    </w:p>
    <w:p>
      <w:pPr>
        <w:ind w:left="160"/>
        <w:spacing w:after="0" w:line="203" w:lineRule="auto"/>
        <w:rPr>
          <w:sz w:val="20"/>
          <w:szCs w:val="20"/>
          <w:color w:val="auto"/>
        </w:rPr>
      </w:pPr>
      <w:r>
        <w:rPr>
          <w:rFonts w:ascii="Arial" w:cs="Arial" w:eastAsia="Arial" w:hAnsi="Arial"/>
          <w:sz w:val="18"/>
          <w:szCs w:val="18"/>
          <w:color w:val="auto"/>
        </w:rPr>
        <w:t>1801 Augustine Cut-Off</w:t>
      </w:r>
    </w:p>
    <w:p>
      <w:pPr>
        <w:ind w:left="160"/>
        <w:spacing w:after="0" w:line="204" w:lineRule="auto"/>
        <w:rPr>
          <w:sz w:val="20"/>
          <w:szCs w:val="20"/>
          <w:color w:val="auto"/>
        </w:rPr>
      </w:pPr>
      <w:r>
        <w:rPr>
          <w:rFonts w:ascii="Arial" w:cs="Arial" w:eastAsia="Arial" w:hAnsi="Arial"/>
          <w:sz w:val="18"/>
          <w:szCs w:val="18"/>
          <w:color w:val="auto"/>
        </w:rPr>
        <w:t>Wilmington, DE 19803</w:t>
      </w:r>
    </w:p>
    <w:p>
      <w:pPr>
        <w:ind w:left="160"/>
        <w:spacing w:after="0" w:line="203" w:lineRule="auto"/>
        <w:rPr>
          <w:sz w:val="20"/>
          <w:szCs w:val="20"/>
          <w:color w:val="auto"/>
        </w:rPr>
      </w:pPr>
      <w:r>
        <w:rPr>
          <w:rFonts w:ascii="Arial" w:cs="Arial" w:eastAsia="Arial" w:hAnsi="Arial"/>
          <w:sz w:val="18"/>
          <w:szCs w:val="18"/>
          <w:color w:val="auto"/>
        </w:rPr>
        <w:t>Tel 302.498.6700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Web www.incyte.com</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14, 2018</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Christiana Stamoulis</w:t>
      </w:r>
    </w:p>
    <w:p>
      <w:pPr>
        <w:ind w:left="160"/>
        <w:spacing w:after="0" w:line="203" w:lineRule="auto"/>
        <w:rPr>
          <w:sz w:val="20"/>
          <w:szCs w:val="20"/>
          <w:color w:val="auto"/>
        </w:rPr>
      </w:pPr>
      <w:r>
        <w:rPr>
          <w:rFonts w:ascii="Arial" w:cs="Arial" w:eastAsia="Arial" w:hAnsi="Arial"/>
          <w:sz w:val="18"/>
          <w:szCs w:val="18"/>
          <w:color w:val="auto"/>
        </w:rPr>
        <w:t>175 Blossom Street</w:t>
      </w:r>
    </w:p>
    <w:p>
      <w:pPr>
        <w:ind w:left="160"/>
        <w:spacing w:after="0" w:line="204" w:lineRule="auto"/>
        <w:rPr>
          <w:sz w:val="20"/>
          <w:szCs w:val="20"/>
          <w:color w:val="auto"/>
        </w:rPr>
      </w:pPr>
      <w:r>
        <w:rPr>
          <w:rFonts w:ascii="Arial" w:cs="Arial" w:eastAsia="Arial" w:hAnsi="Arial"/>
          <w:sz w:val="18"/>
          <w:szCs w:val="18"/>
          <w:color w:val="auto"/>
        </w:rPr>
        <w:t>Apt. 1304</w:t>
      </w:r>
    </w:p>
    <w:p>
      <w:pPr>
        <w:ind w:left="160"/>
        <w:spacing w:after="0"/>
        <w:rPr>
          <w:sz w:val="20"/>
          <w:szCs w:val="20"/>
          <w:color w:val="auto"/>
        </w:rPr>
      </w:pPr>
      <w:r>
        <w:rPr>
          <w:rFonts w:ascii="Arial" w:cs="Arial" w:eastAsia="Arial" w:hAnsi="Arial"/>
          <w:sz w:val="18"/>
          <w:szCs w:val="18"/>
          <w:color w:val="auto"/>
        </w:rPr>
        <w:t>Boston, MA 02114</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Dear Christiana:</w:t>
      </w:r>
    </w:p>
    <w:p>
      <w:pPr>
        <w:spacing w:after="0" w:line="144" w:lineRule="exact"/>
        <w:rPr>
          <w:sz w:val="20"/>
          <w:szCs w:val="20"/>
          <w:color w:val="auto"/>
        </w:rPr>
      </w:pPr>
    </w:p>
    <w:p>
      <w:pPr>
        <w:jc w:val="both"/>
        <w:ind w:left="160" w:right="139"/>
        <w:spacing w:after="0" w:line="239" w:lineRule="auto"/>
        <w:rPr>
          <w:sz w:val="20"/>
          <w:szCs w:val="20"/>
          <w:color w:val="auto"/>
        </w:rPr>
      </w:pPr>
      <w:r>
        <w:rPr>
          <w:rFonts w:ascii="Arial" w:cs="Arial" w:eastAsia="Arial" w:hAnsi="Arial"/>
          <w:sz w:val="16"/>
          <w:szCs w:val="16"/>
          <w:color w:val="auto"/>
        </w:rPr>
        <w:t>It is with great pleasure that we offer you the position of Executive Vice President &amp; Chief Financial Officer at Incyte Corporation. In this position you will report directly to Hervé Hoppenot, Chairman, President &amp; Chief Executive Officer. The terms of this offer are set forth in this letter. Should you accept our offer, your salary will be $21,538.46 per bi-weekly pay period (equivalent to $560,000.00 on an annualized basis). This is a salaried, exempt position, as your salary covers compensation for all hours worked. As an incentive for joining Incyte, we offer a signing bonus of $280,000.00. You agree that if you voluntarily terminate your employment or are terminated for cause within one year from your start date, you will repay the bonus amount to Incyte. Performance evaluations will be conducted annually.</w:t>
      </w:r>
    </w:p>
    <w:p>
      <w:pPr>
        <w:spacing w:after="0" w:line="122" w:lineRule="exact"/>
        <w:rPr>
          <w:sz w:val="20"/>
          <w:szCs w:val="20"/>
          <w:color w:val="auto"/>
        </w:rPr>
      </w:pPr>
    </w:p>
    <w:p>
      <w:pPr>
        <w:jc w:val="both"/>
        <w:ind w:left="160" w:right="139"/>
        <w:spacing w:after="0" w:line="211" w:lineRule="auto"/>
        <w:rPr>
          <w:sz w:val="20"/>
          <w:szCs w:val="20"/>
          <w:color w:val="auto"/>
        </w:rPr>
      </w:pPr>
      <w:r>
        <w:rPr>
          <w:rFonts w:ascii="Arial" w:cs="Arial" w:eastAsia="Arial" w:hAnsi="Arial"/>
          <w:sz w:val="18"/>
          <w:szCs w:val="18"/>
          <w:color w:val="auto"/>
        </w:rPr>
        <w:t>You are eligible to participate in the Incentive Compensation Plan (ICP), an annual cash incentive plan. Employees are assigned a “Funding Target”, based on their job category, as a percent of base pay. As an Executive Vice President, your funding target is 50%. Your individual award will be based on Company Performance vs. Company Goals, and your Individual Performance vs. your Individual Goals. Actual awards are variable and could be more or less than your individual funding target and may be prorated based on your start date. This cash incentive plan is subject to ongoing approval by the company’s Board of Directors, and may be modified or terminated by the Board of Directors at any time at their sole discretion. In order to have been eligible for a 2018 bonus, you must have begun employment prior to November 1, 2018.</w:t>
      </w:r>
    </w:p>
    <w:p>
      <w:pPr>
        <w:spacing w:after="0" w:line="124" w:lineRule="exact"/>
        <w:rPr>
          <w:sz w:val="20"/>
          <w:szCs w:val="20"/>
          <w:color w:val="auto"/>
        </w:rPr>
      </w:pPr>
    </w:p>
    <w:p>
      <w:pPr>
        <w:ind w:left="160" w:right="199"/>
        <w:spacing w:after="0" w:line="235" w:lineRule="auto"/>
        <w:rPr>
          <w:sz w:val="20"/>
          <w:szCs w:val="20"/>
          <w:color w:val="auto"/>
        </w:rPr>
      </w:pPr>
      <w:r>
        <w:rPr>
          <w:rFonts w:ascii="Arial" w:cs="Arial" w:eastAsia="Arial" w:hAnsi="Arial"/>
          <w:sz w:val="18"/>
          <w:szCs w:val="18"/>
          <w:color w:val="auto"/>
        </w:rPr>
        <w:t>In lieu of a relocation package, we will pay your weekly round trip travel to Boston for 3 years from your start date. We will also work with you to accommodate the flexible work arrangement that we discussed.</w:t>
      </w:r>
    </w:p>
    <w:p>
      <w:pPr>
        <w:spacing w:after="0" w:line="121" w:lineRule="exact"/>
        <w:rPr>
          <w:sz w:val="20"/>
          <w:szCs w:val="20"/>
          <w:color w:val="auto"/>
        </w:rPr>
      </w:pPr>
    </w:p>
    <w:p>
      <w:pPr>
        <w:jc w:val="both"/>
        <w:ind w:left="160" w:right="139"/>
        <w:spacing w:after="0" w:line="212" w:lineRule="auto"/>
        <w:rPr>
          <w:sz w:val="20"/>
          <w:szCs w:val="20"/>
          <w:color w:val="auto"/>
        </w:rPr>
      </w:pPr>
      <w:r>
        <w:rPr>
          <w:rFonts w:ascii="Arial" w:cs="Arial" w:eastAsia="Arial" w:hAnsi="Arial"/>
          <w:sz w:val="18"/>
          <w:szCs w:val="18"/>
          <w:color w:val="auto"/>
        </w:rPr>
        <w:t>As a valued employee of Incyte, subject to approval by the Board of Directors, you will receive equity awards under the Incyte 2010 Stock Option Plan with an aggregate award value of $3,300,000, seventy-five (75%) of your grant in the form of options to purchase the Company’s common stock and the remaining twenty-five percent (25%) in the form of Restricted Stock Units (RSUs). The number of Stock Options shall be calculated and granted to you on your start date. The RSUs will also be awarded to you on your start date. The specific terms and conditions of this grant including exercise price and vesting conditions will be set forth in an Equity Grant Agreement to be entered into between you and the Company.</w:t>
      </w:r>
    </w:p>
    <w:p>
      <w:pPr>
        <w:spacing w:after="0" w:line="125" w:lineRule="exact"/>
        <w:rPr>
          <w:sz w:val="20"/>
          <w:szCs w:val="20"/>
          <w:color w:val="auto"/>
        </w:rPr>
      </w:pPr>
    </w:p>
    <w:p>
      <w:pPr>
        <w:jc w:val="both"/>
        <w:ind w:left="160" w:right="139"/>
        <w:spacing w:after="0" w:line="223" w:lineRule="auto"/>
        <w:rPr>
          <w:sz w:val="20"/>
          <w:szCs w:val="20"/>
          <w:color w:val="auto"/>
        </w:rPr>
      </w:pPr>
      <w:r>
        <w:rPr>
          <w:rFonts w:ascii="Arial" w:cs="Arial" w:eastAsia="Arial" w:hAnsi="Arial"/>
          <w:sz w:val="17"/>
          <w:szCs w:val="17"/>
          <w:color w:val="auto"/>
        </w:rPr>
        <w:t>As was discussed in the interview process, Incyte offers employees and their eligible dependents a variety of group health insurance benefits. Effective on your first day of employment, you will be eligible for these benefits which currently include medical, dental, vision, disability and life insurances. An outline of our benefit package is enclosed. The premium costs of these benefits for employees are currently being paid by Incyte. Incyte offers a 401(k) Plan available for your participation effective on your first day of employment. Paid Time Off (PTO) accrues quarterly to a maximum of 20 days (160 hours) per 12-month period with 4 years of service or less, to a maximum of 25 days (200 hours) for years 5 through 9, and a maximum of 30 days (240 hours) for year 10 and beyond. These hours are accrued the first day of each quarter. As a new hire, you will accrue a full 5 days (40 hours) of PTO for the quarter in which you start. Information about these programs and other Company benefits along with guidelines concerning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120015</wp:posOffset>
            </wp:positionV>
            <wp:extent cx="554863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2" w:name="page133"/>
    <w:bookmarkEnd w:id="132"/>
    <w:p>
      <w:pPr>
        <w:jc w:val="right"/>
        <w:ind w:right="139"/>
        <w:spacing w:after="0"/>
        <w:rPr>
          <w:sz w:val="20"/>
          <w:szCs w:val="20"/>
          <w:color w:val="auto"/>
        </w:rPr>
      </w:pPr>
      <w:r>
        <w:rPr>
          <w:rFonts w:ascii="Arial" w:cs="Arial" w:eastAsia="Arial" w:hAnsi="Arial"/>
          <w:sz w:val="18"/>
          <w:szCs w:val="18"/>
          <w:b w:val="1"/>
          <w:bCs w:val="1"/>
          <w:color w:val="auto"/>
        </w:rPr>
        <w:t>Exhibit 10.14</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employment are contained in Incyte’s Employee Handbook.</w:t>
      </w:r>
    </w:p>
    <w:p>
      <w:pPr>
        <w:spacing w:after="0" w:line="144" w:lineRule="exact"/>
        <w:rPr>
          <w:sz w:val="20"/>
          <w:szCs w:val="20"/>
          <w:color w:val="auto"/>
        </w:rPr>
      </w:pPr>
    </w:p>
    <w:p>
      <w:pPr>
        <w:jc w:val="both"/>
        <w:ind w:left="160" w:right="139"/>
        <w:spacing w:after="0" w:line="225" w:lineRule="auto"/>
        <w:rPr>
          <w:sz w:val="20"/>
          <w:szCs w:val="20"/>
          <w:color w:val="auto"/>
        </w:rPr>
      </w:pPr>
      <w:r>
        <w:rPr>
          <w:rFonts w:ascii="Arial" w:cs="Arial" w:eastAsia="Arial" w:hAnsi="Arial"/>
          <w:sz w:val="17"/>
          <w:szCs w:val="17"/>
          <w:color w:val="auto"/>
        </w:rPr>
        <w:t>You will receive a Confidential Information and Invention Assignment Agreement (“Confidentiality Agreement”) as in the form attached as Appendix A in your onboarding packet which will be sent to you electronically prior to your start date. As a condition of your employment with Incyte, you are required to electronically sign the Confidentiality Agreement protecting Incyte's proprietary and competitive information prior to your start date. This offer of employment is subject to your acceptance of the terms of the Confidentiality Agreement. Please note that your employment with Incyte, if accepted, will be on an “at will” basis, meaning that either you or the Company can terminate the employment relationship for any reason at any time.</w:t>
      </w:r>
    </w:p>
    <w:p>
      <w:pPr>
        <w:spacing w:after="0" w:line="122" w:lineRule="exact"/>
        <w:rPr>
          <w:sz w:val="20"/>
          <w:szCs w:val="20"/>
          <w:color w:val="auto"/>
        </w:rPr>
      </w:pPr>
    </w:p>
    <w:p>
      <w:pPr>
        <w:jc w:val="both"/>
        <w:ind w:left="160" w:right="159"/>
        <w:spacing w:after="0" w:line="224" w:lineRule="auto"/>
        <w:rPr>
          <w:sz w:val="20"/>
          <w:szCs w:val="20"/>
          <w:color w:val="auto"/>
        </w:rPr>
      </w:pPr>
      <w:r>
        <w:rPr>
          <w:rFonts w:ascii="Arial" w:cs="Arial" w:eastAsia="Arial" w:hAnsi="Arial"/>
          <w:sz w:val="18"/>
          <w:szCs w:val="18"/>
          <w:color w:val="auto"/>
        </w:rPr>
        <w:t>This offer of employment is contingent upon your being able to provide Incyte with documentation that verifies your identity and employment eligibility on the date that you report to work. This offer of employment is also contingent on the Company receiving satisfactory background checks.</w:t>
      </w:r>
    </w:p>
    <w:p>
      <w:pPr>
        <w:spacing w:after="0" w:line="123" w:lineRule="exact"/>
        <w:rPr>
          <w:sz w:val="20"/>
          <w:szCs w:val="20"/>
          <w:color w:val="auto"/>
        </w:rPr>
      </w:pPr>
    </w:p>
    <w:p>
      <w:pPr>
        <w:jc w:val="both"/>
        <w:ind w:left="160" w:right="139"/>
        <w:spacing w:after="0" w:line="235" w:lineRule="auto"/>
        <w:rPr>
          <w:sz w:val="20"/>
          <w:szCs w:val="20"/>
          <w:color w:val="auto"/>
        </w:rPr>
      </w:pPr>
      <w:r>
        <w:rPr>
          <w:rFonts w:ascii="Arial" w:cs="Arial" w:eastAsia="Arial" w:hAnsi="Arial"/>
          <w:sz w:val="18"/>
          <w:szCs w:val="18"/>
          <w:color w:val="auto"/>
        </w:rPr>
        <w:t>Christiana, we would be delighted by your decision to join Incyte Corporation and we look forward to your acceptance of this offer of employment. We believe Incyte offers an exciting and challenging opportunity.</w:t>
      </w:r>
    </w:p>
    <w:p>
      <w:pPr>
        <w:spacing w:after="0" w:line="121" w:lineRule="exact"/>
        <w:rPr>
          <w:sz w:val="20"/>
          <w:szCs w:val="20"/>
          <w:color w:val="auto"/>
        </w:rPr>
      </w:pPr>
    </w:p>
    <w:p>
      <w:pPr>
        <w:jc w:val="both"/>
        <w:ind w:left="160" w:right="139"/>
        <w:spacing w:after="0" w:line="219" w:lineRule="auto"/>
        <w:rPr>
          <w:sz w:val="20"/>
          <w:szCs w:val="20"/>
          <w:color w:val="auto"/>
        </w:rPr>
      </w:pPr>
      <w:r>
        <w:rPr>
          <w:rFonts w:ascii="Arial" w:cs="Arial" w:eastAsia="Arial" w:hAnsi="Arial"/>
          <w:sz w:val="18"/>
          <w:szCs w:val="18"/>
          <w:color w:val="auto"/>
        </w:rPr>
        <w:t>In order to confirm your agreement with and acceptance of these terms, please fax your signed acceptance letter to the confidential Human Resources Department fax: 302-425-2704 or scan it to Bonnie Croce at bcroce@incyte.com. In the meantime, should you have any questions about our offer or about the Company more generally, please contact either of us.</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Sincerely,</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/s/ Hervé Hoppenot</w:t>
      </w:r>
    </w:p>
    <w:p>
      <w:pPr>
        <w:ind w:left="160"/>
        <w:spacing w:after="0" w:line="203" w:lineRule="auto"/>
        <w:rPr>
          <w:sz w:val="20"/>
          <w:szCs w:val="20"/>
          <w:color w:val="auto"/>
        </w:rPr>
      </w:pPr>
      <w:r>
        <w:rPr>
          <w:rFonts w:ascii="Arial" w:cs="Arial" w:eastAsia="Arial" w:hAnsi="Arial"/>
          <w:sz w:val="18"/>
          <w:szCs w:val="18"/>
          <w:color w:val="auto"/>
        </w:rPr>
        <w:t>Hervé Hoppenot</w:t>
      </w:r>
    </w:p>
    <w:p>
      <w:pPr>
        <w:ind w:left="160"/>
        <w:spacing w:after="0"/>
        <w:rPr>
          <w:sz w:val="20"/>
          <w:szCs w:val="20"/>
          <w:color w:val="auto"/>
        </w:rPr>
      </w:pPr>
      <w:r>
        <w:rPr>
          <w:rFonts w:ascii="Arial" w:cs="Arial" w:eastAsia="Arial" w:hAnsi="Arial"/>
          <w:sz w:val="18"/>
          <w:szCs w:val="18"/>
          <w:color w:val="auto"/>
        </w:rPr>
        <w:t>Chairman, President &amp; Chief Executive Officer</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/s/ Paula J. Swain</w:t>
      </w:r>
    </w:p>
    <w:p>
      <w:pPr>
        <w:ind w:left="160"/>
        <w:spacing w:after="0" w:line="203" w:lineRule="auto"/>
        <w:rPr>
          <w:sz w:val="20"/>
          <w:szCs w:val="20"/>
          <w:color w:val="auto"/>
        </w:rPr>
      </w:pPr>
      <w:r>
        <w:rPr>
          <w:rFonts w:ascii="Arial" w:cs="Arial" w:eastAsia="Arial" w:hAnsi="Arial"/>
          <w:sz w:val="18"/>
          <w:szCs w:val="18"/>
          <w:color w:val="auto"/>
        </w:rPr>
        <w:t>Paula J. Swain</w:t>
      </w:r>
    </w:p>
    <w:p>
      <w:pPr>
        <w:ind w:left="160"/>
        <w:spacing w:after="0"/>
        <w:rPr>
          <w:sz w:val="20"/>
          <w:szCs w:val="20"/>
          <w:color w:val="auto"/>
        </w:rPr>
      </w:pPr>
      <w:r>
        <w:rPr>
          <w:rFonts w:ascii="Arial" w:cs="Arial" w:eastAsia="Arial" w:hAnsi="Arial"/>
          <w:sz w:val="18"/>
          <w:szCs w:val="18"/>
          <w:color w:val="auto"/>
        </w:rPr>
        <w:t>Executive Vice President, Human Resources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_____________________________________________________________________</w:t>
      </w:r>
    </w:p>
    <w:p>
      <w:pPr>
        <w:ind w:left="160" w:right="139"/>
        <w:spacing w:after="0" w:line="226" w:lineRule="auto"/>
        <w:rPr>
          <w:sz w:val="20"/>
          <w:szCs w:val="20"/>
          <w:color w:val="auto"/>
        </w:rPr>
      </w:pPr>
      <w:r>
        <w:rPr>
          <w:rFonts w:ascii="Arial" w:cs="Arial" w:eastAsia="Arial" w:hAnsi="Arial"/>
          <w:sz w:val="18"/>
          <w:szCs w:val="18"/>
          <w:color w:val="auto"/>
        </w:rPr>
        <w:t>I have read and understand the terms of this offer and agree to the terms of employment. I will be available to report to work on Monday, February 11, 2019.</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/s/ Christiana Stamoulis</w:t>
      </w:r>
    </w:p>
    <w:p>
      <w:pPr>
        <w:ind w:left="160"/>
        <w:spacing w:after="0"/>
        <w:rPr>
          <w:sz w:val="20"/>
          <w:szCs w:val="20"/>
          <w:color w:val="auto"/>
        </w:rPr>
      </w:pPr>
      <w:r>
        <w:rPr>
          <w:rFonts w:ascii="Arial" w:cs="Arial" w:eastAsia="Arial" w:hAnsi="Arial"/>
          <w:sz w:val="18"/>
          <w:szCs w:val="18"/>
          <w:color w:val="auto"/>
        </w:rPr>
        <w:t>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356235</wp:posOffset>
            </wp:positionV>
            <wp:extent cx="554863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gridSpan w:val="2"/>
          </w:tcPr>
          <w:p>
            <w:pPr>
              <w:ind w:left="2500"/>
              <w:spacing w:after="0"/>
              <w:rPr>
                <w:sz w:val="20"/>
                <w:szCs w:val="20"/>
                <w:color w:val="auto"/>
              </w:rPr>
            </w:pPr>
            <w:r>
              <w:rPr>
                <w:rFonts w:ascii="Arial" w:cs="Arial" w:eastAsia="Arial" w:hAnsi="Arial"/>
                <w:sz w:val="18"/>
                <w:szCs w:val="18"/>
                <w:b w:val="1"/>
                <w:bCs w:val="1"/>
                <w:color w:val="auto"/>
                <w:w w:val="89"/>
              </w:rPr>
              <w:t>Exhibit 21.1</w:t>
            </w:r>
          </w:p>
        </w:tc>
      </w:tr>
      <w:tr>
        <w:trPr>
          <w:trHeight w:val="392"/>
        </w:trPr>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360" w:type="dxa"/>
            <w:vAlign w:val="bottom"/>
            <w:gridSpan w:val="4"/>
          </w:tcPr>
          <w:p>
            <w:pPr>
              <w:ind w:left="200"/>
              <w:spacing w:after="0"/>
              <w:rPr>
                <w:sz w:val="20"/>
                <w:szCs w:val="20"/>
                <w:color w:val="auto"/>
              </w:rPr>
            </w:pPr>
            <w:r>
              <w:rPr>
                <w:rFonts w:ascii="Arial" w:cs="Arial" w:eastAsia="Arial" w:hAnsi="Arial"/>
                <w:sz w:val="18"/>
                <w:szCs w:val="18"/>
                <w:b w:val="1"/>
                <w:bCs w:val="1"/>
                <w:color w:val="auto"/>
              </w:rPr>
              <w:t>SUBSIDIARIES</w:t>
            </w:r>
          </w:p>
        </w:tc>
      </w:tr>
      <w:tr>
        <w:trPr>
          <w:trHeight w:val="338"/>
        </w:trPr>
        <w:tc>
          <w:tcPr>
            <w:tcW w:w="8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2"/>
          </w:tcPr>
          <w:p>
            <w:pPr>
              <w:ind w:left="780"/>
              <w:spacing w:after="0"/>
              <w:rPr>
                <w:sz w:val="20"/>
                <w:szCs w:val="20"/>
                <w:color w:val="auto"/>
              </w:rPr>
            </w:pPr>
            <w:r>
              <w:rPr>
                <w:rFonts w:ascii="Arial" w:cs="Arial" w:eastAsia="Arial" w:hAnsi="Arial"/>
                <w:sz w:val="14"/>
                <w:szCs w:val="14"/>
                <w:b w:val="1"/>
                <w:bCs w:val="1"/>
                <w:color w:val="auto"/>
              </w:rPr>
              <w:t>Jurisdiction of Incorporation</w:t>
            </w:r>
          </w:p>
        </w:tc>
      </w:tr>
      <w:tr>
        <w:trPr>
          <w:trHeight w:val="182"/>
        </w:trPr>
        <w:tc>
          <w:tcPr>
            <w:tcW w:w="80" w:type="dxa"/>
            <w:vAlign w:val="bottom"/>
          </w:tcPr>
          <w:p>
            <w:pPr>
              <w:spacing w:after="0"/>
              <w:rPr>
                <w:sz w:val="15"/>
                <w:szCs w:val="15"/>
                <w:color w:val="auto"/>
              </w:rPr>
            </w:pPr>
          </w:p>
        </w:tc>
        <w:tc>
          <w:tcPr>
            <w:tcW w:w="36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Incyte Biosciences Corporation</w:t>
            </w:r>
          </w:p>
        </w:tc>
        <w:tc>
          <w:tcPr>
            <w:tcW w:w="1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Delaware</w:t>
            </w:r>
          </w:p>
        </w:tc>
        <w:tc>
          <w:tcPr>
            <w:tcW w:w="80" w:type="dxa"/>
            <w:vAlign w:val="bottom"/>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Holdings Corporation</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International Holdings Corporation</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Research Institute LLC</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Mighty Oak Insurance Company</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Delaware</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International Holdings S.à r.l.</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Luxembourg</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International S.à r.l.</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Switzerland</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Austria GmbH</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Austria</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Denmark ApS</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Denmark</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Finland Oy</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Finland</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France</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France</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Germany GmbH</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Germany</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Italy S.R.L.</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Italy</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Israel Ltd.</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Israel</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Distribution B.V.</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Netherlands</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Benelux B.V.</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Netherlands</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Norway AS</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Norway</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Iberia S.L.</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Spain</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Nordic AB</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Sweden</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UK Ltd</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UK</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w w:val="94"/>
              </w:rPr>
              <w:t>Incyte Biosciences Technical Operations S.à r.l.</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Switzerland</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Australia Pty Ltd</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Australia</w:t>
            </w:r>
          </w:p>
        </w:tc>
      </w:tr>
      <w:tr>
        <w:trPr>
          <w:trHeight w:val="189"/>
        </w:trPr>
        <w:tc>
          <w:tcPr>
            <w:tcW w:w="8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8"/>
                <w:szCs w:val="18"/>
                <w:color w:val="auto"/>
              </w:rPr>
              <w:t>Incyte Biosciences Canada ULC</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Canada</w:t>
            </w:r>
          </w:p>
        </w:tc>
      </w:tr>
      <w:tr>
        <w:trPr>
          <w:trHeight w:val="230"/>
        </w:trPr>
        <w:tc>
          <w:tcPr>
            <w:tcW w:w="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Incyte Biosciences Japan G.K.</w:t>
            </w: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Japan</w:t>
            </w:r>
          </w:p>
        </w:tc>
      </w:tr>
      <w:tr>
        <w:trPr>
          <w:trHeight w:val="588"/>
        </w:trPr>
        <w:tc>
          <w:tcPr>
            <w:tcW w:w="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We consent to the incorporation by reference in the following Registration Statements: (Form S-3 No. 333-209694) of Incyte Corporation, (Form S-8 Nos. 333-91556, 333-125995, and 333-160006) pertaining to the 1993 Directors’ Stock Option Plan of Incyte Corporation, (Form S-8 No. 333-160005) pertaining to the 1991 Stock Plan of Incyte Corporation, (Form S-8 Nos. 333-174919 and 333-212102) pertaining to the 1997 Employee Stock Purchase Plan of Incyte Corporation, (Form S-8 Nos. 333-174918, 333-182218, 333-189424, 333-197907, 333-212104, and 333-225181) pertaining to the Amended and Restated 2010 Stock Incentive Plan of Incyte Corporation, (Form S-8 No. 333-193333) pertaining to the 2014 Restricted Stock Unit Award Agreement between Incyte Corporation and Hervé Hoppenot, as applicable, of our reports dated February 14, 2019, with respect to the consolidated financial statements of Incyte Corporation and the effectiveness of internal control over financial reporting of Incyte Corporation, included in this Annual Report (Form 10-K) of Incyte Corporation for the year ended December 31, 2018.</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Ernst &amp; Young LLP</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Hervé Hoppenot, certify that:</w:t>
      </w:r>
    </w:p>
    <w:p>
      <w:pPr>
        <w:spacing w:after="0" w:line="185" w:lineRule="exact"/>
        <w:rPr>
          <w:sz w:val="20"/>
          <w:szCs w:val="20"/>
          <w:color w:val="auto"/>
        </w:rPr>
      </w:pPr>
    </w:p>
    <w:p>
      <w:pPr>
        <w:ind w:left="520" w:hanging="517"/>
        <w:spacing w:after="0" w:line="207" w:lineRule="exact"/>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Incyte Corporation;</w:t>
      </w:r>
    </w:p>
    <w:p>
      <w:pPr>
        <w:spacing w:after="0" w:line="184"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left="520" w:hanging="517"/>
        <w:spacing w:after="0" w:line="194" w:lineRule="exact"/>
        <w:tabs>
          <w:tab w:leader="none" w:pos="5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jc w:val="both"/>
        <w:ind w:left="1040" w:hanging="519"/>
        <w:spacing w:after="0" w:line="219" w:lineRule="auto"/>
        <w:tabs>
          <w:tab w:leader="none" w:pos="105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1040" w:hanging="519"/>
        <w:spacing w:after="0" w:line="219" w:lineRule="auto"/>
        <w:tabs>
          <w:tab w:leader="none" w:pos="106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040" w:hanging="519"/>
        <w:spacing w:after="0" w:line="224" w:lineRule="auto"/>
        <w:tabs>
          <w:tab w:leader="none" w:pos="1053"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1040" w:hanging="519"/>
        <w:spacing w:after="0" w:line="219" w:lineRule="auto"/>
        <w:tabs>
          <w:tab w:leader="none" w:pos="106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jc w:val="both"/>
        <w:ind w:left="1040" w:hanging="519"/>
        <w:spacing w:after="0" w:line="224" w:lineRule="auto"/>
        <w:tabs>
          <w:tab w:leader="none" w:pos="105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040" w:hanging="519"/>
        <w:spacing w:after="0" w:line="235" w:lineRule="auto"/>
        <w:tabs>
          <w:tab w:leader="none" w:pos="106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Hervé Hoppenot</w:t>
      </w:r>
    </w:p>
    <w:p>
      <w:pPr>
        <w:spacing w:after="0" w:line="12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Hervé Hoppenot</w:t>
      </w:r>
    </w:p>
    <w:p>
      <w:pPr>
        <w:ind w:left="45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Christiana Stamoulis, certify that:</w:t>
      </w:r>
    </w:p>
    <w:p>
      <w:pPr>
        <w:spacing w:after="0" w:line="185" w:lineRule="exact"/>
        <w:rPr>
          <w:sz w:val="20"/>
          <w:szCs w:val="20"/>
          <w:color w:val="auto"/>
        </w:rPr>
      </w:pPr>
    </w:p>
    <w:p>
      <w:pPr>
        <w:ind w:left="520" w:hanging="517"/>
        <w:spacing w:after="0" w:line="207" w:lineRule="exact"/>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Incyte Corporation;</w:t>
      </w:r>
    </w:p>
    <w:p>
      <w:pPr>
        <w:spacing w:after="0" w:line="184"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left="520" w:hanging="517"/>
        <w:spacing w:after="0" w:line="194" w:lineRule="exact"/>
        <w:tabs>
          <w:tab w:leader="none" w:pos="5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jc w:val="both"/>
        <w:ind w:left="1040" w:hanging="519"/>
        <w:spacing w:after="0" w:line="219" w:lineRule="auto"/>
        <w:tabs>
          <w:tab w:leader="none" w:pos="105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1040" w:hanging="519"/>
        <w:spacing w:after="0" w:line="219" w:lineRule="auto"/>
        <w:tabs>
          <w:tab w:leader="none" w:pos="106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040" w:hanging="519"/>
        <w:spacing w:after="0" w:line="224" w:lineRule="auto"/>
        <w:tabs>
          <w:tab w:leader="none" w:pos="1053"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1040" w:hanging="519"/>
        <w:spacing w:after="0" w:line="219" w:lineRule="auto"/>
        <w:tabs>
          <w:tab w:leader="none" w:pos="106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520" w:hanging="517"/>
        <w:spacing w:after="0" w:line="224" w:lineRule="auto"/>
        <w:tabs>
          <w:tab w:leader="none" w:pos="5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jc w:val="both"/>
        <w:ind w:left="1040" w:hanging="519"/>
        <w:spacing w:after="0" w:line="224" w:lineRule="auto"/>
        <w:tabs>
          <w:tab w:leader="none" w:pos="105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040" w:hanging="519"/>
        <w:spacing w:after="0" w:line="235" w:lineRule="auto"/>
        <w:tabs>
          <w:tab w:leader="none" w:pos="106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Christiana Stamoulis</w:t>
      </w:r>
    </w:p>
    <w:p>
      <w:pPr>
        <w:spacing w:after="0" w:line="12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Christiana Stamoulis</w:t>
      </w:r>
    </w:p>
    <w:p>
      <w:pPr>
        <w:ind w:left="45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9" w:lineRule="exact"/>
        <w:rPr>
          <w:sz w:val="20"/>
          <w:szCs w:val="20"/>
          <w:color w:val="auto"/>
        </w:rPr>
      </w:pPr>
    </w:p>
    <w:p>
      <w:pPr>
        <w:jc w:val="both"/>
        <w:ind w:firstLine="648"/>
        <w:spacing w:after="0" w:line="181" w:lineRule="exact"/>
        <w:rPr>
          <w:sz w:val="20"/>
          <w:szCs w:val="20"/>
          <w:color w:val="auto"/>
        </w:rPr>
      </w:pPr>
      <w:r>
        <w:rPr>
          <w:rFonts w:ascii="Arial" w:cs="Arial" w:eastAsia="Arial" w:hAnsi="Arial"/>
          <w:sz w:val="17"/>
          <w:szCs w:val="17"/>
          <w:color w:val="auto"/>
        </w:rPr>
        <w:t>With reference to the Annual Report of Incyte Corporation (the “Company”)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 as filed with the Securities and Exchange Commission on the date hereof (the “Report”), I, Hervé Hoppenot, Chief Executive Officer of the Company, certify, for the purposes of 18 U.S.C. § 1350, as adopted pursuant to</w:t>
      </w:r>
    </w:p>
    <w:p>
      <w:pPr>
        <w:ind w:left="140" w:hanging="137"/>
        <w:spacing w:after="0" w:line="207" w:lineRule="exact"/>
        <w:tabs>
          <w:tab w:leader="none" w:pos="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8" w:lineRule="exact"/>
        <w:rPr>
          <w:rFonts w:ascii="Arial" w:cs="Arial" w:eastAsia="Arial" w:hAnsi="Arial"/>
          <w:sz w:val="18"/>
          <w:szCs w:val="18"/>
          <w:color w:val="auto"/>
        </w:rPr>
      </w:pPr>
    </w:p>
    <w:p>
      <w:pPr>
        <w:ind w:left="1300" w:hanging="649"/>
        <w:spacing w:after="0" w:line="235" w:lineRule="auto"/>
        <w:tabs>
          <w:tab w:leader="none" w:pos="13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300" w:hanging="649"/>
        <w:spacing w:after="0" w:line="235" w:lineRule="auto"/>
        <w:tabs>
          <w:tab w:leader="none" w:pos="13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Hervé Hoppenot</w:t>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Hervé Hoppenot</w:t>
      </w:r>
    </w:p>
    <w:p>
      <w:pPr>
        <w:ind w:left="4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4620"/>
        <w:spacing w:after="0"/>
        <w:rPr>
          <w:sz w:val="20"/>
          <w:szCs w:val="20"/>
          <w:color w:val="auto"/>
        </w:rPr>
      </w:pPr>
      <w:r>
        <w:rPr>
          <w:rFonts w:ascii="Arial" w:cs="Arial" w:eastAsia="Arial" w:hAnsi="Arial"/>
          <w:sz w:val="18"/>
          <w:szCs w:val="18"/>
          <w:color w:val="auto"/>
        </w:rPr>
        <w:t>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9" w:lineRule="exact"/>
        <w:rPr>
          <w:sz w:val="20"/>
          <w:szCs w:val="20"/>
          <w:color w:val="auto"/>
        </w:rPr>
      </w:pPr>
    </w:p>
    <w:p>
      <w:pPr>
        <w:jc w:val="both"/>
        <w:ind w:firstLine="648"/>
        <w:spacing w:after="0" w:line="181" w:lineRule="exact"/>
        <w:rPr>
          <w:sz w:val="20"/>
          <w:szCs w:val="20"/>
          <w:color w:val="auto"/>
        </w:rPr>
      </w:pPr>
      <w:r>
        <w:rPr>
          <w:rFonts w:ascii="Arial" w:cs="Arial" w:eastAsia="Arial" w:hAnsi="Arial"/>
          <w:sz w:val="16"/>
          <w:szCs w:val="16"/>
          <w:color w:val="auto"/>
        </w:rPr>
        <w:t>With reference to the Annual Report of Incyte Corporation (the “Company”)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 as filed with the Securities and Exchange Commission on the date hereof (the “Report”), I, Christiana Stamoulis, Chief Financial Officer of the Company, certify, for the purposes of 18 U.S.C. § 1350, as adopted pursuant to</w:t>
      </w:r>
    </w:p>
    <w:p>
      <w:pPr>
        <w:spacing w:after="0" w:line="2" w:lineRule="exact"/>
        <w:rPr>
          <w:sz w:val="20"/>
          <w:szCs w:val="20"/>
          <w:color w:val="auto"/>
        </w:rPr>
      </w:pPr>
    </w:p>
    <w:p>
      <w:pPr>
        <w:ind w:left="140" w:hanging="137"/>
        <w:spacing w:after="0" w:line="207" w:lineRule="exact"/>
        <w:tabs>
          <w:tab w:leader="none" w:pos="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8" w:lineRule="exact"/>
        <w:rPr>
          <w:rFonts w:ascii="Arial" w:cs="Arial" w:eastAsia="Arial" w:hAnsi="Arial"/>
          <w:sz w:val="18"/>
          <w:szCs w:val="18"/>
          <w:color w:val="auto"/>
        </w:rPr>
      </w:pPr>
    </w:p>
    <w:p>
      <w:pPr>
        <w:ind w:left="1300" w:hanging="649"/>
        <w:spacing w:after="0" w:line="235" w:lineRule="auto"/>
        <w:tabs>
          <w:tab w:leader="none" w:pos="134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300" w:hanging="649"/>
        <w:spacing w:after="0" w:line="235" w:lineRule="auto"/>
        <w:tabs>
          <w:tab w:leader="none" w:pos="134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Christiana Stamoulis</w:t>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Christiana Stamoulis</w:t>
      </w:r>
    </w:p>
    <w:p>
      <w:pPr>
        <w:ind w:left="4620"/>
        <w:spacing w:after="0" w:line="203" w:lineRule="auto"/>
        <w:rPr>
          <w:sz w:val="20"/>
          <w:szCs w:val="20"/>
          <w:color w:val="auto"/>
        </w:rPr>
      </w:pPr>
      <w:r>
        <w:rPr>
          <w:rFonts w:ascii="Arial" w:cs="Arial" w:eastAsia="Arial" w:hAnsi="Arial"/>
          <w:sz w:val="18"/>
          <w:szCs w:val="18"/>
          <w:i w:val="1"/>
          <w:iCs w:val="1"/>
          <w:color w:val="auto"/>
        </w:rPr>
        <w:t>Chief Financial Officer</w:t>
      </w:r>
    </w:p>
    <w:p>
      <w:pPr>
        <w:ind w:left="4620"/>
        <w:spacing w:after="0"/>
        <w:rPr>
          <w:sz w:val="20"/>
          <w:szCs w:val="20"/>
          <w:color w:val="auto"/>
        </w:rPr>
      </w:pPr>
      <w:r>
        <w:rPr>
          <w:rFonts w:ascii="Arial" w:cs="Arial" w:eastAsia="Arial" w:hAnsi="Arial"/>
          <w:sz w:val="18"/>
          <w:szCs w:val="18"/>
          <w:color w:val="auto"/>
        </w:rPr>
        <w:t>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4"/>
    </w:lvl>
  </w:abstractNum>
  <w:abstractNum w:abstractNumId="30">
    <w:nsid w:val="2463B9EA"/>
    <w:multiLevelType w:val="hybridMultilevel"/>
    <w:lvl w:ilvl="0">
      <w:lvlJc w:val="left"/>
      <w:lvlText w:val="(%1)"/>
      <w:numFmt w:val="lowerRoman"/>
      <w:start w:val="1"/>
    </w:lvl>
  </w:abstractNum>
  <w:abstractNum w:abstractNumId="31">
    <w:nsid w:val="5E884ADC"/>
    <w:multiLevelType w:val="hybridMultilevel"/>
    <w:lvl w:ilvl="0">
      <w:lvlJc w:val="left"/>
      <w:lvlText w:val="\endash "/>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lowerRoman"/>
      <w:start w:val="2"/>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lvl w:ilvl="1">
      <w:lvlJc w:val="left"/>
      <w:lvlText w:val="(%2)"/>
      <w:numFmt w:val="decimal"/>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lowerLetter"/>
      <w:start w:val="3"/>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
      <w:numFmt w:val="bullet"/>
      <w:start w:val="1"/>
    </w:lvl>
    <w:lvl w:ilvl="1">
      <w:lvlJc w:val="left"/>
      <w:lvlText w:val="(%2)"/>
      <w:numFmt w:val="decimal"/>
      <w:start w:val="1"/>
    </w:lvl>
  </w:abstractNum>
  <w:abstractNum w:abstractNumId="45">
    <w:nsid w:val="4B588F54"/>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31" Type="http://schemas.openxmlformats.org/officeDocument/2006/relationships/hyperlink" Target="http://www.sec.gov/Archives/edgar/data/879169/000104746910001834/a2196849zex-3_i.htm" TargetMode="External"/><Relationship Id="rId132" Type="http://schemas.openxmlformats.org/officeDocument/2006/relationships/hyperlink" Target="http://www.sec.gov/Archives/edgar/data/879169/000110465917069305/a17-27253_1ex3d1.htm" TargetMode="External"/><Relationship Id="rId133" Type="http://schemas.openxmlformats.org/officeDocument/2006/relationships/hyperlink" Target="http://www.sec.gov/Archives/edgar/data/879169/000102140803005282/dex41.htm" TargetMode="External"/><Relationship Id="rId134" Type="http://schemas.openxmlformats.org/officeDocument/2006/relationships/hyperlink" Target="http://www.sec.gov/Archives/edgar/data/879169/000110465913084848/a13-23674_2ex4d1.htm" TargetMode="External"/><Relationship Id="rId135" Type="http://schemas.openxmlformats.org/officeDocument/2006/relationships/hyperlink" Target="http://www.sec.gov/Archives/edgar/data/879169/000110465913084848/a13-23674_2ex4d2.htm" TargetMode="External"/><Relationship Id="rId136" Type="http://schemas.openxmlformats.org/officeDocument/2006/relationships/hyperlink" Target="http://www.sec.gov/Archives/edgar/data/879169/000110465909046003/a09-18846_1ex10d2.htm" TargetMode="External"/><Relationship Id="rId137" Type="http://schemas.openxmlformats.org/officeDocument/2006/relationships/hyperlink" Target="http://www.sec.gov/Archives/edgar/data/879169/000110465918029813/a18-12629_1ex10d1.htm" TargetMode="External"/><Relationship Id="rId138" Type="http://schemas.openxmlformats.org/officeDocument/2006/relationships/hyperlink" Target="http://www.sec.gov/Archives/edgar/data/879169/000155837016007827/incy-20160630ex10787799c.htm" TargetMode="External"/><Relationship Id="rId139" Type="http://schemas.openxmlformats.org/officeDocument/2006/relationships/hyperlink" Target="http://www.sec.gov/Archives/edgar/data/879169/000110465914055475/a14-14041_1ex10d4.htm" TargetMode="External"/><Relationship Id="rId140" Type="http://schemas.openxmlformats.org/officeDocument/2006/relationships/hyperlink" Target="http://www.sec.gov/Archives/edgar/data/879169/000110465914055475/a14-14041_1ex10d5.htm" TargetMode="External"/><Relationship Id="rId141" Type="http://schemas.openxmlformats.org/officeDocument/2006/relationships/hyperlink" Target="http://www.sec.gov/Archives/edgar/data/879169/000104746914001174/a2218324zex-10_24.htm" TargetMode="External"/><Relationship Id="rId142" Type="http://schemas.openxmlformats.org/officeDocument/2006/relationships/hyperlink" Target="http://www.sec.gov/Archives/edgar/data/879169/000110465914055475/a14-14041_1ex10d6.htm" TargetMode="External"/><Relationship Id="rId143" Type="http://schemas.openxmlformats.org/officeDocument/2006/relationships/hyperlink" Target="http://www.sec.gov/Archives/edgar/data/879169/000110465914033497/a14-9590_1ex10d4.htm" TargetMode="External"/><Relationship Id="rId144" Type="http://schemas.openxmlformats.org/officeDocument/2006/relationships/hyperlink" Target="http://www.sec.gov/Archives/edgar/data/879169/000155837018005974/incy-20180630ex1021c1278.htm" TargetMode="External"/><Relationship Id="rId145" Type="http://schemas.openxmlformats.org/officeDocument/2006/relationships/hyperlink" Target="http://www.sec.gov/Archives/edgar/data/879169/000110465916124047/a16-12293_1ex10d2.htm" TargetMode="External"/><Relationship Id="rId146" Type="http://schemas.openxmlformats.org/officeDocument/2006/relationships/hyperlink" Target="http://www.sec.gov/Archives/edgar/data/879169/000104746913001393/a2212845zex-10_14.htm" TargetMode="External"/><Relationship Id="rId147" Type="http://schemas.openxmlformats.org/officeDocument/2006/relationships/hyperlink" Target="http://www.sec.gov/Archives/edgar/data/879169/000110465912029092/a12-6693_1ex10d14.htm" TargetMode="External"/><Relationship Id="rId148" Type="http://schemas.openxmlformats.org/officeDocument/2006/relationships/hyperlink" Target="http://www.sec.gov/Archives/edgar/data/879169/000110465914002052/a14-3316_1ex10d1.htm" TargetMode="External"/><Relationship Id="rId149" Type="http://schemas.openxmlformats.org/officeDocument/2006/relationships/hyperlink" Target="http://www.sec.gov/Archives/edgar/data/879169/000110465914002052/a14-3316_1ex10d2.htm" TargetMode="External"/><Relationship Id="rId150" Type="http://schemas.openxmlformats.org/officeDocument/2006/relationships/hyperlink" Target="http://www.sec.gov/Archives/edgar/data/879169/000110465915032614/a15-7158_1ex10d3.htm" TargetMode="External"/><Relationship Id="rId151" Type="http://schemas.openxmlformats.org/officeDocument/2006/relationships/hyperlink" Target="http://www.sec.gov/Archives/edgar/data/879169/000110465914002052/a14-3316_1ex10d3.htm" TargetMode="External"/><Relationship Id="rId152" Type="http://schemas.openxmlformats.org/officeDocument/2006/relationships/hyperlink" Target="http://www.sec.gov/Archives/edgar/data/879169/000104746910001834/a2196849zex-10_21.htm" TargetMode="External"/><Relationship Id="rId153" Type="http://schemas.openxmlformats.org/officeDocument/2006/relationships/hyperlink" Target="http://www.sec.gov/Archives/edgar/data/879169/000155837016007827/incy-20160630ex1010fa9fa.htm" TargetMode="External"/><Relationship Id="rId154" Type="http://schemas.openxmlformats.org/officeDocument/2006/relationships/hyperlink" Target="http://www.sec.gov/Archives/edgar/data/879169/000104746910001834/a2196849zex-10_22.htm" TargetMode="External"/><Relationship Id="rId155" Type="http://schemas.openxmlformats.org/officeDocument/2006/relationships/hyperlink" Target="http://www.sec.gov/Archives/edgar/data/879169/000110465910042366/a10-12903_1ex10d6.htm" TargetMode="External"/><Relationship Id="rId156" Type="http://schemas.openxmlformats.org/officeDocument/2006/relationships/hyperlink" Target="http://www.sec.gov/Archives/edgar/data/879169/000155837016005699/incy-20160331ex101940ba3.htm" TargetMode="External"/><Relationship Id="rId157" Type="http://schemas.openxmlformats.org/officeDocument/2006/relationships/hyperlink" Target="http://www.sec.gov/Archives/edgar/data/879169/000110465917043033/a17-15971_1ex10d21d4.htm" TargetMode="External"/><Relationship Id="rId158" Type="http://schemas.openxmlformats.org/officeDocument/2006/relationships/hyperlink" Target="http://www.sec.gov/Archives/edgar/data/879169/000110465915032614/a15-7158_1ex10d1.htm" TargetMode="External"/><Relationship Id="rId159" Type="http://schemas.openxmlformats.org/officeDocument/2006/relationships/hyperlink" Target="http://www.sec.gov/Archives/edgar/data/879169/000155837017003529/incy-20170331ex1018c8960.htm" TargetMode="External"/><Relationship Id="rId160" Type="http://schemas.openxmlformats.org/officeDocument/2006/relationships/hyperlink" Target="http://www.sec.gov/Archives/edgar/data/879169/000155837017003529/incy-20170331ex1026992e2.htm" TargetMode="External"/><Relationship Id="rId161" Type="http://schemas.openxmlformats.org/officeDocument/2006/relationships/hyperlink" Target="http://www.sec.gov/Archives/edgar/data/879169/000155837016007827/incy-20160630ex102f6efe1.htm" TargetMode="External"/><Relationship Id="rId162" Type="http://schemas.openxmlformats.org/officeDocument/2006/relationships/hyperlink" Target="http://www.sec.gov/Archives/edgar/data/879169/000110465917009266/a17-3826_1ex10d3.htm" TargetMode="External"/><Relationship Id="rId163" Type="http://schemas.openxmlformats.org/officeDocument/2006/relationships/hyperlink" Target="http://www.sec.gov/Archives/edgar/data/879169/000110465917043033/a17-15971_1ex10d27.htm" TargetMode="External"/><Relationship Id="rId164" Type="http://schemas.openxmlformats.org/officeDocument/2006/relationships/hyperlink" Target="http://www.sec.gov/Archives/edgar/data/879169/000110465917043033/a17-15971_1ex10d28.htm" TargetMode="External"/><Relationship Id="rId165" Type="http://schemas.openxmlformats.org/officeDocument/2006/relationships/hyperlink" Target="http://www.sec.gov/Archives/edgar/data/879169/000155837018000722/incy-20171231ex10239cab7.htm" TargetMode="External"/><Relationship Id="rId166" Type="http://schemas.openxmlformats.org/officeDocument/2006/relationships/hyperlink" Target="http://www.sec.gov/Archives/edgar/data/879169/000155837018003642/incy-20180331ex10150c35f.htm" TargetMode="External"/><Relationship Id="rId167" Type="http://schemas.openxmlformats.org/officeDocument/2006/relationships/hyperlink" Target="http://www.sec.gov/Archives/edgar/data/879169/000155837016003196/incy-20151231ex10283b05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2019-12-28T16:18:10Z</dcterms:created>
  <dcterms:modified xsi:type="dcterms:W3CDTF">2019-12-28T16:18:10Z</dcterms:modified>
</cp:coreProperties>
</file>