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6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30"/>
        <w:gridCol w:w="115"/>
        <w:gridCol w:w="116"/>
        <w:gridCol w:w="2880"/>
        <w:gridCol w:w="2880"/>
        <w:gridCol w:w="408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2"/>
              </w:rPr>
            </w:pPr>
            <w:r>
              <w:rPr>
                <w:rFonts w:ascii="Wingdings;sans-serif" w:hAnsi="Wingdings;sans-serif"/>
                <w:b/>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001-12400</w:t>
      </w:r>
    </w:p>
    <w:p>
      <w:pPr>
        <w:pStyle w:val="TextBody"/>
        <w:bidi w:val="0"/>
        <w:spacing w:lineRule="auto" w:line="288" w:before="200" w:after="283"/>
        <w:jc w:val="center"/>
        <w:rPr>
          <w:rFonts w:ascii="Times New Roman;serif" w:hAnsi="Times New Roman;serif"/>
          <w:b/>
          <w:color w:val="000000"/>
          <w:sz w:val="34"/>
        </w:rPr>
      </w:pPr>
      <w:r>
        <w:rPr>
          <w:rFonts w:ascii="Times New Roman;serif" w:hAnsi="Times New Roman;serif"/>
          <w:b/>
          <w:color w:val="000000"/>
          <w:sz w:val="34"/>
        </w:rPr>
        <w:t>INCYTE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379" w:type="dxa"/>
        <w:jc w:val="left"/>
        <w:tblInd w:w="0" w:type="dxa"/>
        <w:tblLayout w:type="fixed"/>
        <w:tblCellMar>
          <w:top w:w="28" w:type="dxa"/>
          <w:left w:w="28" w:type="dxa"/>
          <w:bottom w:w="28" w:type="dxa"/>
          <w:right w:w="28" w:type="dxa"/>
        </w:tblCellMar>
      </w:tblPr>
      <w:tblGrid>
        <w:gridCol w:w="1056"/>
        <w:gridCol w:w="930"/>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94-3136539</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1801 Augustine Cut-Off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Wilmington, DE 19803</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19803</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(302) 498-6700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07" w:type="dxa"/>
        <w:jc w:val="left"/>
        <w:tblInd w:w="0" w:type="dxa"/>
        <w:tblLayout w:type="fixed"/>
        <w:tblCellMar>
          <w:top w:w="28" w:type="dxa"/>
          <w:left w:w="28" w:type="dxa"/>
          <w:bottom w:w="28" w:type="dxa"/>
          <w:right w:w="28" w:type="dxa"/>
        </w:tblCellMar>
      </w:tblPr>
      <w:tblGrid>
        <w:gridCol w:w="1106"/>
        <w:gridCol w:w="970"/>
        <w:gridCol w:w="983"/>
        <w:gridCol w:w="109"/>
        <w:gridCol w:w="109"/>
        <w:gridCol w:w="109"/>
        <w:gridCol w:w="484"/>
        <w:gridCol w:w="484"/>
        <w:gridCol w:w="486"/>
        <w:gridCol w:w="109"/>
        <w:gridCol w:w="109"/>
        <w:gridCol w:w="109"/>
        <w:gridCol w:w="859"/>
        <w:gridCol w:w="859"/>
        <w:gridCol w:w="1222"/>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ind w:left="0" w:right="0" w:hanging="144"/>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69" w:type="dxa"/>
        <w:jc w:val="center"/>
        <w:tblInd w:w="0" w:type="dxa"/>
        <w:tblLayout w:type="fixed"/>
        <w:tblCellMar>
          <w:top w:w="28" w:type="dxa"/>
          <w:left w:w="28" w:type="dxa"/>
          <w:bottom w:w="28" w:type="dxa"/>
          <w:right w:w="28" w:type="dxa"/>
        </w:tblCellMar>
      </w:tblPr>
      <w:tblGrid>
        <w:gridCol w:w="679"/>
        <w:gridCol w:w="597"/>
        <w:gridCol w:w="599"/>
        <w:gridCol w:w="669"/>
        <w:gridCol w:w="669"/>
        <w:gridCol w:w="95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Accelerated filer </w:t>
            </w:r>
            <w:r>
              <w:rPr>
                <w:rFonts w:ascii="Wingdings;sans-serif" w:hAnsi="Wingdings;sans-serif"/>
                <w:b w:val="false"/>
                <w:color w:val="000000"/>
                <w:sz w:val="18"/>
              </w:rPr>
              <w:t>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Non-accelerated filer </w:t>
            </w:r>
            <w:r>
              <w:rPr>
                <w:rFonts w:ascii="Wingdings;sans-serif" w:hAnsi="Wingdings;sans-serif"/>
                <w:b w:val="false"/>
                <w:color w:val="000000"/>
                <w:sz w:val="18"/>
              </w:rPr>
              <w:t>o</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Smaller reporting company </w:t>
            </w:r>
            <w:r>
              <w:rPr>
                <w:rFonts w:ascii="Wingdings;sans-serif" w:hAnsi="Wingdings;sans-serif"/>
                <w:b w:val="false"/>
                <w:color w:val="000000"/>
                <w:sz w:val="18"/>
              </w:rPr>
              <w:t>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o</w:t>
            </w:r>
          </w:p>
        </w:tc>
      </w:tr>
    </w:tbl>
    <w:p>
      <w:pPr>
        <w:pStyle w:val="TextBody"/>
        <w:bidi w:val="0"/>
        <w:spacing w:lineRule="auto" w:line="288" w:before="60" w:after="283"/>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is a shell company (as defined in Rule 12b-2 of the Exchange Act).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number of outstanding shares of the registrant’s Common Stock, $.001 par value, was 199,782,155 as of April 21,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w:t>
      </w:r>
    </w:p>
    <w:tbl>
      <w:tblPr>
        <w:tblW w:w="9478" w:type="dxa"/>
        <w:jc w:val="left"/>
        <w:tblInd w:w="0" w:type="dxa"/>
        <w:tblLayout w:type="fixed"/>
        <w:tblCellMar>
          <w:top w:w="28" w:type="dxa"/>
          <w:left w:w="28" w:type="dxa"/>
          <w:bottom w:w="28" w:type="dxa"/>
          <w:right w:w="28" w:type="dxa"/>
        </w:tblCellMar>
      </w:tblPr>
      <w:tblGrid>
        <w:gridCol w:w="632"/>
        <w:gridCol w:w="555"/>
        <w:gridCol w:w="555"/>
        <w:gridCol w:w="2438"/>
        <w:gridCol w:w="2438"/>
        <w:gridCol w:w="2488"/>
        <w:gridCol w:w="109"/>
        <w:gridCol w:w="109"/>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0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0">
              <w:r>
                <w:rPr>
                  <w:rStyle w:val="InternetLink"/>
                  <w:rFonts w:ascii="Times New Roman;serif" w:hAnsi="Times New Roman;serif"/>
                  <w:b/>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0">
              <w:r>
                <w:rPr>
                  <w:rStyle w:val="InternetLink"/>
                  <w:rFonts w:ascii="Times New Roman;serif" w:hAnsi="Times New Roman;serif"/>
                  <w:b w:val="false"/>
                  <w:strike w:val="false"/>
                  <w:dstrike w:val="false"/>
                  <w:color w:val="000000"/>
                  <w:sz w:val="20"/>
                  <w:u w:val="none"/>
                  <w:effect w:val="none"/>
                </w:rPr>
                <w:t>3</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
              <w:r>
                <w:rPr>
                  <w:rStyle w:val="InternetLink"/>
                  <w:rFonts w:ascii="Times New Roman;serif" w:hAnsi="Times New Roman;serif"/>
                  <w:b/>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
              <w:r>
                <w:rPr>
                  <w:rStyle w:val="InternetLink"/>
                  <w:rFonts w:ascii="Times New Roman;serif" w:hAnsi="Times New Roman;serif"/>
                  <w:b w:val="false"/>
                  <w:color w:val="0000FF"/>
                  <w:sz w:val="20"/>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3">
              <w:r>
                <w:rPr>
                  <w:rStyle w:val="InternetLink"/>
                  <w:rFonts w:ascii="Times New Roman;serif" w:hAnsi="Times New Roman;serif"/>
                  <w:b w:val="false"/>
                  <w:strike w:val="false"/>
                  <w:dstrike w:val="false"/>
                  <w:color w:val="000000"/>
                  <w:sz w:val="20"/>
                  <w:u w:val="none"/>
                  <w:effect w:val="none"/>
                </w:rPr>
                <w:t>3</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6">
              <w:r>
                <w:rPr>
                  <w:rStyle w:val="InternetLink"/>
                  <w:rFonts w:ascii="Times New Roman;serif" w:hAnsi="Times New Roman;serif"/>
                  <w:b w:val="false"/>
                  <w:strike w:val="false"/>
                  <w:dstrike w:val="false"/>
                  <w:color w:val="000000"/>
                  <w:sz w:val="20"/>
                  <w:u w:val="none"/>
                  <w:effect w:val="none"/>
                </w:rPr>
                <w:t>3</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9">
              <w:r>
                <w:rPr>
                  <w:rStyle w:val="InternetLink"/>
                  <w:rFonts w:ascii="Times New Roman;serif" w:hAnsi="Times New Roman;serif"/>
                  <w:b w:val="false"/>
                  <w:strike w:val="false"/>
                  <w:dstrike w:val="false"/>
                  <w:color w:val="000000"/>
                  <w:sz w:val="20"/>
                  <w:u w:val="none"/>
                  <w:effect w:val="none"/>
                </w:rPr>
                <w:t>4</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22">
              <w:r>
                <w:rPr>
                  <w:rStyle w:val="InternetLink"/>
                  <w:rFonts w:ascii="Times New Roman;serif" w:hAnsi="Times New Roman;serif"/>
                  <w:b w:val="false"/>
                  <w:color w:val="0000FF"/>
                  <w:sz w:val="20"/>
                  <w:u w:val="single"/>
                </w:rPr>
                <w:t>Condensed Consolidated Statements of Comprehensive Income</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22">
              <w:r>
                <w:rPr>
                  <w:rStyle w:val="InternetLink"/>
                  <w:rFonts w:ascii="Times New Roman;serif" w:hAnsi="Times New Roman;serif"/>
                  <w:b w:val="false"/>
                  <w:strike w:val="false"/>
                  <w:dstrike w:val="false"/>
                  <w:color w:val="000000"/>
                  <w:sz w:val="20"/>
                  <w:u w:val="none"/>
                  <w:effect w:val="none"/>
                </w:rPr>
                <w:t>5</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25">
              <w:r>
                <w:rPr>
                  <w:rStyle w:val="InternetLink"/>
                  <w:rFonts w:ascii="Times New Roman;serif" w:hAnsi="Times New Roman;serif"/>
                  <w:b w:val="false"/>
                  <w:color w:val="0000FF"/>
                  <w:sz w:val="20"/>
                  <w:u w:val="single"/>
                </w:rPr>
                <w:t>Condensed 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25">
              <w:r>
                <w:rPr>
                  <w:rStyle w:val="InternetLink"/>
                  <w:rFonts w:ascii="Times New Roman;serif" w:hAnsi="Times New Roman;serif"/>
                  <w:b w:val="false"/>
                  <w:strike w:val="false"/>
                  <w:dstrike w:val="false"/>
                  <w:color w:val="000000"/>
                  <w:sz w:val="20"/>
                  <w:u w:val="none"/>
                  <w:effect w:val="none"/>
                </w:rPr>
                <w:t>6</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28">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28">
              <w:r>
                <w:rPr>
                  <w:rStyle w:val="InternetLink"/>
                  <w:rFonts w:ascii="Times New Roman;serif" w:hAnsi="Times New Roman;serif"/>
                  <w:b w:val="false"/>
                  <w:strike w:val="false"/>
                  <w:dstrike w:val="false"/>
                  <w:color w:val="000000"/>
                  <w:sz w:val="20"/>
                  <w:u w:val="none"/>
                  <w:effect w:val="none"/>
                </w:rPr>
                <w:t>7</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31">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31">
              <w:r>
                <w:rPr>
                  <w:rStyle w:val="InternetLink"/>
                  <w:rFonts w:ascii="Times New Roman;serif" w:hAnsi="Times New Roman;serif"/>
                  <w:b w:val="false"/>
                  <w:strike w:val="false"/>
                  <w:dstrike w:val="false"/>
                  <w:color w:val="000000"/>
                  <w:sz w:val="20"/>
                  <w:u w:val="none"/>
                  <w:effect w:val="none"/>
                </w:rPr>
                <w:t>8</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91">
              <w:r>
                <w:rPr>
                  <w:rStyle w:val="InternetLink"/>
                  <w:rFonts w:ascii="Times New Roman;serif" w:hAnsi="Times New Roman;serif"/>
                  <w:b/>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91">
              <w:r>
                <w:rPr>
                  <w:rStyle w:val="InternetLink"/>
                  <w:rFonts w:ascii="Times New Roman;serif" w:hAnsi="Times New Roman;serif"/>
                  <w:b w:val="false"/>
                  <w:strike w:val="false"/>
                  <w:dstrike w:val="false"/>
                  <w:color w:val="000000"/>
                  <w:sz w:val="20"/>
                  <w:u w:val="none"/>
                  <w:effect w:val="none"/>
                </w:rPr>
                <w:t>27</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94">
              <w:r>
                <w:rPr>
                  <w:rStyle w:val="InternetLink"/>
                  <w:rFonts w:ascii="Times New Roman;serif" w:hAnsi="Times New Roman;serif"/>
                  <w:b w:val="false"/>
                  <w:color w:val="0000FF"/>
                  <w:sz w:val="20"/>
                  <w:u w:val="singl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94">
              <w:r>
                <w:rPr>
                  <w:rStyle w:val="InternetLink"/>
                  <w:rFonts w:ascii="Times New Roman;serif" w:hAnsi="Times New Roman;serif"/>
                  <w:b w:val="false"/>
                  <w:strike w:val="false"/>
                  <w:dstrike w:val="false"/>
                  <w:color w:val="000000"/>
                  <w:sz w:val="20"/>
                  <w:u w:val="none"/>
                  <w:effect w:val="none"/>
                </w:rPr>
                <w:t>27</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97">
              <w:r>
                <w:rPr>
                  <w:rStyle w:val="InternetLink"/>
                  <w:rFonts w:ascii="Times New Roman;serif" w:hAnsi="Times New Roman;serif"/>
                  <w:b w:val="false"/>
                  <w:color w:val="0000FF"/>
                  <w:sz w:val="20"/>
                  <w:u w:val="single"/>
                </w:rPr>
                <w:t>Summary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97">
              <w:r>
                <w:rPr>
                  <w:rStyle w:val="InternetLink"/>
                  <w:rFonts w:ascii="Times New Roman;serif" w:hAnsi="Times New Roman;serif"/>
                  <w:b w:val="false"/>
                  <w:strike w:val="false"/>
                  <w:dstrike w:val="false"/>
                  <w:color w:val="000000"/>
                  <w:sz w:val="20"/>
                  <w:u w:val="none"/>
                  <w:effect w:val="none"/>
                </w:rPr>
                <w:t>30</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18">
              <w:r>
                <w:rPr>
                  <w:rStyle w:val="InternetLink"/>
                  <w:rFonts w:ascii="Times New Roman;serif" w:hAnsi="Times New Roman;serif"/>
                  <w:b/>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18">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18">
              <w:r>
                <w:rPr>
                  <w:rStyle w:val="InternetLink"/>
                  <w:rFonts w:ascii="Times New Roman;serif" w:hAnsi="Times New Roman;serif"/>
                  <w:b w:val="false"/>
                  <w:strike w:val="false"/>
                  <w:dstrike w:val="false"/>
                  <w:color w:val="000000"/>
                  <w:sz w:val="20"/>
                  <w:u w:val="none"/>
                  <w:effect w:val="none"/>
                </w:rPr>
                <w:t>47</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21">
              <w:r>
                <w:rPr>
                  <w:rStyle w:val="InternetLink"/>
                  <w:rFonts w:ascii="Times New Roman;serif" w:hAnsi="Times New Roman;serif"/>
                  <w:b/>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21">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21">
              <w:r>
                <w:rPr>
                  <w:rStyle w:val="InternetLink"/>
                  <w:rFonts w:ascii="Times New Roman;serif" w:hAnsi="Times New Roman;serif"/>
                  <w:b w:val="false"/>
                  <w:strike w:val="false"/>
                  <w:dstrike w:val="false"/>
                  <w:color w:val="000000"/>
                  <w:sz w:val="20"/>
                  <w:u w:val="none"/>
                  <w:effect w:val="none"/>
                </w:rPr>
                <w:t>47</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24">
              <w:r>
                <w:rPr>
                  <w:rStyle w:val="InternetLink"/>
                  <w:rFonts w:ascii="Times New Roman;serif" w:hAnsi="Times New Roman;serif"/>
                  <w:b/>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27">
              <w:r>
                <w:rPr>
                  <w:rStyle w:val="InternetLink"/>
                  <w:rFonts w:ascii="Times New Roman;serif" w:hAnsi="Times New Roman;serif"/>
                  <w:b/>
                  <w:color w:val="0000FF"/>
                  <w:sz w:val="20"/>
                  <w:u w:val="single"/>
                </w:rPr>
                <w:t>Item 1</w:t>
              </w:r>
            </w:hyperlink>
            <w:r>
              <w:rPr>
                <w:rFonts w:ascii="Times New Roman;serif" w:hAnsi="Times New Roman;serif"/>
                <w:b/>
                <w:color w:val="000000"/>
                <w:sz w:val="2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27">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27">
              <w:r>
                <w:rPr>
                  <w:rStyle w:val="InternetLink"/>
                  <w:rFonts w:ascii="Times New Roman;serif" w:hAnsi="Times New Roman;serif"/>
                  <w:b w:val="false"/>
                  <w:strike w:val="false"/>
                  <w:dstrike w:val="false"/>
                  <w:color w:val="000000"/>
                  <w:sz w:val="20"/>
                  <w:u w:val="none"/>
                  <w:effect w:val="none"/>
                </w:rPr>
                <w:t>47</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0">
              <w:r>
                <w:rPr>
                  <w:rStyle w:val="InternetLink"/>
                  <w:rFonts w:ascii="Times New Roman;serif" w:hAnsi="Times New Roman;serif"/>
                  <w:b/>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0">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30">
              <w:r>
                <w:rPr>
                  <w:rStyle w:val="InternetLink"/>
                  <w:rFonts w:ascii="Times New Roman;serif" w:hAnsi="Times New Roman;serif"/>
                  <w:b w:val="false"/>
                  <w:strike w:val="false"/>
                  <w:dstrike w:val="false"/>
                  <w:color w:val="000000"/>
                  <w:sz w:val="20"/>
                  <w:u w:val="none"/>
                  <w:effect w:val="none"/>
                </w:rPr>
                <w:t>48</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3">
              <w:r>
                <w:rPr>
                  <w:rStyle w:val="InternetLink"/>
                  <w:rFonts w:ascii="Times New Roman;serif" w:hAnsi="Times New Roman;serif"/>
                  <w:b/>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3">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33">
              <w:r>
                <w:rPr>
                  <w:rStyle w:val="InternetLink"/>
                  <w:rFonts w:ascii="Times New Roman;serif" w:hAnsi="Times New Roman;serif"/>
                  <w:b w:val="false"/>
                  <w:strike w:val="false"/>
                  <w:dstrike w:val="false"/>
                  <w:color w:val="000000"/>
                  <w:sz w:val="20"/>
                  <w:u w:val="none"/>
                  <w:effect w:val="none"/>
                </w:rPr>
                <w:t>75</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9">
              <w:r>
                <w:rPr>
                  <w:rStyle w:val="InternetLink"/>
                  <w:rFonts w:ascii="Times New Roman;serif" w:hAnsi="Times New Roman;serif"/>
                  <w:b/>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39">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39">
              <w:r>
                <w:rPr>
                  <w:rStyle w:val="InternetLink"/>
                  <w:rFonts w:ascii="Times New Roman;serif" w:hAnsi="Times New Roman;serif"/>
                  <w:b w:val="false"/>
                  <w:strike w:val="false"/>
                  <w:dstrike w:val="false"/>
                  <w:color w:val="000000"/>
                  <w:sz w:val="20"/>
                  <w:u w:val="none"/>
                  <w:effect w:val="none"/>
                </w:rPr>
                <w:t>78</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47215fef144a2e89a58e7bc1808768_142">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7215fef144a2e89a58e7bc1808768_142">
              <w:r>
                <w:rPr>
                  <w:rStyle w:val="InternetLink"/>
                  <w:rFonts w:ascii="Times New Roman;serif" w:hAnsi="Times New Roman;serif"/>
                  <w:b w:val="false"/>
                  <w:strike w:val="false"/>
                  <w:dstrike w:val="false"/>
                  <w:color w:val="000000"/>
                  <w:sz w:val="20"/>
                  <w:u w:val="none"/>
                  <w:effect w:val="non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number of shares and par value)</w:t>
      </w:r>
    </w:p>
    <w:tbl>
      <w:tblPr>
        <w:tblW w:w="10205" w:type="dxa"/>
        <w:jc w:val="left"/>
        <w:tblInd w:w="0" w:type="dxa"/>
        <w:tblLayout w:type="fixed"/>
        <w:tblCellMar>
          <w:top w:w="28" w:type="dxa"/>
          <w:left w:w="28" w:type="dxa"/>
          <w:bottom w:w="28" w:type="dxa"/>
          <w:right w:w="28" w:type="dxa"/>
        </w:tblCellMar>
      </w:tblPr>
      <w:tblGrid>
        <w:gridCol w:w="2902"/>
        <w:gridCol w:w="2192"/>
        <w:gridCol w:w="2138"/>
        <w:gridCol w:w="196"/>
        <w:gridCol w:w="871"/>
        <w:gridCol w:w="109"/>
        <w:gridCol w:w="109"/>
        <w:gridCol w:w="109"/>
        <w:gridCol w:w="109"/>
        <w:gridCol w:w="196"/>
        <w:gridCol w:w="871"/>
        <w:gridCol w:w="403"/>
      </w:tblGrid>
      <w:tr>
        <w:trPr/>
        <w:tc>
          <w:tcPr>
            <w:tcW w:w="290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3,097,817 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securities—available-for-sale (amortized cost $555,202 and $480,793 as of March 31, 2026 and December 31, 2025, respectively; allowance for credit losses $0 as of March 31,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482,787 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1,024,407 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101,060 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317,831 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5,023,902 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equity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730,885 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117,131 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515,294 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6,957,973 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209,938 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228,071 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1,031,501 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1,515,170 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30,199 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1,790,495 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5,000,000 shares authorized; none issued or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400,000,000 shares authorized; 199,948,401 and 198,460,009 shares issued and outstanding as of March 31,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4,928,049 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213,769 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5,167,478 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6,957,973 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at December 31, 2025 has been derived from the audited consolidated financial statements at that date.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tbl>
      <w:tblPr>
        <w:tblW w:w="10104" w:type="dxa"/>
        <w:jc w:val="center"/>
        <w:tblInd w:w="0" w:type="dxa"/>
        <w:tblLayout w:type="fixed"/>
        <w:tblCellMar>
          <w:top w:w="28" w:type="dxa"/>
          <w:left w:w="28" w:type="dxa"/>
          <w:bottom w:w="28" w:type="dxa"/>
          <w:right w:w="28" w:type="dxa"/>
        </w:tblCellMar>
      </w:tblPr>
      <w:tblGrid>
        <w:gridCol w:w="2448"/>
        <w:gridCol w:w="2152"/>
        <w:gridCol w:w="2165"/>
        <w:gridCol w:w="109"/>
        <w:gridCol w:w="109"/>
        <w:gridCol w:w="115"/>
        <w:gridCol w:w="115"/>
        <w:gridCol w:w="223"/>
        <w:gridCol w:w="1035"/>
        <w:gridCol w:w="115"/>
        <w:gridCol w:w="109"/>
        <w:gridCol w:w="109"/>
        <w:gridCol w:w="109"/>
        <w:gridCol w:w="211"/>
        <w:gridCol w:w="826"/>
        <w:gridCol w:w="154"/>
      </w:tblGrid>
      <w:tr>
        <w:trPr/>
        <w:tc>
          <w:tcPr>
            <w:tcW w:w="244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definite-lived intangible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related disposal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acquisition-related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193,712</w:t>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198,197</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095" w:type="dxa"/>
        <w:jc w:val="left"/>
        <w:tblInd w:w="0" w:type="dxa"/>
        <w:tblLayout w:type="fixed"/>
        <w:tblCellMar>
          <w:top w:w="28" w:type="dxa"/>
          <w:left w:w="28" w:type="dxa"/>
          <w:bottom w:w="28" w:type="dxa"/>
          <w:right w:w="28" w:type="dxa"/>
        </w:tblCellMar>
      </w:tblPr>
      <w:tblGrid>
        <w:gridCol w:w="1722"/>
        <w:gridCol w:w="1510"/>
        <w:gridCol w:w="1523"/>
        <w:gridCol w:w="109"/>
        <w:gridCol w:w="109"/>
        <w:gridCol w:w="128"/>
        <w:gridCol w:w="128"/>
        <w:gridCol w:w="248"/>
        <w:gridCol w:w="972"/>
        <w:gridCol w:w="128"/>
        <w:gridCol w:w="109"/>
        <w:gridCol w:w="109"/>
        <w:gridCol w:w="109"/>
        <w:gridCol w:w="211"/>
        <w:gridCol w:w="826"/>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gain,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300,182 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number of shares)</w:t>
      </w:r>
    </w:p>
    <w:tbl>
      <w:tblPr>
        <w:tblW w:w="10205" w:type="dxa"/>
        <w:jc w:val="left"/>
        <w:tblInd w:w="0" w:type="dxa"/>
        <w:tblLayout w:type="fixed"/>
        <w:tblCellMar>
          <w:top w:w="28" w:type="dxa"/>
          <w:left w:w="28" w:type="dxa"/>
          <w:bottom w:w="28" w:type="dxa"/>
          <w:right w:w="28" w:type="dxa"/>
        </w:tblCellMar>
      </w:tblPr>
      <w:tblGrid>
        <w:gridCol w:w="1379"/>
        <w:gridCol w:w="903"/>
        <w:gridCol w:w="907"/>
        <w:gridCol w:w="206"/>
        <w:gridCol w:w="444"/>
        <w:gridCol w:w="116"/>
        <w:gridCol w:w="109"/>
        <w:gridCol w:w="109"/>
        <w:gridCol w:w="109"/>
        <w:gridCol w:w="197"/>
        <w:gridCol w:w="876"/>
        <w:gridCol w:w="109"/>
        <w:gridCol w:w="109"/>
        <w:gridCol w:w="109"/>
        <w:gridCol w:w="109"/>
        <w:gridCol w:w="291"/>
        <w:gridCol w:w="963"/>
        <w:gridCol w:w="163"/>
        <w:gridCol w:w="109"/>
        <w:gridCol w:w="109"/>
        <w:gridCol w:w="109"/>
        <w:gridCol w:w="210"/>
        <w:gridCol w:w="790"/>
        <w:gridCol w:w="116"/>
        <w:gridCol w:w="109"/>
        <w:gridCol w:w="109"/>
        <w:gridCol w:w="109"/>
        <w:gridCol w:w="196"/>
        <w:gridCol w:w="871"/>
        <w:gridCol w:w="160"/>
      </w:tblGrid>
      <w:tr>
        <w:trPr/>
        <w:tc>
          <w:tcPr>
            <w:tcW w:w="137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January 1, 2026</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5,167,478 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1,473,992 shares of Common Stock upon exercise of stock options and settlement of employee restricted stock units, net of shares withheld for taxes </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955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2026</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517,099 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5,622,847 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27"/>
        <w:gridCol w:w="853"/>
        <w:gridCol w:w="857"/>
        <w:gridCol w:w="206"/>
        <w:gridCol w:w="444"/>
        <w:gridCol w:w="116"/>
        <w:gridCol w:w="109"/>
        <w:gridCol w:w="109"/>
        <w:gridCol w:w="109"/>
        <w:gridCol w:w="197"/>
        <w:gridCol w:w="876"/>
        <w:gridCol w:w="109"/>
        <w:gridCol w:w="109"/>
        <w:gridCol w:w="109"/>
        <w:gridCol w:w="109"/>
        <w:gridCol w:w="284"/>
        <w:gridCol w:w="962"/>
        <w:gridCol w:w="159"/>
        <w:gridCol w:w="109"/>
        <w:gridCol w:w="109"/>
        <w:gridCol w:w="109"/>
        <w:gridCol w:w="208"/>
        <w:gridCol w:w="957"/>
        <w:gridCol w:w="115"/>
        <w:gridCol w:w="109"/>
        <w:gridCol w:w="109"/>
        <w:gridCol w:w="109"/>
        <w:gridCol w:w="196"/>
        <w:gridCol w:w="871"/>
        <w:gridCol w:w="160"/>
      </w:tblGrid>
      <w:tr>
        <w:trPr/>
        <w:tc>
          <w:tcPr>
            <w:tcW w:w="1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January 1, 2025</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(1,072,881)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3,447,628 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363,987 shares of Common Stock upon exercise of stock options and settlement of employee restricted stock units, net of shares withheld for taxes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1,208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2025</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(914,678)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3,667,563 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0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588" w:type="dxa"/>
        <w:jc w:val="left"/>
        <w:tblInd w:w="0" w:type="dxa"/>
        <w:tblLayout w:type="fixed"/>
        <w:tblCellMar>
          <w:top w:w="28" w:type="dxa"/>
          <w:left w:w="28" w:type="dxa"/>
          <w:bottom w:w="28" w:type="dxa"/>
          <w:right w:w="28" w:type="dxa"/>
        </w:tblCellMar>
      </w:tblPr>
      <w:tblGrid>
        <w:gridCol w:w="2124"/>
        <w:gridCol w:w="1863"/>
        <w:gridCol w:w="1877"/>
        <w:gridCol w:w="196"/>
        <w:gridCol w:w="871"/>
        <w:gridCol w:w="109"/>
        <w:gridCol w:w="109"/>
        <w:gridCol w:w="109"/>
        <w:gridCol w:w="109"/>
        <w:gridCol w:w="196"/>
        <w:gridCol w:w="871"/>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change in fair value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stock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restricted and performance share vesting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Schedule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excise tax on repurchase of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purchases of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Organization and Business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Incyte Corporation (including its subsidiaries, “Incyte,” “we,” “us,” or “our”) is a global biopharmaceutical company engaged in the discovery, development and commercialization of proprietary therapeutics. Our portfolio includes compounds in various stages, ranging from preclinical to late stage development, and commercialized products JAKAFI® (ruxolitinib), ICLUSIG® (ponatinib), PEMAZYRE® (pemigatinib), OPZELURA® (ruxolitinib cream),</w:t>
      </w:r>
      <w:r>
        <w:rPr>
          <w:color w:val="000000"/>
        </w:rPr>
        <w:t xml:space="preserve"> </w:t>
      </w:r>
      <w:r>
        <w:rPr>
          <w:rFonts w:ascii="Times New Roman;serif" w:hAnsi="Times New Roman;serif"/>
          <w:b w:val="false"/>
          <w:color w:val="000000"/>
          <w:sz w:val="20"/>
        </w:rPr>
        <w:t>MINJUVI® (tafasitamab), MONJUVI® (tafasitamab-cxix), ZYNYZ® (retifanlimab-dlwr), as well as NIKTIMVO™ (axatilimab-csfr), which is co-commercialized. Our operations are treated as one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The condensed consolidated balance sheet as of March 31, 2026, and the condensed consolidated statements of operations, comprehensive income (loss), stockholders’ equity and cash flows for the three months ended March 31, 2026 and 2025,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2025 has been derived from our audited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disclosures in these financial statements are adequate to make the information presented not misleading, certain information and footnote information normally included in financial statements prepared in accordance with U.S. GAAP have been condensed or omitted pursuant to the rules and regulations of the Securities and Exchange Commission (the “SEC”).</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2025.</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Principles of Consolidation.</w:t>
      </w:r>
      <w:r>
        <w:rPr>
          <w:color w:val="000000"/>
        </w:rPr>
        <w:t xml:space="preserve"> </w:t>
      </w:r>
      <w:r>
        <w:rPr>
          <w:rFonts w:ascii="Times New Roman;serif" w:hAnsi="Times New Roman;serif"/>
          <w:b w:val="false"/>
          <w:color w:val="000000"/>
          <w:sz w:val="20"/>
        </w:rPr>
        <w:t>The condensed consolidated financial statements include the accounts of Incyte Corporation and our wholly owned subsidiaries. All inter-company accounts, transactions, and profits have been eliminated in consolidation.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Use of Estimates.</w:t>
      </w:r>
      <w:r>
        <w:rPr>
          <w:color w:val="000000"/>
        </w:rPr>
        <w:t xml:space="preserve"> </w:t>
      </w: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could differ from those estimates.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 and Regulatory Updates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November 2024, the Financial Accounting Standards Board (“FASB”) issued ASU No. 2024-03, “</w:t>
      </w:r>
      <w:r>
        <w:rPr>
          <w:rFonts w:ascii="Times New Roman;serif" w:hAnsi="Times New Roman;serif"/>
          <w:b w:val="false"/>
          <w:i/>
          <w:color w:val="000000"/>
          <w:sz w:val="20"/>
        </w:rPr>
        <w:t xml:space="preserve">Disaggregation of Income Statement Expenses </w:t>
      </w:r>
      <w:r>
        <w:rPr>
          <w:rFonts w:ascii="Times New Roman;serif" w:hAnsi="Times New Roman;serif"/>
          <w:b w:val="false"/>
          <w:color w:val="000000"/>
          <w:sz w:val="20"/>
        </w:rPr>
        <w:t>(DISE).”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pPr>
      <w:r>
        <w:rPr>
          <w:rFonts w:ascii="Times New Roman;serif" w:hAnsi="Times New Roman;serif"/>
          <w:b w:val="false"/>
          <w:color w:val="000000"/>
          <w:sz w:val="20"/>
        </w:rPr>
        <w:t>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This amended guidance applies to all entities and aims to simplify the estimation of expected credit losses for current accounts receivable and contract assets by providing a practical expedient for all companies. The amendments are effective for annual reporting periods beginning after December 15, 2025 and interim reporting periods within those annual periods. We formally adopted ASU 2025-05, effective January 1, 2026, and elected the practical expedient provided to all companies. This adoption and related practical expedient election did not have and is not expected to have a material impact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September 2025, the FASB issued ASU No. 2025-06, “</w:t>
      </w:r>
      <w:r>
        <w:rPr>
          <w:rFonts w:ascii="Times New Roman;serif" w:hAnsi="Times New Roman;serif"/>
          <w:b w:val="false"/>
          <w:i/>
          <w:color w:val="000000"/>
          <w:sz w:val="20"/>
        </w:rPr>
        <w:t>Intangibles - Goodwill and Other - Internal-Use (Subtopic 350-40): Targeted Improvements to the Accounting for Internal-Use Software.</w:t>
      </w:r>
      <w:r>
        <w:rPr>
          <w:color w:val="000000"/>
        </w:rPr>
        <w:t xml:space="preserve">” </w:t>
      </w:r>
      <w:r>
        <w:rPr>
          <w:rFonts w:ascii="Times New Roman;serif" w:hAnsi="Times New Roman;serif"/>
          <w:b w:val="false"/>
          <w:color w:val="000000"/>
          <w:sz w:val="20"/>
        </w:rPr>
        <w:t>This amended guidance applies</w:t>
      </w:r>
      <w:r>
        <w:rPr>
          <w:color w:val="000000"/>
        </w:rPr>
        <w:t xml:space="preserve"> </w:t>
      </w:r>
      <w:r>
        <w:rPr>
          <w:rFonts w:ascii="Times New Roman;serif" w:hAnsi="Times New Roman;serif"/>
          <w:b w:val="false"/>
          <w:color w:val="000000"/>
          <w:sz w:val="20"/>
        </w:rPr>
        <w:t>to all entities and serves to modernize the accounting for software costs that are accounted for under Subtopic 305-40, Intangibles - Goodwill and Other - Internal-Use Software (referred to as “internal-use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Entities may adopt the new guidance using a prospective, modified, or retrospective transition approach. We are currently evaluating the impact ASU No. 2025-06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September 2025, the FASB issued ASU No.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This amended guidance applies to all entities and refines the scope of derivative accounting and clarifies rules for share-based noncash consideration in revenue contracts. Specifically, this update is intended to address concerns about the application of derivative accounting to contracts that have features based on the operations or activities of one of the parties to the contract and to reduce diversity in the accounting for share-based payments in revenue contracts. The amendments in this update are effective for all entities for annual reporting periods beginning after December 15, 2026, and interim reporting periods within those annual reporting periods. Early adoption is permitted. Entities may adopt the new guidance prospectively, or on a modified retrospective basis. We are currently evaluating the impact ASU No. 2025-07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December 2025, the FASB issued ASU No. 2025-10, “</w:t>
      </w:r>
      <w:r>
        <w:rPr>
          <w:rFonts w:ascii="Times New Roman;serif" w:hAnsi="Times New Roman;serif"/>
          <w:b w:val="false"/>
          <w:i/>
          <w:color w:val="000000"/>
          <w:sz w:val="20"/>
        </w:rPr>
        <w:t>Government Grants (Topic 832): Accounting for Government Grants Received by Business Entities.</w:t>
      </w:r>
      <w:r>
        <w:rPr>
          <w:color w:val="000000"/>
        </w:rPr>
        <w:t xml:space="preserve">” </w:t>
      </w:r>
      <w:r>
        <w:rPr>
          <w:rFonts w:ascii="Times New Roman;serif" w:hAnsi="Times New Roman;serif"/>
          <w:b w:val="false"/>
          <w:color w:val="000000"/>
          <w:sz w:val="20"/>
        </w:rPr>
        <w:t>This accounting standard update establishes specific rules for the recognition, measurement, and presentation of government grants received by business entities. For public business entities, this amended guidance is applicable for fiscal years beginning after December 15, 2028, including interim periods within those fiscal years. Early adoption is permitted. Entities may adopt the new guidance using a modified prospective, modified retrospective, or full retrospective approach. We are currently evaluating the impact ASU No. 2025-10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December 2025, the FASB issued ASU No.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The amendments in this update aim to enhance the guidance in Topic 270, Interim Reporting, by improving the navigability of the required interim disclosures and clarifying when that guidance is applicable. The amendments also provide additional guidance on what disclosures should be provided in interim reporting periods. Lastly, this updated guidance incorporates a principle that requires entities to disclose significant events since the end of the last annual reporting period. The amendments in this update apply to all entities that provide interim financial statements and notes in accordance with U.S. GAAP. For public business entities, this amended guidance is effective for interim reporting periods within annual reporting periods beginning after December 15, 2027. Early adoption is permitted, and the amendments in this update can be applied either prospectively or retrospectively to any or all periods presented in the financial statements. We are currently evaluating the impact ASU No. 2025-11 will have on our future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Revenues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Revenues are recognized under guidance within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The following table presents our disaggregated revenue for the periods presented (in thousands): </w:t>
      </w:r>
    </w:p>
    <w:tbl>
      <w:tblPr>
        <w:tblW w:w="6714" w:type="dxa"/>
        <w:jc w:val="left"/>
        <w:tblInd w:w="0" w:type="dxa"/>
        <w:tblLayout w:type="fixed"/>
        <w:tblCellMar>
          <w:top w:w="28" w:type="dxa"/>
          <w:left w:w="28" w:type="dxa"/>
          <w:bottom w:w="28" w:type="dxa"/>
          <w:right w:w="28" w:type="dxa"/>
        </w:tblCellMar>
      </w:tblPr>
      <w:tblGrid>
        <w:gridCol w:w="1165"/>
        <w:gridCol w:w="1029"/>
        <w:gridCol w:w="1031"/>
        <w:gridCol w:w="109"/>
        <w:gridCol w:w="109"/>
        <w:gridCol w:w="115"/>
        <w:gridCol w:w="115"/>
        <w:gridCol w:w="223"/>
        <w:gridCol w:w="1035"/>
        <w:gridCol w:w="115"/>
        <w:gridCol w:w="109"/>
        <w:gridCol w:w="109"/>
        <w:gridCol w:w="109"/>
        <w:gridCol w:w="211"/>
        <w:gridCol w:w="976"/>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JAKAFI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OPZELURA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ICLUSIG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PEMAZYRE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MINJUVI/MONJUVI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NIKTIMVO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ZYNYZ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JAKAVI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OLUMIANT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TABRECTA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1,272,676 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For further information on our revenue-generating contracts,</w:t>
      </w:r>
      <w:r>
        <w:rPr>
          <w:color w:val="000000"/>
        </w:rPr>
        <w:t xml:space="preserve"> </w:t>
      </w:r>
      <w:r>
        <w:rPr>
          <w:rFonts w:ascii="Times New Roman;serif" w:hAnsi="Times New Roman;serif"/>
          <w:b w:val="false"/>
          <w:color w:val="000000"/>
          <w:sz w:val="20"/>
        </w:rPr>
        <w:t>refer to Note 7.</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Fair Value of Financial Instruments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marketable security portfolio for the periods presented (in thousands):</w:t>
      </w:r>
    </w:p>
    <w:tbl>
      <w:tblPr>
        <w:tblW w:w="8506" w:type="dxa"/>
        <w:jc w:val="left"/>
        <w:tblInd w:w="0" w:type="dxa"/>
        <w:tblLayout w:type="fixed"/>
        <w:tblCellMar>
          <w:top w:w="28" w:type="dxa"/>
          <w:left w:w="28" w:type="dxa"/>
          <w:bottom w:w="28" w:type="dxa"/>
          <w:right w:w="28" w:type="dxa"/>
        </w:tblCellMar>
      </w:tblPr>
      <w:tblGrid>
        <w:gridCol w:w="891"/>
        <w:gridCol w:w="780"/>
        <w:gridCol w:w="788"/>
        <w:gridCol w:w="211"/>
        <w:gridCol w:w="826"/>
        <w:gridCol w:w="109"/>
        <w:gridCol w:w="109"/>
        <w:gridCol w:w="109"/>
        <w:gridCol w:w="109"/>
        <w:gridCol w:w="304"/>
        <w:gridCol w:w="889"/>
        <w:gridCol w:w="157"/>
        <w:gridCol w:w="109"/>
        <w:gridCol w:w="109"/>
        <w:gridCol w:w="109"/>
        <w:gridCol w:w="288"/>
        <w:gridCol w:w="943"/>
        <w:gridCol w:w="148"/>
        <w:gridCol w:w="109"/>
        <w:gridCol w:w="109"/>
        <w:gridCol w:w="109"/>
        <w:gridCol w:w="211"/>
        <w:gridCol w:w="82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Fair Value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contractual maturities of our available-for-sale debt securities as of March 31, 2026 (in thousands): </w:t>
      </w:r>
    </w:p>
    <w:tbl>
      <w:tblPr>
        <w:tblW w:w="7805" w:type="dxa"/>
        <w:jc w:val="left"/>
        <w:tblInd w:w="0" w:type="dxa"/>
        <w:tblLayout w:type="fixed"/>
        <w:tblCellMar>
          <w:top w:w="28" w:type="dxa"/>
          <w:left w:w="28" w:type="dxa"/>
          <w:bottom w:w="28" w:type="dxa"/>
          <w:right w:w="28" w:type="dxa"/>
        </w:tblCellMar>
      </w:tblPr>
      <w:tblGrid>
        <w:gridCol w:w="1267"/>
        <w:gridCol w:w="1112"/>
        <w:gridCol w:w="1115"/>
        <w:gridCol w:w="211"/>
        <w:gridCol w:w="826"/>
        <w:gridCol w:w="109"/>
        <w:gridCol w:w="109"/>
        <w:gridCol w:w="109"/>
        <w:gridCol w:w="109"/>
        <w:gridCol w:w="243"/>
        <w:gridCol w:w="952"/>
        <w:gridCol w:w="125"/>
        <w:gridCol w:w="109"/>
        <w:gridCol w:w="109"/>
        <w:gridCol w:w="109"/>
        <w:gridCol w:w="211"/>
        <w:gridCol w:w="826"/>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1-5 Years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debt securities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security assets were assessed for risk of expected credit losses. As of March 31, 2026 and December 31, 2025, the available-for-sale debt securities were held in U.S.-government backed securities and in Treasury bonds and were assessed on an individual security basis to have a de minimis risk of credit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1—Valuations based on unadjusted quoted prices in active markets for identical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2—Valuations based on observable inputs and quoted prices in active markets for similar assets and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3—Valuations based on inputs that are unobservable and models that are significant to the overall fair value measurement.</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marketable securities consist of investments in U.S. government debt securities that are classified as available-for-sale.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three months ended March 31,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 presents information about each major category of our financial assets measured at fair value on a recurring basis (in thousands):</w:t>
      </w:r>
    </w:p>
    <w:tbl>
      <w:tblPr>
        <w:tblW w:w="9520" w:type="dxa"/>
        <w:jc w:val="left"/>
        <w:tblInd w:w="0" w:type="dxa"/>
        <w:tblLayout w:type="fixed"/>
        <w:tblCellMar>
          <w:top w:w="28" w:type="dxa"/>
          <w:left w:w="28" w:type="dxa"/>
          <w:bottom w:w="28" w:type="dxa"/>
          <w:right w:w="28" w:type="dxa"/>
        </w:tblCellMar>
      </w:tblPr>
      <w:tblGrid>
        <w:gridCol w:w="1179"/>
        <w:gridCol w:w="1035"/>
        <w:gridCol w:w="1040"/>
        <w:gridCol w:w="241"/>
        <w:gridCol w:w="1119"/>
        <w:gridCol w:w="124"/>
        <w:gridCol w:w="109"/>
        <w:gridCol w:w="109"/>
        <w:gridCol w:w="109"/>
        <w:gridCol w:w="251"/>
        <w:gridCol w:w="984"/>
        <w:gridCol w:w="129"/>
        <w:gridCol w:w="109"/>
        <w:gridCol w:w="109"/>
        <w:gridCol w:w="109"/>
        <w:gridCol w:w="318"/>
        <w:gridCol w:w="612"/>
        <w:gridCol w:w="166"/>
        <w:gridCol w:w="109"/>
        <w:gridCol w:w="109"/>
        <w:gridCol w:w="109"/>
        <w:gridCol w:w="211"/>
        <w:gridCol w:w="97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as of </w:t>
              <w:br/>
              <w:t>March 31, 2026</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3,461,114 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term equity investments (Note 7)</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3,515,696 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554,711 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24" w:type="dxa"/>
        <w:jc w:val="left"/>
        <w:tblInd w:w="0" w:type="dxa"/>
        <w:tblLayout w:type="fixed"/>
        <w:tblCellMar>
          <w:top w:w="28" w:type="dxa"/>
          <w:left w:w="28" w:type="dxa"/>
          <w:bottom w:w="28" w:type="dxa"/>
          <w:right w:w="28" w:type="dxa"/>
        </w:tblCellMar>
      </w:tblPr>
      <w:tblGrid>
        <w:gridCol w:w="1179"/>
        <w:gridCol w:w="1035"/>
        <w:gridCol w:w="1040"/>
        <w:gridCol w:w="241"/>
        <w:gridCol w:w="1119"/>
        <w:gridCol w:w="124"/>
        <w:gridCol w:w="109"/>
        <w:gridCol w:w="109"/>
        <w:gridCol w:w="109"/>
        <w:gridCol w:w="251"/>
        <w:gridCol w:w="984"/>
        <w:gridCol w:w="129"/>
        <w:gridCol w:w="109"/>
        <w:gridCol w:w="109"/>
        <w:gridCol w:w="109"/>
        <w:gridCol w:w="318"/>
        <w:gridCol w:w="612"/>
        <w:gridCol w:w="166"/>
        <w:gridCol w:w="109"/>
        <w:gridCol w:w="109"/>
        <w:gridCol w:w="109"/>
        <w:gridCol w:w="243"/>
        <w:gridCol w:w="1125"/>
        <w:gridCol w:w="177"/>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as of</w:t>
              <w:br/>
              <w:t>December 31, 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3,097,817 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term equity investments (Note 7)</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3,145,808 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3,628,595 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 presents information about each major category of our financial liabilities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1338"/>
        <w:gridCol w:w="1176"/>
        <w:gridCol w:w="1181"/>
        <w:gridCol w:w="423"/>
        <w:gridCol w:w="817"/>
        <w:gridCol w:w="217"/>
        <w:gridCol w:w="125"/>
        <w:gridCol w:w="125"/>
        <w:gridCol w:w="125"/>
        <w:gridCol w:w="391"/>
        <w:gridCol w:w="752"/>
        <w:gridCol w:w="203"/>
        <w:gridCol w:w="125"/>
        <w:gridCol w:w="125"/>
        <w:gridCol w:w="125"/>
        <w:gridCol w:w="243"/>
        <w:gridCol w:w="954"/>
        <w:gridCol w:w="125"/>
        <w:gridCol w:w="109"/>
        <w:gridCol w:w="109"/>
        <w:gridCol w:w="109"/>
        <w:gridCol w:w="230"/>
        <w:gridCol w:w="901"/>
        <w:gridCol w:w="177"/>
      </w:tblGrid>
      <w:tr>
        <w:trPr/>
        <w:tc>
          <w:tcPr>
            <w:tcW w:w="133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Liabilities</w:t>
              <w:br/>
              <w:t>(Level 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br/>
              <w:t>March 31, 2026</w:t>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2"/>
        <w:gridCol w:w="1137"/>
        <w:gridCol w:w="1141"/>
        <w:gridCol w:w="412"/>
        <w:gridCol w:w="794"/>
        <w:gridCol w:w="210"/>
        <w:gridCol w:w="124"/>
        <w:gridCol w:w="124"/>
        <w:gridCol w:w="124"/>
        <w:gridCol w:w="383"/>
        <w:gridCol w:w="737"/>
        <w:gridCol w:w="199"/>
        <w:gridCol w:w="124"/>
        <w:gridCol w:w="124"/>
        <w:gridCol w:w="124"/>
        <w:gridCol w:w="241"/>
        <w:gridCol w:w="946"/>
        <w:gridCol w:w="124"/>
        <w:gridCol w:w="109"/>
        <w:gridCol w:w="109"/>
        <w:gridCol w:w="109"/>
        <w:gridCol w:w="266"/>
        <w:gridCol w:w="1047"/>
        <w:gridCol w:w="205"/>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Liabilities</w:t>
              <w:br/>
              <w:t>(Level 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b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our Level 3 liabilities (in thousands):</w:t>
      </w:r>
    </w:p>
    <w:tbl>
      <w:tblPr>
        <w:tblW w:w="6770" w:type="dxa"/>
        <w:jc w:val="left"/>
        <w:tblInd w:w="0" w:type="dxa"/>
        <w:tblLayout w:type="fixed"/>
        <w:tblCellMar>
          <w:top w:w="28" w:type="dxa"/>
          <w:left w:w="28" w:type="dxa"/>
          <w:bottom w:w="28" w:type="dxa"/>
          <w:right w:w="28" w:type="dxa"/>
        </w:tblCellMar>
      </w:tblPr>
      <w:tblGrid>
        <w:gridCol w:w="2022"/>
        <w:gridCol w:w="1771"/>
        <w:gridCol w:w="1786"/>
        <w:gridCol w:w="211"/>
        <w:gridCol w:w="826"/>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during the period but not yet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contingent consideration was determined on the date of acquisition, June 1, 2016, using an income approach based on projected future net sales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March 31, 2026 and December 31, 2025 included a discount rate of 10%, updated projections of future net sales of ICLUSIG in the European Union and other countries for the approved third line treatment, and related applicable royalty rates. The change in fair value of the contingent consideration during the three months ended March 31, 2026 was due primarily to updated projections of future net sales of ICLUSIG, including the impacts from fluctuations in foreign currency exchange rates, and the passage of time.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generally make payments to Takeda Pharmaceutical Company Limited quarterly based on the royalties earned in the previous quarter. As of March 31, 2026 and December 31, 2025, contingent consideration earned but not yet paid was $10.8 million and $12.1 million, respectively, and was included in accrued and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Concentration of Credit Risk and Current Expected Credit Losses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November 2009, we entered into a collaboration and license agreement with Novartis Pharma AG (formerly known as Novartis Pharmaceutical International Ltd.) (“Novartis”). In December 2009, we entered into a license, development and commercialization agreement with Eli Lilly and Company (“Lilly”). The above collaboration partners comprised, in aggregate, 14% and 17% of the accounts receivable balance as of March 31, 2026 and December 31, 2025, respectively. For further information relating to these collaboration and license agreements,</w:t>
      </w:r>
      <w:r>
        <w:rPr>
          <w:color w:val="000000"/>
        </w:rPr>
        <w:t xml:space="preserve"> </w:t>
      </w:r>
      <w:r>
        <w:rPr>
          <w:rFonts w:ascii="Times New Roman;serif" w:hAnsi="Times New Roman;serif"/>
          <w:b w:val="false"/>
          <w:color w:val="000000"/>
          <w:sz w:val="20"/>
        </w:rPr>
        <w:t>refer to Note 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concentration of credit risk related to our JAKAFI and OPZELURA sales is as follows:</w:t>
      </w:r>
    </w:p>
    <w:tbl>
      <w:tblPr>
        <w:tblW w:w="4147" w:type="dxa"/>
        <w:jc w:val="left"/>
        <w:tblInd w:w="0" w:type="dxa"/>
        <w:tblLayout w:type="fixed"/>
        <w:tblCellMar>
          <w:top w:w="28" w:type="dxa"/>
          <w:left w:w="28" w:type="dxa"/>
          <w:bottom w:w="28" w:type="dxa"/>
          <w:right w:w="28" w:type="dxa"/>
        </w:tblCellMar>
      </w:tblPr>
      <w:tblGrid>
        <w:gridCol w:w="391"/>
        <w:gridCol w:w="344"/>
        <w:gridCol w:w="345"/>
        <w:gridCol w:w="109"/>
        <w:gridCol w:w="109"/>
        <w:gridCol w:w="284"/>
        <w:gridCol w:w="284"/>
        <w:gridCol w:w="284"/>
        <w:gridCol w:w="284"/>
        <w:gridCol w:w="709"/>
        <w:gridCol w:w="109"/>
        <w:gridCol w:w="109"/>
        <w:gridCol w:w="109"/>
        <w:gridCol w:w="180"/>
        <w:gridCol w:w="181"/>
        <w:gridCol w:w="31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Total Net</w:t>
              <w:br/>
              <w:t>Sales for the</w:t>
              <w:br/>
              <w:t>Three Months Ended</w:t>
            </w:r>
          </w:p>
        </w:tc>
        <w:tc>
          <w:tcPr>
            <w:tcW w:w="1004" w:type="dxa"/>
            <w:gridSpan w:val="6"/>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04" w:type="dxa"/>
            <w:gridSpan w:val="6"/>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risks associated with extending credit to customers related to the sale of products. Customers A, B, C, D, E and F comprised, in the aggregate, 64% and 54% of the accounts receivable balance as of March 31, 2026 and December 31, 2025, respectively. The concentration of credit risk relating to our other sales or accounts receivable is not significant.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assessed our collaborative and customer receivable assets as of March 31, 2026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March 31, 2026 and December 31, 2025, we had a de minimus amount of allowance for doubtful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Inventory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inventory balance consists of the following (in thousands):</w:t>
      </w:r>
    </w:p>
    <w:tbl>
      <w:tblPr>
        <w:tblW w:w="4764" w:type="dxa"/>
        <w:jc w:val="left"/>
        <w:tblInd w:w="0" w:type="dxa"/>
        <w:tblLayout w:type="fixed"/>
        <w:tblCellMar>
          <w:top w:w="28" w:type="dxa"/>
          <w:left w:w="28" w:type="dxa"/>
          <w:bottom w:w="28" w:type="dxa"/>
          <w:right w:w="28" w:type="dxa"/>
        </w:tblCellMar>
      </w:tblPr>
      <w:tblGrid>
        <w:gridCol w:w="759"/>
        <w:gridCol w:w="667"/>
        <w:gridCol w:w="674"/>
        <w:gridCol w:w="211"/>
        <w:gridCol w:w="826"/>
        <w:gridCol w:w="109"/>
        <w:gridCol w:w="109"/>
        <w:gridCol w:w="109"/>
        <w:gridCol w:w="109"/>
        <w:gridCol w:w="211"/>
        <w:gridCol w:w="82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 and 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stated at the lower of cost and net realizable value, consist of raw materials, active pharmaceutical ingredients (“API”), work-in-process, and finished goods, inclusive of freight and inventoriable overhead. At March 31, 2026, $115.6 million of inventory was classified as current on the condensed consolidated balance sheet as we expect this inventory to be consumed for commercial use within the next twelve months. At March 31, 2026, $331.4 million of inventory was classified as non-current on the condensed consolidated balance sheet as we do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capitalize inventory after regulatory approval as the related costs are expected to be recoverable through the commercialization of the product. Costs incurred prior to regulatory approval are recorded as research and development expense in our condensed consolidated statements of operations. At March 31, 2026, inventory with approximately $40.9 million of product costs incurred prior to regulatory approval had not yet been sold. We expect to sell the pre-commercialization inventory over the next 6 to 35 months and, as a result, cost of sales will reflect a lower average per unit cost of materials.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Collaborative and Other Relationships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Novartis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this agreement,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March 31, 2026, we have recognized and received, in the aggregate, $157.0 million for the achievement of development milestones, $345.0 million for the achievement of regulatory milestones, and $200.0 million for the achievement of sales milestones.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obligated to pay to Novartis tiered royalties in the low single-digits on future JAKAFI net sales within the United States. On May 11, 2025, we and Novartis entered into a settlement agreement (the “Settlement Agreement”) with respect to litigation initiated by Novartis relating to the duration of royalty payments owed by us to Novartis under the Collaboration and License Agreement. Under the Settlement Agreement, we agreed to reduce by 50% the royalty rate payable by us on future net sales of JAKAFI in the United States beginning January 1, 2025 for a period defined in the Settlement Agreement.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such royalties on net sales within the United States totaled $16.1 million and $29.8 million, respectively, and were reflected in cost of sales on the condensed consolidated statements of operations. As a result of the Settlement Agreement noted above, the reduced royalty paid for the quarter ended March 31, 2025 was approximately $14.9 million. At March 31, 2026 and December 31, 2025, approximately $16.1 million and $20.3 million, respectively, of accrued royalties were included in accrued and other current liabilities on the condensed consolidated balance sheets.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are eligible to receive tiered, double-digit royalties ranging from the upper-teens to the mid-twenties on future JAKAVI (the trade name used by Novartis for ruxolitinib sales outside of the United States) net sales outside of the United States, and tiered, worldwide royalties on TABRECTA net sales that range from 12% to 14%. Product royalty revenue related to Novartis’ net sales of JAKAVI outside of the United States for the three months ended March 31, 2026 and 2025, was $105.6 million and $92.1 million, respectively. Product royalty revenue related to Novartis’ net sales of TABRECTA worldwide for the three months ended March 31, 2026 and 2025, was $6.0 million and $6.4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Lilly – Baricitinib</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this agreement, we were initially eligible to receive up to $150.0 million for the achievement of development milestones, up to $365.0 million for the achievement of regulatory milestones and up to $150.0 million for the achievement of sales milestones. In October 2025, the parties amended the agreement to enable Lilly to commercialize baricitinib for the treatment of Type 1 diabetes mellitus and to restructure the royalty obligations on net sales of baricitinib, certain developmental and regulatory milestones associated with baricitinib, and the marketing and sales support obligations of Lilly. Beginning in October 2025, we are now eligible to receive either a fixed royalty amount or tiered royalties based on defined levels of quarterly global net sales, with the tiered royalties up to a rate in the mid-teens. Since the inception of the agreement through March 31, 2026, we recognized and received, in aggregate, $149.0 million for the achievement of development milestones, $335.0 million for the achievement of regulatory milestones, $50.0 million for the achievement of sales milestones, and $100.0 million for the functional intellectual property transfer related to Type 1 diabetes mellitus.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royalty revenue related to Lilly net sales of OLUMIANT outside of the United States for the three months ended March 31, 2026 and 2025 was $36.4 million and $30.8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MacroGenics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inception of the agreement, inclusive of amendments to the agreement, through March 31, 2026,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 In June 2025, MacroGenics sold certain of its rights to such future tiered royalties on and after June 30, 2025 to Sagard Healthcare Partners (Delaware) II LP.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Syndax</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share equally the profits and losses from the co-commercialization efforts in the United States. Sales of axatilimab outside the United States are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Inclusive of an upfront, non-refundable payment, since the inception of the agreement through March 31, 2026,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$225.0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held an investment of approximately 1.4 million shares of Syndax common stock. The fair market value of our long term investment in Syndax as of March 31, 2026 and December 31, 2025 was $33.2 million and $29.9 million, respectively. For the three months ended March 31, 2026 and 2025, we recorded an unrealized gain of $3.3 million and unrealized loss of $1.3 million, respectively, based on the change in fair value of Syndax’s common stock during the respective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March 31, 2026 and 2025, includes $5.4 million and $4.7 million respectively, related to our 55% share of the co-development costs for axatilimab. At March 31, 2026 and December 31, 2025, $1.4 million and $2.4 million, respectively, was included in accrued and other liabilities on the condensed consolidated balance sheet for amounts due to Syndax under the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United States co-commercialization efforts, Syndax’s 50% share of profit was $14.4 million for the three months ended March 31, 2026, which is reflected in cost of sales on the condensed consolidated statement of operations. At March 31, 2026 and December 31, 2025, $22.5 million and $27.6 million, respectively, was included in accrued and other liability on the consolidated balance sheet for amounts due to Syndax related to United States co-commercialization activities.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Prelude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we entered into an exclusive purchase option agreement with Prelude Therapeutics Incorporated (“Prelude”). Under the terms of the agreement, we secured an exclusive option to acquire Prelude’s mutant selective JAK2V617F JH2 inhibitor program, including Prelude’s library of preclinical candidates. We paid Prelude a total of $60.0 million, comprised of an upfront payment of $35.0 million, plus a $25.0 million equity investment in Prelude. The $35.0 million upfront payment was recorded in research and development expense during the fourth quarter of 2025. We purchased 6.25 million shares of Prelude non-voting common stock at a price of $4.00 per share. Of this $25.0 million equity investment, approximately $17.1 million was expensed in research and development during the fourth quarter of 2025 as a premium above fair value of the stock purchase. The remaining $7.9 million is the initial fair value of our investment in Prelude. We are accounting for our shares held in Prelude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2026, we recorded an unrealized gain of $3.3 million based on the change in fair value of Prelude’s common stock during the period. The fair market value of our total long term investment in Prelude as of March 31, 2026 and December 31, 2025 was $21.4 million and $18.1 million, respectively.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Prelude expects to advance the JAK2V617F program to pre-defined milestones. We may elect to exercise our exclusive option during the option period to acquire the program and associated assets from Prelude for $100.0 million. In addition, if we exercise our option, Prelude would be eligible to receive up to $775.0 million in additional clinical and regulatory milestones, and single digit royalties on global net sales.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elect to not exercise our option to acquire the program, all JAK2V617F global program rights and interests would remain in the sole ownership and control of Prelude.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Other Agreements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Property and Equipment,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713" w:type="dxa"/>
        <w:jc w:val="left"/>
        <w:tblInd w:w="0" w:type="dxa"/>
        <w:tblLayout w:type="fixed"/>
        <w:tblCellMar>
          <w:top w:w="28" w:type="dxa"/>
          <w:left w:w="28" w:type="dxa"/>
          <w:bottom w:w="28" w:type="dxa"/>
          <w:right w:w="28" w:type="dxa"/>
        </w:tblCellMar>
      </w:tblPr>
      <w:tblGrid>
        <w:gridCol w:w="1467"/>
        <w:gridCol w:w="1287"/>
        <w:gridCol w:w="1295"/>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2024, we purchased additional property in Wilmington, Delaware, including land, office buildings and parking garages for a purchase price of $48.7 million. Subsequent to the purchase, we incurred additional construction costs of approximately $28.6 million through December 2025. During December 2025, the downtown Wilmington, Delaware properties met the criteria to be classified as assets held for sale. As a result of this classification, we recorded an asset impairment charge of $76.3 million on our consolidated statement of operations for the year ended December 31, 2025 relating to the downtown Wilmington properties in order to reflect the properties at the lower of their carrying amount or estimated fair value less cost to sell as of December 31, 2025. The estimated fair value less cost to sell of the properties was recorded within the Prepaid expenses and other current assets line item on our consolidated balance sheet as of December 31, 2025. During the three months ended March 31, 2026, we sold these downtown properties, and recognized an additional $23.2 million of expenses relating to disposal costs, which are included in Asset impairment and related disposal costs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Accrued and Other Current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 (in thousands):</w:t>
      </w:r>
    </w:p>
    <w:tbl>
      <w:tblPr>
        <w:tblW w:w="6639" w:type="dxa"/>
        <w:jc w:val="left"/>
        <w:tblInd w:w="0" w:type="dxa"/>
        <w:tblLayout w:type="fixed"/>
        <w:tblCellMar>
          <w:top w:w="28" w:type="dxa"/>
          <w:left w:w="28" w:type="dxa"/>
          <w:bottom w:w="28" w:type="dxa"/>
          <w:right w:w="28" w:type="dxa"/>
        </w:tblCellMar>
      </w:tblPr>
      <w:tblGrid>
        <w:gridCol w:w="1259"/>
        <w:gridCol w:w="1108"/>
        <w:gridCol w:w="1112"/>
        <w:gridCol w:w="420"/>
        <w:gridCol w:w="461"/>
        <w:gridCol w:w="470"/>
        <w:gridCol w:w="109"/>
        <w:gridCol w:w="109"/>
        <w:gridCol w:w="109"/>
        <w:gridCol w:w="506"/>
        <w:gridCol w:w="402"/>
        <w:gridCol w:w="57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40,678</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related costs</w:t>
            </w:r>
          </w:p>
        </w:tc>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175,932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allowances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642,468</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71,248</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4,755</w:t>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5,697</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90,723</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42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1,031,501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10. Other Comprehensive Income (Loss)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activity related to each component of accumulated other comprehensive income (loss) during the three months ended March 31, 2026 and 2025: </w:t>
      </w:r>
    </w:p>
    <w:tbl>
      <w:tblPr>
        <w:tblW w:w="10205" w:type="dxa"/>
        <w:jc w:val="left"/>
        <w:tblInd w:w="0" w:type="dxa"/>
        <w:tblLayout w:type="fixed"/>
        <w:tblCellMar>
          <w:top w:w="28" w:type="dxa"/>
          <w:left w:w="28" w:type="dxa"/>
          <w:bottom w:w="28" w:type="dxa"/>
          <w:right w:w="28" w:type="dxa"/>
        </w:tblCellMar>
      </w:tblPr>
      <w:tblGrid>
        <w:gridCol w:w="1251"/>
        <w:gridCol w:w="703"/>
        <w:gridCol w:w="706"/>
        <w:gridCol w:w="321"/>
        <w:gridCol w:w="1100"/>
        <w:gridCol w:w="166"/>
        <w:gridCol w:w="109"/>
        <w:gridCol w:w="109"/>
        <w:gridCol w:w="109"/>
        <w:gridCol w:w="390"/>
        <w:gridCol w:w="1140"/>
        <w:gridCol w:w="203"/>
        <w:gridCol w:w="109"/>
        <w:gridCol w:w="109"/>
        <w:gridCol w:w="109"/>
        <w:gridCol w:w="264"/>
        <w:gridCol w:w="952"/>
        <w:gridCol w:w="136"/>
        <w:gridCol w:w="109"/>
        <w:gridCol w:w="109"/>
        <w:gridCol w:w="109"/>
        <w:gridCol w:w="366"/>
        <w:gridCol w:w="1253"/>
        <w:gridCol w:w="273"/>
      </w:tblGrid>
      <w:tr>
        <w:trPr/>
        <w:tc>
          <w:tcPr>
            <w:tcW w:w="125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presented net of taxes)</w:t>
            </w:r>
          </w:p>
        </w:tc>
        <w:tc>
          <w:tcPr>
            <w:tcW w:w="15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1, 2026</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reclassified from accumulated other comprehensive income (loss)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income</w:t>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1"/>
        <w:gridCol w:w="741"/>
        <w:gridCol w:w="743"/>
        <w:gridCol w:w="304"/>
        <w:gridCol w:w="1042"/>
        <w:gridCol w:w="157"/>
        <w:gridCol w:w="109"/>
        <w:gridCol w:w="109"/>
        <w:gridCol w:w="109"/>
        <w:gridCol w:w="367"/>
        <w:gridCol w:w="1074"/>
        <w:gridCol w:w="191"/>
        <w:gridCol w:w="109"/>
        <w:gridCol w:w="109"/>
        <w:gridCol w:w="109"/>
        <w:gridCol w:w="268"/>
        <w:gridCol w:w="970"/>
        <w:gridCol w:w="138"/>
        <w:gridCol w:w="109"/>
        <w:gridCol w:w="109"/>
        <w:gridCol w:w="109"/>
        <w:gridCol w:w="370"/>
        <w:gridCol w:w="1296"/>
        <w:gridCol w:w="282"/>
      </w:tblGrid>
      <w:tr>
        <w:trPr/>
        <w:tc>
          <w:tcPr>
            <w:tcW w:w="128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presented net of taxes)</w:t>
            </w:r>
          </w:p>
        </w:tc>
        <w:tc>
          <w:tcPr>
            <w:tcW w:w="15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1, 2025</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reclassified from accumulated other comprehensive income (loss)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w:t>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2025</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Stock Compensation</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2010 Stock Incentive Plan.</w:t>
      </w:r>
      <w:r>
        <w:rPr>
          <w:color w:val="000000"/>
        </w:rPr>
        <w:t xml:space="preserve"> </w:t>
      </w:r>
      <w:r>
        <w:rPr>
          <w:rFonts w:ascii="Times New Roman;serif" w:hAnsi="Times New Roman;serif"/>
          <w:b w:val="false"/>
          <w:color w:val="000000"/>
          <w:sz w:val="20"/>
        </w:rPr>
        <w:t>Under our Amended and Restated 2010 Stock Incentive Plan, as amended (the “2010 Stock Plan”), we may issue common stock to employees, non-employee directors, consultants, and scientific advisors. Awards under the 2010 Stock Plan include stock options, restricted stock units (“RSUs”) and performance shares (“PSUs”). A total of 74,953,475 shares of common stock are reserved for issuance pursuant to the 2010 Stock Plan.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2024 Inducement Stock Incentive Plan. </w:t>
      </w:r>
      <w:r>
        <w:rPr>
          <w:rFonts w:ascii="Times New Roman;serif" w:hAnsi="Times New Roman;serif"/>
          <w:b w:val="false"/>
          <w:color w:val="000000"/>
          <w:sz w:val="20"/>
        </w:rPr>
        <w:t>Our Board of Directors has adopted the Incyte Corporation 2024 Inducement Stock Incentive Plan, as amended (the “2024 Inducement Plan”). In reliance on Nasdaq Marketplace Rule 5635(c)(4), stockholder approval was not obtained. A total of 2,000,000 shares of common stock are reserved for issuance pursuant to the 2024 Inducement Plan.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$64.1 million and $61.0 million of stock compensation expense on our condensed consolidated statements of operations for the three months ended March 31, 2026 and March 31, 2025, respectively. Stock compensation expense included within our condensed consolidated statements of operations included research and development expense of $39.2 million and $36.7 million for the three months ended March 31, 2026 and 2025, respectively. Stock compensation expense included within our condensed consolidated statements of operations also included selling, general and administrative expense of $24.0 million and $23.4 million for the three months ended March 31, 2026 and 2025, respectively. Stock compensation expense included within our condensed consolidated statements of operations also included cost of sales of $0.9 million and $0.9 million, respectively,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utilized the Black-Scholes valuation model for estimating the fair value of the stock compensation granted, with the following weighted-average assumptions:</w:t>
      </w:r>
    </w:p>
    <w:tbl>
      <w:tblPr>
        <w:tblW w:w="10205" w:type="dxa"/>
        <w:jc w:val="left"/>
        <w:tblInd w:w="0" w:type="dxa"/>
        <w:tblLayout w:type="fixed"/>
        <w:tblCellMar>
          <w:top w:w="28" w:type="dxa"/>
          <w:left w:w="28" w:type="dxa"/>
          <w:bottom w:w="28" w:type="dxa"/>
          <w:right w:w="28" w:type="dxa"/>
        </w:tblCellMar>
      </w:tblPr>
      <w:tblGrid>
        <w:gridCol w:w="1085"/>
        <w:gridCol w:w="707"/>
        <w:gridCol w:w="646"/>
        <w:gridCol w:w="109"/>
        <w:gridCol w:w="109"/>
        <w:gridCol w:w="143"/>
        <w:gridCol w:w="143"/>
        <w:gridCol w:w="278"/>
        <w:gridCol w:w="811"/>
        <w:gridCol w:w="357"/>
        <w:gridCol w:w="109"/>
        <w:gridCol w:w="109"/>
        <w:gridCol w:w="109"/>
        <w:gridCol w:w="211"/>
        <w:gridCol w:w="616"/>
        <w:gridCol w:w="271"/>
        <w:gridCol w:w="109"/>
        <w:gridCol w:w="109"/>
        <w:gridCol w:w="109"/>
        <w:gridCol w:w="461"/>
        <w:gridCol w:w="461"/>
        <w:gridCol w:w="462"/>
        <w:gridCol w:w="109"/>
        <w:gridCol w:w="211"/>
        <w:gridCol w:w="616"/>
        <w:gridCol w:w="271"/>
        <w:gridCol w:w="109"/>
        <w:gridCol w:w="109"/>
        <w:gridCol w:w="109"/>
        <w:gridCol w:w="211"/>
        <w:gridCol w:w="616"/>
        <w:gridCol w:w="320"/>
      </w:tblGrid>
      <w:tr>
        <w:trPr/>
        <w:tc>
          <w:tcPr>
            <w:tcW w:w="108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Stock Purchase Plan</w:t>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2681" w:type="dxa"/>
            <w:gridSpan w:val="10"/>
            <w:tcBorders/>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risk-free interest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expected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(in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Option activity under our 2010 Stock Plan and 2024 Inducement Plan was as follows:</w:t>
      </w:r>
    </w:p>
    <w:tbl>
      <w:tblPr>
        <w:tblW w:w="5469" w:type="dxa"/>
        <w:jc w:val="left"/>
        <w:tblInd w:w="0" w:type="dxa"/>
        <w:tblLayout w:type="fixed"/>
        <w:tblCellMar>
          <w:top w:w="28" w:type="dxa"/>
          <w:left w:w="28" w:type="dxa"/>
          <w:bottom w:w="28" w:type="dxa"/>
          <w:right w:w="28" w:type="dxa"/>
        </w:tblCellMar>
      </w:tblPr>
      <w:tblGrid>
        <w:gridCol w:w="939"/>
        <w:gridCol w:w="825"/>
        <w:gridCol w:w="830"/>
        <w:gridCol w:w="348"/>
        <w:gridCol w:w="348"/>
        <w:gridCol w:w="353"/>
        <w:gridCol w:w="109"/>
        <w:gridCol w:w="109"/>
        <w:gridCol w:w="109"/>
        <w:gridCol w:w="291"/>
        <w:gridCol w:w="996"/>
        <w:gridCol w:w="21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Outstanding Options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0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 and PSU award activity under the 2010 Stock Plan and 2024 Inducement Plan was as follows:</w:t>
      </w:r>
    </w:p>
    <w:tbl>
      <w:tblPr>
        <w:tblW w:w="5306" w:type="dxa"/>
        <w:jc w:val="left"/>
        <w:tblInd w:w="0" w:type="dxa"/>
        <w:tblLayout w:type="fixed"/>
        <w:tblCellMar>
          <w:top w:w="28" w:type="dxa"/>
          <w:left w:w="28" w:type="dxa"/>
          <w:bottom w:w="28" w:type="dxa"/>
          <w:right w:w="28" w:type="dxa"/>
        </w:tblCellMar>
      </w:tblPr>
      <w:tblGrid>
        <w:gridCol w:w="939"/>
        <w:gridCol w:w="825"/>
        <w:gridCol w:w="830"/>
        <w:gridCol w:w="309"/>
        <w:gridCol w:w="309"/>
        <w:gridCol w:w="313"/>
        <w:gridCol w:w="109"/>
        <w:gridCol w:w="109"/>
        <w:gridCol w:w="109"/>
        <w:gridCol w:w="282"/>
        <w:gridCol w:w="966"/>
        <w:gridCol w:w="206"/>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Outstanding Awards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granted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released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released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cancelled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cancelled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grant PSUs with performance and/or service-based milestones with graded and/or cliff vesting over three to six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months ended March 31, 2026 and March 31, 2025, we recorded $7.0 million and $3.1 million, respectively, of stock compensation expense for PSUs on our condensed consolidated statements of operations.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shares available for grant under the 2010 Stock Plan and 2024 Inducement Plan. Each RSU and PSU grant reduces the available share pool by one share.</w:t>
      </w:r>
    </w:p>
    <w:tbl>
      <w:tblPr>
        <w:tblW w:w="7678" w:type="dxa"/>
        <w:jc w:val="left"/>
        <w:tblInd w:w="0" w:type="dxa"/>
        <w:tblLayout w:type="fixed"/>
        <w:tblCellMar>
          <w:top w:w="28" w:type="dxa"/>
          <w:left w:w="28" w:type="dxa"/>
          <w:bottom w:w="28" w:type="dxa"/>
          <w:right w:w="28" w:type="dxa"/>
        </w:tblCellMar>
      </w:tblPr>
      <w:tblGrid>
        <w:gridCol w:w="2286"/>
        <w:gridCol w:w="2008"/>
        <w:gridCol w:w="2020"/>
        <w:gridCol w:w="399"/>
        <w:gridCol w:w="399"/>
        <w:gridCol w:w="566"/>
      </w:tblGrid>
      <w:tr>
        <w:trPr/>
        <w:tc>
          <w:tcPr>
            <w:tcW w:w="2286"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Available</w:t>
              <w:br/>
              <w:t>for Grant</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3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9,059,040</w:t>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RSUs and PSUs granted and issuance of shares for services rendered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(608,460)</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RSUs and PSUs cancelled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339,000</w:t>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3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8,789,580</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estimate an annualized forfeiture rate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compensation cost of options granted but not yet vested, as of March 31, 2026, was $24.3 million, which is expected to be recognized over the weighted average period of approximately 1.2 years. Total compensation cost of RSUs granted but not yet vested, as of March 31, 2026, was $221.6 million, which is expected to be recognized over the weighted average period of approximately 1.4 years. Total compensation cost of PSUs granted but not yet vested, as of March 31, 2026, was $32.5 million, which is expected to be recognized over the weighted average period of 2.1 years, should the underlying performance conditions be deemed probable of achievement.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recorded the following provisions for income taxes and effective tax rates as compared to our income before provision for income taxes (in thousands):</w:t>
      </w:r>
    </w:p>
    <w:tbl>
      <w:tblPr>
        <w:tblW w:w="6819" w:type="dxa"/>
        <w:jc w:val="left"/>
        <w:tblInd w:w="0" w:type="dxa"/>
        <w:tblLayout w:type="fixed"/>
        <w:tblCellMar>
          <w:top w:w="28" w:type="dxa"/>
          <w:left w:w="28" w:type="dxa"/>
          <w:bottom w:w="28" w:type="dxa"/>
          <w:right w:w="28" w:type="dxa"/>
        </w:tblCellMar>
      </w:tblPr>
      <w:tblGrid>
        <w:gridCol w:w="1259"/>
        <w:gridCol w:w="1108"/>
        <w:gridCol w:w="1112"/>
        <w:gridCol w:w="109"/>
        <w:gridCol w:w="109"/>
        <w:gridCol w:w="128"/>
        <w:gridCol w:w="128"/>
        <w:gridCol w:w="248"/>
        <w:gridCol w:w="972"/>
        <w:gridCol w:w="128"/>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March 31, 2026 is lower than the U.S. statutory rate primarily due to favorable changes in unrecognized tax benefits, tax benefits associated with the generation of tax credits and favorable foreign tax effects. This is partially offset by a net increase in valuation allowances against certain U.S. federal and state deferred tax assets. Our effective tax rate for the three months ended March 31, 2025 was higher than the U.S. statutory rate primarily due to an increase in valuation allowances against certain U.S. federal and state deferred tax assets and unfavorable foreign tax effects. This was partially offset by tax benefits associated with the generation of tax credits and favorable effects of cross-border tax laws.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was favorable as compared to the three months ended March 31, 2025, primarily due to the recognition of previously unrecognized tax benefits and reversals of certain U.S. and foreign valuation allowances in the period ended March 31, 2026. In addition, the effective tax rate for the three months ended March 31, 2026 reflects the favorable impacts of the One Big Beautiful Bill Act (“OBBBA”) discussed below.</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accrue interest and penalties related to unrecognized tax benefits as a component of the provision for income taxes.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2021. We were under U.S. federal audit for the 2021 tax year; during the first quarter of 2026, the federal audit for tax year 2021 was completed with no material matters identified.</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Pillar 2 guidelines, supported by over 130 countries worldwide, establish a 15% global minimum tax on adjusted financial results. Pillar 2 legislation has been enacted in multiple jurisdictions in which we operate and became effective beginning in 2024. We have evaluated the impact of Pillar 2 on our business, and determined there are no material impacts on our effective tax rate at this time. We will continue to monitor additional enactments and guidance as they occur and assess any future impacts in the period they become effective.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U.S. enacted the OBBBA, which modified certain provisions of the Tax Cuts and Jobs Act of 2017, including those related to the expensing of domestic research and development costs, the deduction for foreign-derived intangible income, and the global intangible low-taxed income regime. The OBBBA also introduced multiple elections related to the treatment of domestic research and development expenditures. As a result of these changes, we expect to fully deduct certain expenditures for which deferred tax assets had previously been recorded and, accordingly, no longer maintain a valuation allowance against such amounts. The absence of these deferred tax assets and related valuation allowance continues to have a favorable impact on our effective tax rate for the current period. We will continue to evaluate the application of the OBBBA’s various elections in connection with the preparation of our income tax return.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Net Income Per Share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per share was calculated as follows for the periods indicated below:</w:t>
      </w:r>
    </w:p>
    <w:tbl>
      <w:tblPr>
        <w:tblW w:w="9234" w:type="dxa"/>
        <w:jc w:val="left"/>
        <w:tblInd w:w="0" w:type="dxa"/>
        <w:tblLayout w:type="fixed"/>
        <w:tblCellMar>
          <w:top w:w="28" w:type="dxa"/>
          <w:left w:w="28" w:type="dxa"/>
          <w:bottom w:w="28" w:type="dxa"/>
          <w:right w:w="28" w:type="dxa"/>
        </w:tblCellMar>
      </w:tblPr>
      <w:tblGrid>
        <w:gridCol w:w="2133"/>
        <w:gridCol w:w="1873"/>
        <w:gridCol w:w="1888"/>
        <w:gridCol w:w="109"/>
        <w:gridCol w:w="109"/>
        <w:gridCol w:w="128"/>
        <w:gridCol w:w="128"/>
        <w:gridCol w:w="248"/>
        <w:gridCol w:w="972"/>
        <w:gridCol w:w="128"/>
        <w:gridCol w:w="109"/>
        <w:gridCol w:w="109"/>
        <w:gridCol w:w="109"/>
        <w:gridCol w:w="211"/>
        <w:gridCol w:w="826"/>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193,712</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193,712</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 and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used to compute diluted net income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198,197</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potential common shares that were excluded from the diluted net income per share computation are as follows:</w:t>
      </w:r>
    </w:p>
    <w:tbl>
      <w:tblPr>
        <w:tblW w:w="6438" w:type="dxa"/>
        <w:jc w:val="left"/>
        <w:tblInd w:w="0" w:type="dxa"/>
        <w:tblLayout w:type="fixed"/>
        <w:tblCellMar>
          <w:top w:w="28" w:type="dxa"/>
          <w:left w:w="28" w:type="dxa"/>
          <w:bottom w:w="28" w:type="dxa"/>
          <w:right w:w="28" w:type="dxa"/>
        </w:tblCellMar>
      </w:tblPr>
      <w:tblGrid>
        <w:gridCol w:w="1163"/>
        <w:gridCol w:w="1020"/>
        <w:gridCol w:w="1026"/>
        <w:gridCol w:w="109"/>
        <w:gridCol w:w="109"/>
        <w:gridCol w:w="320"/>
        <w:gridCol w:w="320"/>
        <w:gridCol w:w="320"/>
        <w:gridCol w:w="320"/>
        <w:gridCol w:w="323"/>
        <w:gridCol w:w="109"/>
        <w:gridCol w:w="109"/>
        <w:gridCol w:w="109"/>
        <w:gridCol w:w="315"/>
        <w:gridCol w:w="315"/>
        <w:gridCol w:w="451"/>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08" w:type="dxa"/>
            <w:gridSpan w:val="6"/>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11,075,503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Employee Benefit Plans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months ended March 31, 2026 and March 31, 2025 was $6.4 million and $5.8 million, respectively.</w:t>
      </w:r>
    </w:p>
    <w:p>
      <w:pPr>
        <w:pStyle w:val="TextBody"/>
        <w:bidi w:val="0"/>
        <w:spacing w:lineRule="auto" w:line="288" w:before="240" w:after="283"/>
        <w:jc w:val="both"/>
        <w:rPr/>
      </w:pPr>
      <w:r>
        <w:rPr>
          <w:rFonts w:ascii="Times New Roman;serif" w:hAnsi="Times New Roman;serif"/>
          <w:b w:val="false"/>
          <w:i/>
          <w:color w:val="000000"/>
          <w:sz w:val="20"/>
        </w:rPr>
        <w:t>Defined Benefit Pension Plans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periodic benefit cost was as follows (in thousands):</w:t>
      </w:r>
    </w:p>
    <w:tbl>
      <w:tblPr>
        <w:tblW w:w="5964" w:type="dxa"/>
        <w:jc w:val="left"/>
        <w:tblInd w:w="0" w:type="dxa"/>
        <w:tblLayout w:type="fixed"/>
        <w:tblCellMar>
          <w:top w:w="28" w:type="dxa"/>
          <w:left w:w="28" w:type="dxa"/>
          <w:bottom w:w="28" w:type="dxa"/>
          <w:right w:w="28" w:type="dxa"/>
        </w:tblCellMar>
      </w:tblPr>
      <w:tblGrid>
        <w:gridCol w:w="1025"/>
        <w:gridCol w:w="901"/>
        <w:gridCol w:w="909"/>
        <w:gridCol w:w="109"/>
        <w:gridCol w:w="109"/>
        <w:gridCol w:w="151"/>
        <w:gridCol w:w="151"/>
        <w:gridCol w:w="293"/>
        <w:gridCol w:w="857"/>
        <w:gridCol w:w="151"/>
        <w:gridCol w:w="109"/>
        <w:gridCol w:w="109"/>
        <w:gridCol w:w="109"/>
        <w:gridCol w:w="211"/>
        <w:gridCol w:w="61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benefit cost other than the service cost component are included in Other, net on the condensed consolidated statements of operations. We expect to contribute a total of $12.6 million to the pension plans in 2026 inclusive of the amounts contributed to the plan during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March 31, 2026 and December 31, 2025, we had no outstanding borrowings or letters of credit outstanding and were in compliance with all covenants under this facility.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become involved in lawsuits, proceedings, and other disputes, including commercial, intellectual property, regulatory, employment, and other matters. The outcome of these disputes, regardless of the merits, is inherently uncertain and it is possible that an unfavorable resolution of these matters could adversely affect us, our results of operations, financial condition or cash flows. We record a reserve for these matters when it is both probable that a liability has been incurred and the amount of the loss can be reasonably estimated.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brought a lawsuit against the U.S. Centers for Medicare and Medicaid Services (“CMS”) alleging that a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March 31, 2026, we have accrued approximately $245.9 million within accrued and other current liabilities on the condensed consolidated balance sheet, relating to the incremental rebates that would be owed were OPZELURA considered a line extension of JAKAFI. The impact on OPZELURA gross to net deductions for the quarter ending March 31, 2026 is approximately 8.4%. If OPZELURA is not treated as a line extension of JAKAFI, this would result in a reversal of our accrual and a lower future gross to net deduction for OPZELURA.</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have various patent disputes and litigation initiated by us related to potential generic or other competition for our products, as described under Part II, Item 1A. “Risk Factors—Risks Relating to Commercialization of Our Products— Competition for our products could harm our business and result in a decrease in our revenue”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Segment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for our single operating segment are the same as those described in the summary of significant accounting policies in our Annual Report on Form 10-K for the year ended December 31, 2025. Our single operating segment generates net sales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segment, the chief operating decision maker uses net income or loss, that also is reported on the condensed consolidated statements of operations as consolidated net income, to allocate resources (including employees, property, and financial resources), predominantly during the annual budget and forecasting process. The chief operating decision maker also uses consolidated net income or loss,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condensed consolidated balance sheet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for our segment was as follows (in thousands):</w:t>
      </w:r>
    </w:p>
    <w:tbl>
      <w:tblPr>
        <w:tblW w:w="10104" w:type="dxa"/>
        <w:jc w:val="left"/>
        <w:tblInd w:w="0" w:type="dxa"/>
        <w:tblLayout w:type="fixed"/>
        <w:tblCellMar>
          <w:top w:w="28" w:type="dxa"/>
          <w:left w:w="28" w:type="dxa"/>
          <w:bottom w:w="28" w:type="dxa"/>
          <w:right w:w="28" w:type="dxa"/>
        </w:tblCellMar>
      </w:tblPr>
      <w:tblGrid>
        <w:gridCol w:w="2446"/>
        <w:gridCol w:w="2140"/>
        <w:gridCol w:w="2179"/>
        <w:gridCol w:w="109"/>
        <w:gridCol w:w="109"/>
        <w:gridCol w:w="115"/>
        <w:gridCol w:w="115"/>
        <w:gridCol w:w="223"/>
        <w:gridCol w:w="1035"/>
        <w:gridCol w:w="115"/>
        <w:gridCol w:w="109"/>
        <w:gridCol w:w="109"/>
        <w:gridCol w:w="109"/>
        <w:gridCol w:w="211"/>
        <w:gridCol w:w="82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gridSpan w:val="11"/>
            <w:tcBorders/>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definite-lived intangible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 - internal</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 - external</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research and development</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related disposal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acquisition-related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3"/>
        </w:rPr>
        <w:t>1.</w:t>
      </w:r>
      <w:r>
        <w:rPr>
          <w:rFonts w:ascii="Times New Roman;serif" w:hAnsi="Times New Roman;serif"/>
          <w:b w:val="false"/>
          <w:color w:val="000000"/>
          <w:sz w:val="20"/>
        </w:rPr>
        <w:t>Research and development - internal is comprised of internally generated costs such as salaries, travel, regulatory costs, lab costs, contracting, etc.</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rFonts w:ascii="Times New Roman;serif" w:hAnsi="Times New Roman;serif"/>
          <w:b w:val="false"/>
          <w:color w:val="000000"/>
          <w:sz w:val="20"/>
        </w:rPr>
        <w:t>Research and development - external is comprised of specific program spend with external vendors (i.e. contract manufacturing organizations, contract research organizations and lab vendors for clinical, technical operations and toxicology services).</w:t>
      </w:r>
    </w:p>
    <w:p>
      <w:pPr>
        <w:pStyle w:val="TextBody"/>
        <w:bidi w:val="0"/>
        <w:spacing w:lineRule="auto" w:line="288" w:before="0" w:after="0"/>
        <w:ind w:left="0" w:right="0" w:hanging="180"/>
        <w:jc w:val="both"/>
        <w:rPr/>
      </w:pPr>
      <w:r>
        <w:rPr>
          <w:rFonts w:ascii="Times New Roman;serif" w:hAnsi="Times New Roman;serif"/>
          <w:b w:val="false"/>
          <w:color w:val="000000"/>
          <w:sz w:val="13"/>
        </w:rPr>
        <w:t>3.</w:t>
      </w:r>
      <w:r>
        <w:rPr>
          <w:rFonts w:ascii="Times New Roman;serif" w:hAnsi="Times New Roman;serif"/>
          <w:b w:val="false"/>
          <w:color w:val="000000"/>
          <w:sz w:val="20"/>
        </w:rPr>
        <w:t>Other research and development is comprised of all other costs including certain one-time costs resulting from the acquisition of IPR&amp;D assets and one-time development milestone expenses.</w:t>
      </w:r>
    </w:p>
    <w:p>
      <w:pPr>
        <w:pStyle w:val="TextBody"/>
        <w:bidi w:val="0"/>
        <w:spacing w:lineRule="auto" w:line="288" w:before="0" w:after="0"/>
        <w:ind w:left="0" w:right="0" w:hanging="180"/>
        <w:jc w:val="both"/>
        <w:rPr/>
      </w:pPr>
      <w:r>
        <w:rPr>
          <w:rFonts w:ascii="Times New Roman;serif" w:hAnsi="Times New Roman;serif"/>
          <w:b w:val="false"/>
          <w:color w:val="000000"/>
          <w:sz w:val="13"/>
        </w:rPr>
        <w:t>4.</w:t>
      </w:r>
      <w:r>
        <w:rPr>
          <w:rFonts w:ascii="Times New Roman;serif" w:hAnsi="Times New Roman;serif"/>
          <w:b w:val="false"/>
          <w:color w:val="000000"/>
          <w:sz w:val="20"/>
        </w:rPr>
        <w:t>Other segment items is comprised of interest income, interest expense, realized and unrealized gain (loss) on equity investments, other, net, and provision for income taxes.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Total Revenues by Geographic Location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revenues by geographic region consisted of the following (in thousands):</w:t>
      </w:r>
    </w:p>
    <w:tbl>
      <w:tblPr>
        <w:tblW w:w="5648" w:type="dxa"/>
        <w:jc w:val="left"/>
        <w:tblInd w:w="0" w:type="dxa"/>
        <w:tblLayout w:type="fixed"/>
        <w:tblCellMar>
          <w:top w:w="28" w:type="dxa"/>
          <w:left w:w="28" w:type="dxa"/>
          <w:bottom w:w="28" w:type="dxa"/>
          <w:right w:w="28" w:type="dxa"/>
        </w:tblCellMar>
      </w:tblPr>
      <w:tblGrid>
        <w:gridCol w:w="495"/>
        <w:gridCol w:w="434"/>
        <w:gridCol w:w="436"/>
        <w:gridCol w:w="109"/>
        <w:gridCol w:w="109"/>
        <w:gridCol w:w="172"/>
        <w:gridCol w:w="172"/>
        <w:gridCol w:w="334"/>
        <w:gridCol w:w="1547"/>
        <w:gridCol w:w="172"/>
        <w:gridCol w:w="109"/>
        <w:gridCol w:w="109"/>
        <w:gridCol w:w="109"/>
        <w:gridCol w:w="211"/>
        <w:gridCol w:w="97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1,171,468 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1,272,676 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 Net by Geographic Location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by geographic location was as follows (in thousands):</w:t>
      </w:r>
    </w:p>
    <w:tbl>
      <w:tblPr>
        <w:tblW w:w="5559" w:type="dxa"/>
        <w:jc w:val="left"/>
        <w:tblInd w:w="0" w:type="dxa"/>
        <w:tblLayout w:type="fixed"/>
        <w:tblCellMar>
          <w:top w:w="28" w:type="dxa"/>
          <w:left w:w="28" w:type="dxa"/>
          <w:bottom w:w="28" w:type="dxa"/>
          <w:right w:w="28" w:type="dxa"/>
        </w:tblCellMar>
      </w:tblPr>
      <w:tblGrid>
        <w:gridCol w:w="1050"/>
        <w:gridCol w:w="920"/>
        <w:gridCol w:w="925"/>
        <w:gridCol w:w="211"/>
        <w:gridCol w:w="826"/>
        <w:gridCol w:w="109"/>
        <w:gridCol w:w="109"/>
        <w:gridCol w:w="109"/>
        <w:gridCol w:w="109"/>
        <w:gridCol w:w="211"/>
        <w:gridCol w:w="826"/>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as of and for the three months ended March 31, 2026 should be read in conjunction with the unaudited condensed consolidated financial statements and notes to those statements included elsewhere in this Quarterly Report on Form 10-Q and our audited consolidated financial statements as of and for the year ended December 31, 2025 included in our Annual Report on Form 10-K for the year ended December 31, 2025 previously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among other things, statements as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discovery, development, formulation, manufacturing and commercialization of our compounds, our drug candidates and JAKAFI</w:t>
      </w:r>
      <w:r>
        <w:rPr>
          <w:rFonts w:ascii="Times New Roman;serif" w:hAnsi="Times New Roman;serif"/>
          <w:b w:val="false"/>
          <w:i/>
          <w:color w:val="000000"/>
          <w:sz w:val="13"/>
        </w:rPr>
        <w:t>®</w:t>
      </w:r>
      <w:r>
        <w:rPr>
          <w:rFonts w:ascii="Times New Roman;serif" w:hAnsi="Times New Roman;serif"/>
          <w:b w:val="false"/>
          <w:i/>
          <w:color w:val="000000"/>
          <w:sz w:val="20"/>
        </w:rPr>
        <w:t>/JAKAVI</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(ruxolitinib), PEMAZYRE</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(pemigatinib), ICLUSIG</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(ponatinib), MONJUVI</w:t>
      </w:r>
      <w:r>
        <w:rPr>
          <w:rFonts w:ascii="Times New Roman;serif" w:hAnsi="Times New Roman;serif"/>
          <w:b w:val="false"/>
          <w:i/>
          <w:color w:val="000000"/>
          <w:sz w:val="13"/>
        </w:rPr>
        <w:t xml:space="preserve">® </w:t>
      </w:r>
      <w:r>
        <w:rPr>
          <w:rFonts w:ascii="Times New Roman;serif" w:hAnsi="Times New Roman;serif"/>
          <w:b w:val="false"/>
          <w:i/>
          <w:color w:val="000000"/>
          <w:sz w:val="20"/>
        </w:rPr>
        <w:t>(tafasitamab-cxix)</w:t>
      </w:r>
      <w:r>
        <w:rPr>
          <w:color w:val="000000"/>
        </w:rPr>
        <w:t xml:space="preserve"> </w:t>
      </w:r>
      <w:r>
        <w:rPr>
          <w:rFonts w:ascii="Times New Roman;serif" w:hAnsi="Times New Roman;serif"/>
          <w:b w:val="false"/>
          <w:i/>
          <w:color w:val="000000"/>
          <w:sz w:val="20"/>
        </w:rPr>
        <w:t>/ MINJUVI</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(tafasitamab), OPZELURA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(ruxolitinib) cream, ZYNYZ</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(retifanlimab-dlwr) and NIKTIMVO</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(axatilimab);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collaboration and strategic relationship strategy, and anticipated benefits and disadvantages of entering into collaboration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licensing, investment and commercialization strategies, including our plans to commercialize our drug products and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regulatory approval process, including obtaining U.S. Food and Drug Administration and other international regulatory authorities’ approval for our products in the United States and abroad;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safety, effectiveness and potential benefits and indications of our drug candidates and other compounds under 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timing, structure and size of our clinical trials; the compounds expected to enter clinical trials; the nature and timing of clinical trial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manage expansion of our drug discovery and development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future required expertise relating to clinical trials, manufacturing, sales and marketing;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obtaining and terminating licenses to products, drug candidates or technology, or other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receipt from or payments pursuant to collaboration or license agreements resulting from milestones or royalties;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plans to develop and commercialize products on our own;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plans for our manufacturing operations, including plans relating to the use of third-party manufacturers;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expected expenses and expenditure levels; expected uses of cash; expected revenues and sources of revenues; expectations with respect to inventory;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expectations with respect to reimbursement for our products; expectations with respect to the impact on our revenues of U.S. or other government proposals regarding drug pricing;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expected impact of recent accounting pronouncements and changes in tax 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expected losses; the fluctuation of losses; the currency translation impact associated with non-U.S. operations and collaboration royalties;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profitability; the adequacy of our capital resources to continue operations; our expectations with respect to the need or ability to raise additional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costs and other financial impacts associated with resolving matters in litigation and governmental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expectations regarding competition;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investments, including anticipated expenditures, losses and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patent prosecution and maintenance efforts.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our ability to discover, develop, formulate, manufacture and successfully commercialize our drug products and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or maintain at anticipated levels, coverage and reimbursement for our products from government health administration authorities, private health insurers and other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changes in drug pricing and reimbursement in the markets in which we or our collaborators and licensees commercialize our drug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establish and maintain effective sales, marketing and distribution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and maintain regulatory approvals to market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achieve a significant market share in order to achieve or maintain profitability;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civil or criminal penalties if we market our products in a manner that violates healthcare fraud and abuse and other applicable laws, rules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unanticipated delays in, or discontinuations of, research and development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that previous preclinical testing or clinical trial results are not necessarily indicative of future clinical trial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conduct of our clinical trials, including geopolitical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changing regulatory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adverse safety findings;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that results of our clinical trials do not support submission of a marketing approval application for our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reliance on third-party manufacturers, collaborators, and clinical research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development of new products and their use by us and our current and potential collaborators;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maintain or obtain adequate product liability and other insurance coverage;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technological advances and competition to develop and commercialize drug products similar to our own, including potential generic competition;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and maintain patent protection and freedom to operate for our discoveries and to continue to be effective in prosecuting, maintaining, defending and enforcing patent claims and other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changing laws on our patent 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developments in, and expenses relating to, litigation and governmental proceedings;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in-license drug candidates or other technology;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unanticipated delays or changes in plans or regulatory agency interactions or other issues relating to our large molecule production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tariffs and trade conflicts and the effects of any economic slowdown;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integrate successfully acquired businesses, development programs or technology;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additional capital when needed;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fluctuations in net cash provided and used by operating, financing and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changes in tax laws and regulations and our ability to analyze the effects of new accounting pronouncements and apply new accounting rules;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sustain profitability;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public health pandemics such as the COVID-19 pandemic, natural disasters, or geopolitical events such as the Russian invasion of Ukraine and conflicts in the Middle East;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risks set forth under “Risk Factors” in Item 1A of this Quarterly Report on Form 10-Q.</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 this report all references to “Incyte,” “we,” “us,” “our” or the “Company” mean Incyte Corporation and our subsidiaries, except where it is made clear that such term means only the parent company.</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Incyte, JAKAFI, MINJUVI, MONJUVI, OPZELURA, PEMAZYRE and ZYNYZ are our registered trademarks and NIKTIMVO and JAKAFI XR are our trademarks. We also refer to trademarks of other corporations and organizations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“Risk Factors” of this report before deciding whether to invest in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depend heavily on our lead product, JAKAFI (ruxolitinib), which is marketed as JAKAVI outside the United States. If we are unable to maintain revenues from JAKAFI/JAKAVI or those revenues decrease, our business may be materially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or our collaborators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comply with applicable laws and regulations, we could lose our approval to market our products or be subject to other governmental enforcement activity, and we could face increased costs, penalties and a loss of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market our products in a manner that violates various laws and regulations, we may be subject to civil or criminal penalties.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Competition for our products could harm our business and result in a decrease in our revenue.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or our collaborators may be unsuccessful in our efforts to discover and develop drug candidates and commercialize drug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or our collaborators are unable to obtain regulatory approval for our drug candidates in the United States or foreign jurisdictions, we or our collaborators will not be permitted to commercialize products resulting from our research.</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Healthcare reform measures could impact the pricing and profitability of pharmaceuticals, and adversely affect the commercial viability of our or our collaborators’ products and drug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establish collaborations to fully exploit our drug discovery and development capabilities or if such collaborations are unsuccessful, our research, development and commercialization efforts may be unsuccessful, which could adversely affect our results of operations, financial condition and future revenue prospects.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enter into additional licensing agreements or if these arrangements are unsuccessful, our business and operations may be adversely affected.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Even if a drug candidate that we develop receives regulatory approval, we may decide not to commercialize it if we determine that commercialization of that product would require more money and time than we are willing to invest.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have limited capacity to conduct preclinical testing and clinical trials, and our resulting dependence on other parties could result in delays in and additional costs for our drug development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reliance on third parties for manufacture of certain of our drug products and drug candidates could result in short supply of the drugs, delays in clinical trials or drug development, increased costs, and withdrawal or denial of a regulatory authority’s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illegal distribution and sale by third parties of counterfeit or unfit versions of our or our collaborators’ products or stolen products could harm our business and reputation.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 most of our drug discovery and development operations are conducted at our headquarters in Wilmington, Delaware, the loss of access to this facility would negatively impact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loss of the services of any of our key employees or our inability to attract and retain additional personnel would affect our ability to expand our drug discovery and development programs and achieve our objectives.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manage our growth effectively, our ability to develop and commercialize products could suffer.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Risks associated with our operations outside of the United States could adversely affect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product liability lawsuits are brought against us, we could face substantial liabilities and may be required to limit commercialization of our products and our results of operations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Because our activities involve the use of hazardous materials, we may be subject to claims relating to improper handling, storage or disposal of these materials that could be time consuming and costly.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incur losses in the future, and we expect to continue to incur significant expenses to discover and develop drugs, which may make it difficult for us to achieve sustained profitability on a quarterly or annual basis in the future.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marketable securities and equity investments are subject to risks that could adversely affect our overall financial position, and changes in tax laws or regulations could adversely affect our results of operations, business and financial condition.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subject to arbitration, litigation and infringement claims, they could be costly and disrupt our drug discovery and development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the effective term of our patents is decreased or if we need to refile some of our patent applications, the value of our patent portfolio and the revenues we derive from it may be decreased.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International patent protection is particularly uncertain and costly, and our involvement in opposition proceedings may result in the expenditure of substantial sums and management resources.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Significant disruptions of information technology systems, breaches of data security or unauthorized disclosures of personal information (including sensitive personal information) could adversely affect our business, and could subject us to liability or reputational damage.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Increasing use of social media could give rise to liability, breaches of data security, or reputational damage.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Increasing use of artificial intelligence-based software and tools creates new risks and challenges that could adversely affect our business or cause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headquarters in Tokyo and our Canadian headquarters in Montreal.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in three therapeutic areas that are defined by the indications of our approved medicines and the diseases for which our clinical candidates are being developed. These therapeutic areas are: Hematology, Oncology, and Inflammation and Autoimmunity (“IAI”).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Hematology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hematology franchise includes four approved products, JAKAFI (ruxolitinib), ICLUSIG (ponatinib), MONJUVI (tafasitamab-cxix)/MINJUVI (tafasitamab) and NIKTIMVO (axatilimab-csfr), as well as multiple clinical development programs.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JAKAFI (ruxolitinib)</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JAKAFI (ruxolitinib)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w:t>
      </w:r>
      <w:r>
        <w:rPr>
          <w:rFonts w:ascii="Times New Roman;serif" w:hAnsi="Times New Roman;serif"/>
          <w:b w:val="false"/>
          <w:color w:val="000000"/>
          <w:sz w:val="20"/>
          <w:shd w:fill="FFFFFF" w:val="clear"/>
        </w:rPr>
        <w:t>for the treatment of steroid-refractory acute graft-versus-host disease (</w:t>
      </w:r>
      <w:r>
        <w:rPr>
          <w:color w:val="000000"/>
        </w:rPr>
        <w:t>“</w:t>
      </w:r>
      <w:r>
        <w:rPr>
          <w:rFonts w:ascii="Times New Roman;serif" w:hAnsi="Times New Roman;serif"/>
          <w:b w:val="false"/>
          <w:color w:val="000000"/>
          <w:sz w:val="20"/>
          <w:shd w:fill="FFFFFF" w:val="clear"/>
        </w:rPr>
        <w:t>GVHD</w:t>
      </w:r>
      <w:r>
        <w:rPr>
          <w:color w:val="000000"/>
        </w:rPr>
        <w:t>”</w:t>
      </w:r>
      <w:r>
        <w:rPr>
          <w:rFonts w:ascii="Times New Roman;serif" w:hAnsi="Times New Roman;serif"/>
          <w:b w:val="false"/>
          <w:color w:val="000000"/>
          <w:sz w:val="20"/>
          <w:shd w:fill="FFFFFF" w:val="clear"/>
        </w:rPr>
        <w:t>) in adult and pediatric patients 12 years and older; and in September 2021 for the treatment of chronic GVHD after failure of one or two lines of systemic therapy in adult and pediatric patients 12 years and older</w:t>
      </w:r>
      <w:r>
        <w:rPr>
          <w:rFonts w:ascii="Times New Roman;serif" w:hAnsi="Times New Roman;serif"/>
          <w:b w:val="false"/>
          <w:color w:val="000000"/>
          <w:sz w:val="20"/>
        </w:rPr>
        <w:t xml:space="preserve">. MF and PV are both myeloproliferative neoplasms (“MPNs”), a group of rare blood cancers, and GVHD is an adverse immune response to an allogeneic hematopoietic stem cell transplant (“HSCT”).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FDA has granted JAKAFI orphan drug status for MF, PV and GVHD. In addition, ruxolitinib phosphate qualifies for the Small Biotech Exception from the Centers for Medicare and Medicaid Services (“CMS”) under the Inflation Reduction Act.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Myelofibrosis.</w:t>
      </w:r>
      <w:r>
        <w:rPr>
          <w:color w:val="000000"/>
        </w:rPr>
        <w:t xml:space="preserve"> </w:t>
      </w:r>
      <w:r>
        <w:rPr>
          <w:rFonts w:ascii="Times New Roman;serif" w:hAnsi="Times New Roman;serif"/>
          <w:b w:val="false"/>
          <w:color w:val="000000"/>
          <w:sz w:val="20"/>
        </w:rPr>
        <w:t>MF, a rare, life-threatening condition, is considered the most serious of the MPNs and can occur either as primary MF or as secondary MF in patients who previously had PV or essential thrombocythemia (“ET”). In November 2011, the FDA approved JAKAFI for the treatment of adults with intermediate or high-risk MF, including primary MF, post-PV MF and post-ET MF. There were no FDA approved therapies for MF until the approval of JAKAFI.</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Polycythemia Vera.</w:t>
      </w:r>
      <w:r>
        <w:rPr>
          <w:color w:val="000000"/>
        </w:rPr>
        <w:t xml:space="preserve"> </w:t>
      </w:r>
      <w:r>
        <w:rPr>
          <w:rFonts w:ascii="Times New Roman;serif" w:hAnsi="Times New Roman;serif"/>
          <w:b w:val="false"/>
          <w:color w:val="000000"/>
          <w:sz w:val="20"/>
        </w:rPr>
        <w:t xml:space="preserve">PV is an MPN typically characterized by elevated hematocrit, the volume percentage of red blood cells in whole blood, which can lead to a thickening of the blood and an increased risk of blood clots, as well as an elevated white blood cell and platelet count. In December 2014, the FDA approved JAKAFI for the treatment of patients with PV who have had an inadequate response to or are intolerant of hydroxyurea.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Graft-versus-host disease.</w:t>
      </w:r>
      <w:r>
        <w:rPr>
          <w:color w:val="000000"/>
        </w:rPr>
        <w:t xml:space="preserve"> </w:t>
      </w:r>
      <w:r>
        <w:rPr>
          <w:rFonts w:ascii="Times New Roman;serif" w:hAnsi="Times New Roman;serif"/>
          <w:b w:val="false"/>
          <w:color w:val="000000"/>
          <w:sz w:val="20"/>
        </w:rPr>
        <w:t>GVHD is a condition that can occur after an allogeneic HSCT (the transfer of genetically dissimilar stem cells or tissue) where the donated bone marrow or peripheral blood stem cells view the recipient’s body as foreign and attack various tissues. In May 2019, the FDA approved JAKAFI for the treatment of steroid-refractory acute GVHD in adult and pediatric patients 12 years and older. In September 2021, the FDA approved JAKAFI for the treatment of chronic GVHD after failure of one or two lines of systemic therapy in adult and pediatric patients 12 years and older.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collaboration agreement with Novartis Pharmaceutical International Ltd. (“Novartis”), Novartis received exclusive development and commercialization rights to ruxolitinib outside of the United States for all hematologic and oncologic indications and sells ruxolitinib outside of the United States under the name JAKAVI. We are eligible to receive development and sales milestones as well as royalties from product sales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retained all development and commercialization rights to JAKAFI in the United States. We market JAKAFI in the United States through our own specialty sales force and commercial team. JAKAFI is distributed primarily through a network of specialty pharmacy providers and wholesalers that allow for efficient delivery of the medication by mail directly to patients or direct delivery to the patient’s pharmacy.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patents that cover the composition of matter and use of ruxolitinib and its salt. These patents, including applicable extensions, currently expire in mid and late 2028, respectively.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ICLUSIG (ponatinib)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2016, we acquired the European operations of ARIAD Pharmaceuticals, Inc. and obtained an exclusive license to develop and commercialize ICLUSIG (ponatinib), a kinase inhibitor, in Europe and other select countries. The primary target for ICLUSIG is BCR-ABL, an abnormal tyrosine kinase that is expressed in chronic myeloid leukemia (“CML”) and Philadelphia-chromosome positive acute lymphoblastic leukemia (“Ph+ ALL”).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In the European Union, ICLUSIG also is approved for the treatment of adult patients with Ph+ ALL who are resistant to dasatinib; who are intolerant to dasatinib and for whom subsequent treatment with imatinib is not clinically appropriate; or who have the T315I mutation.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MONJUVI (tafasitamab-cxix) / MINJUVI (tafasitamab)</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2020, we and MorphoSys AG (“MorphoSys”) entered into a collaboration and license agreement to further develop and commercialize MorphoSys’ proprietary anti-CD19 antibody tafasitamab (formerly MOR208) globally. In February 2024, we entered into a purchase agreement with MorphoSys relating to tafasitamab. As a result, we now hold exclusive global rights for tafasitamab, and the collaboration and license agreement was terminated.</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Diffuse Large B-cell Lymphoma. </w:t>
      </w:r>
      <w:r>
        <w:rPr>
          <w:rFonts w:ascii="Times New Roman;serif" w:hAnsi="Times New Roman;serif"/>
          <w:b w:val="false"/>
          <w:color w:val="000000"/>
          <w:sz w:val="20"/>
        </w:rPr>
        <w:t>In July 2020, the FDA approved MONJUVI (tafasitamab-cxix), in combination with lenalidomide, for the treatment of adult patients with relapsed or refractory (“r/r”) diffuse large B-cell lymphoma (“DLBCL”) not otherwise specified, including DLBCL arising from low grade lymphoma, and who are not eligible for autologous stem cell transplant (“ASCT”). In August 2021, the European Commission granted conditional marketing authorization for MINJUVI (tafasitamab) in combination with lenalidomide, followed by MINJUVI monotherapy, for the treatment of adult patients with r/r DLBCL who are not eligible for ASCT.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Follicular Lymphoma. </w:t>
      </w:r>
      <w:r>
        <w:rPr>
          <w:rFonts w:ascii="Times New Roman;serif" w:hAnsi="Times New Roman;serif"/>
          <w:b w:val="false"/>
          <w:color w:val="000000"/>
          <w:sz w:val="20"/>
        </w:rPr>
        <w:t>In June 2025, MONJUVI (tafasitamab-cxix) was approved by the FDA for the treatment of adult patients with r/r follicular lymphoma (“FL”) in combination with rituximab and lenalidomide. In December 2025, MINJUVI (tafasitamab) was approved by the European Commission in combination with lenalidomide and rituximab for the treatment of adult patients with r/r FL (Grade 1-3a) after at least one line of systemic therapy. Also in December 2025, MINJUVI (tafasitamab) was approved by Japan’s Ministry of Health, Labour and Welfare (“MHLW”) in combination with rituximab and lenalidomide for adult patients with r/r FL (2L+ FL).</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NIKTIMVO (axatilimab-csfr)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an exclusive worldwide collaboration and license agreement with Syndax Pharmaceuticals, Inc. (“Syndax”) to develop and commercialize axatilimab, Syndax’s anti-CSF-1R monoclonal antibody.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2024, the FDA approved NIKTIMVO (axatilimab-csfr) for the treatment of chronic GVHD after failure of at least two prior lines of systemic therapy in adult and pediatric patients. NIKTIMVO is the first approved anti-CSF-1R antibody targeting the drivers of inflammation and fibrosis seen in chronic GVHD. The U.S. commercial launch of NIKTIMVO commenced in January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Hematology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JAKAFI XR</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are developing a once-a-day formulation of ruxolitinib for potential use as monotherapy and in combinations. Bioavailability and bioequivalence data were published for ruxolitinib’s once-daily (“QD”) extended release (“XR”) formulation at the European Hematology Association Virtual Congress in June 2021. In March 2023, the FDA issued a complete response letter (“CRL”) for ruxolitinib XR tablets for QD use in the treatment of certain types of MF, PV and GVHD. In December 2023, we received FDA feedback and agreed on the requirements to address the CRL. In early 2025, we announced that a bioequivalence study of ruxolitinib XR was completed and the bioequivalence criteria were met. A response to the CRL has been submitted and we anticipate a regulatory decision and potential commercial launch in mid-2026</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INCA033989 (mutCALR)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INCA033989 is an Incyte-discovered, investigational, novel, anti-mutant calreticulin (“CALR”)-targeted monoclonal antibody in clinical development for the treatment of adults with mutCALR-positive ET and MF.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Essential Thrombocythemia.</w:t>
      </w:r>
      <w:r>
        <w:rPr>
          <w:color w:val="000000"/>
        </w:rPr>
        <w:t xml:space="preserve"> </w:t>
      </w:r>
      <w:r>
        <w:rPr>
          <w:rFonts w:ascii="Times New Roman;serif" w:hAnsi="Times New Roman;serif"/>
          <w:b w:val="false"/>
          <w:color w:val="000000"/>
          <w:sz w:val="20"/>
        </w:rPr>
        <w:t xml:space="preserve">INCA033989 is being evaluated for the treatment of adults with mutCALR-positive ET who are resistant or intolerant to at least one cytoreductive therapy. In 2025, we presented data from our Phase 1 study demonstrating a rapid and durable normalization of platelet counts and a reduction in peripheral blood mutCALR variant allele frequency (“VAF”) correlating with hematologic response with INCA033989 treatment. INCA033989 was well tolerated with no dose limiting toxicities reported. In December 2025, </w:t>
      </w:r>
      <w:r>
        <w:rPr>
          <w:rFonts w:ascii="Times New Roman;serif" w:hAnsi="Times New Roman;serif"/>
          <w:b w:val="false"/>
          <w:color w:val="000000"/>
          <w:sz w:val="20"/>
          <w:shd w:fill="FFFFFF" w:val="clear"/>
        </w:rPr>
        <w:t>we announced that the FDA granted Breakthrough Therapy designation to INCA033989 for the treatment of patients with ET harboring a Type 1 CALR mutation who are resistant or intolerant to at least one cytoreductive therapy. Based on positive feedback received from the FDA during the first quarter of 2026, a Phase 3 registrational study evaluating INCA033989 in Type 1 and non-Type 1 mutCALR positive patients with ET is on track to initiate in mid 2026.</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 xml:space="preserve">Myelofibrosis. </w:t>
      </w:r>
      <w:r>
        <w:rPr>
          <w:rFonts w:ascii="Times New Roman;serif" w:hAnsi="Times New Roman;serif"/>
          <w:b w:val="false"/>
          <w:color w:val="000000"/>
          <w:sz w:val="20"/>
        </w:rPr>
        <w:t xml:space="preserve">INCA033989 is being evaluated for the treatment of adults with mutCALR-positive MF. </w:t>
      </w:r>
      <w:r>
        <w:rPr>
          <w:rFonts w:ascii="Times New Roman;serif" w:hAnsi="Times New Roman;serif"/>
          <w:b w:val="false"/>
          <w:color w:val="000000"/>
          <w:sz w:val="20"/>
          <w:shd w:fill="FFFFFF" w:val="clear"/>
        </w:rPr>
        <w:t xml:space="preserve">In December 2025, at the 2025 American Society of Hematology Annual Meeting, we presented data from our Phase 1 studies evaluating INCA033989 as a monotherapy and in combination with ruxolitinib in patients with mutCALR positive MF. The data demonstrated rapid and robust reductions in spleen volume and symptoms, and improvements in anemia with INCA033989 treatment, and a favorable safety profile with no dose limiting toxicities reported. Additionally, exploratory analyses from clinical studies demonstrate the potential for disease modifying activity by directly inhibiting and eliminating oncogenic mutCALR cells, while sparing healthy cells and restoring normal blood cell production in MF patients with a CALR mutation. The planned initiation of a Phase 3 trial evaluating INCA033989 in MF is anticipated in the second half of 2026.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October 2025, we announced an agreement with Enable Injections, Inc. (“Enable”) to develop for use with specific assets in our portfolio, including INCA033989, Enable’s enFuse on-body delivery system. Under the terms of the agreement, we obtained a worldwide, exclusive license to use the enFuse technology with INCA033989 in ET and MF, with the potential to expand to additional assets and indications</w:t>
      </w:r>
      <w:r>
        <w:rPr>
          <w:rFonts w:ascii="Times New Roman;serif" w:hAnsi="Times New Roman;serif"/>
          <w:b w:val="false"/>
          <w:color w:val="000000"/>
          <w:sz w:val="20"/>
          <w:shd w:fill="FFFFFF" w:val="clear"/>
        </w:rPr>
        <w:t>. In the first quarter of 2026, a</w:t>
      </w:r>
      <w:r>
        <w:rPr>
          <w:color w:val="000000"/>
        </w:rPr>
        <w:t xml:space="preserve"> </w:t>
      </w:r>
      <w:r>
        <w:rPr>
          <w:rFonts w:ascii="Times New Roman;serif" w:hAnsi="Times New Roman;serif"/>
          <w:b w:val="false"/>
          <w:color w:val="000000"/>
          <w:sz w:val="20"/>
        </w:rPr>
        <w:t>Phase 1 study evaluating the pharmacokinetics, safety and tolerability of INCA033989 as a subcutaneous (“SC”) administration in healthy adult participants was initiated and completed. A Phase 1 study evaluating INCA033989 as a SC administration in mutCALR positive patients is anticipated to initiate mid-year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INCA035784 (mutCALRxCD3 bispecific)</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INCA035784 is a novel, equipotent T-cell redirecting mutCALR x CD3 bispecific antibody being evaluated for patients with mutCALR positive MPNs. Phase 1 data evaluating INCA035784 in MF and ET patients with a CALR mutation are anticipated in 2027.</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INCB160058 (JAK2V617Fi)</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INCB160058 is an Incyte-discovered, novel JAK2V617F mutant-specific inhibitor being evaluated in patients with MPNs harboring a JAK2V617F mutation. In the first quarter of 2026, we initiated dosing of the amorphous solid dispersion (“ASD”) formulation of INCB160058 in the Phase 1 trial. Results from the Phase 1 trial evaluating INCB160058 in MPN patients with a JAK2V617F mutation are anticipated in the second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Axatilimab-csfr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Axatilimab is a colony stimulating factor-1 receptor (CSF-1R)-blocking antibody targeting monocytes and macrophages, reducing inflammation and fibrosis associated with chronic GVHD. A Phase 2 trial evaluating axatilimab in combination with ruxolitinib in patients with newly diagnosed chronic GVHD is ongoing, with results anticipated in the second half of 2026. A Phase 3 trial evaluating axatilimab in combination with corticosteroids as an initial treatment in patients with chronic GVHD is ongoing, with results anticipated in early 2028.</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Tafasitamab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Tafasitamab is a humanized Fc-modified cytolytic CD19 targeting monoclonal antibody that is being evaluated in combination with lenalidomide added to rituximab plus chemotherapy as a first-line therapy for patients with DLBCL.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we announced positive topline results from the pivotal Phase 3 frontMIND trial evaluating tafasitamab and lenalidomide in combination with R-CHOP as a first-line therapy for patients with DLBCL. The trial met the primary endpoint of progression free survival by investigator assessment and also met the key secondary endpoint of event-free survival by investigator assessment. No new safety signals were observed. Additional frontMIND data will be presented at an upcoming scientific meeting. Based on these positive results, we expect to file a supplemental Biologics License Application for tafasitamab and lenalidomide in addition to R-CHOP for the first-line treatment of adult patients with newly diagnosed DLBCL in the first half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Oncology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oncology franchise includes two approved products, PEMAZYRE (pemigatinib) and ZYNYZ (retifanlimab-dlwr), as well as several clinical development programs.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PEMAZYRE (pemigatinib)</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Cholangiocarcinoma. </w:t>
      </w:r>
      <w:r>
        <w:rPr>
          <w:rFonts w:ascii="Times New Roman;serif" w:hAnsi="Times New Roman;serif"/>
          <w:b w:val="false"/>
          <w:color w:val="000000"/>
          <w:sz w:val="20"/>
        </w:rPr>
        <w:t xml:space="preserve">In April 2020, the FDA approved PEMAZYRE (pemigatinib), a selective fibroblast growth factor receptor kinase inhibitor, for the treatment of adults with previously treated, unresectable locally advanced or metastatic cholangiocarcinoma with a fibroblast growth factor receptor 2 (“FGFR2”) fusion or other rearrangement as detected by an FDA-approved test. Cholangiocarcinoma is a rare cancer that arises from the cells within the bile ducts. PEMAZYRE is the first FDA-approved treatment for this indication.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2021, PEMAZYRE was approved by the MHLW for the treatment of patients with unresectable biliary tract cancer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U.K.’s National Institute for Health and Care Excellence (“NICE”) recommended PEMAZYRE for patients with cholangiocarcinoma with an FGFR2 fusion or rearrangement that have progressed after at least one prior line of systemic therapy. NICE’s guidance enables all eligible patients in England and Wales to have access to PEMAZYRE through the National Health Service.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2022, PEMAZYRE was approved by the National Medical Products Administration of the People’s Republic of China for the treatment of adults with locally advanced or metastatic cholangiocarcinoma with an FGFR2 fusion or rearrangement as confirmed by a validated diagnostic test that has progressed after at least one prior line of systemic therapy.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Myeloid/Lymphoid Neoplasms</w:t>
      </w:r>
      <w:r>
        <w:rPr>
          <w:rFonts w:ascii="Times New Roman;serif" w:hAnsi="Times New Roman;serif"/>
          <w:b w:val="false"/>
          <w:color w:val="000000"/>
          <w:sz w:val="20"/>
        </w:rPr>
        <w:t xml:space="preserve">. In August 2022, PEMAZYRE was approved by the FDA as the first and only targeted treatment for myeloid/lymphoid neoplasms (“MLNs”) with a fibroblast growth factor receptor 1 (“FGFR1”) rearrangement. MLNs with FGFR1 rearrangements are a group of extremely rare but aggressive blood cancers. In March 2023, PEMAZYRE was approved by the MHLW for the treatment of MLNs with FGFR1 rearrangement.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ZYNYZ (retifanlimab-dlwr)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2017, we and MacroGenics, Inc. (“MacroGenics”),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Merkel Cell Carcinoma.</w:t>
      </w:r>
      <w:r>
        <w:rPr>
          <w:color w:val="000000"/>
        </w:rPr>
        <w:t xml:space="preserve"> </w:t>
      </w:r>
      <w:r>
        <w:rPr>
          <w:rFonts w:ascii="Times New Roman;serif" w:hAnsi="Times New Roman;serif"/>
          <w:b w:val="false"/>
          <w:color w:val="000000"/>
          <w:sz w:val="20"/>
        </w:rPr>
        <w:t>In March 2023, the FDA approved ZYNYZ (retifanlimab-dlwr) under accelerated approval for the treatment of adults with metastatic or recurrent locally advanced Merkel cell carcinoma (“MCC”). In April 2024, the European Commission approved ZYNYZ (retifanlimab) as a monotherapy for the first-line treatment of adult patients with metastatic or recurrent locally advanced MCC not amenable to curative surgery or radiation therapy.</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Squamous Cell Carcinoma of the Anal Canal.</w:t>
      </w:r>
      <w:r>
        <w:rPr>
          <w:color w:val="000000"/>
        </w:rPr>
        <w:t xml:space="preserve"> </w:t>
      </w:r>
      <w:r>
        <w:rPr>
          <w:rFonts w:ascii="Times New Roman;serif" w:hAnsi="Times New Roman;serif"/>
          <w:b w:val="false"/>
          <w:color w:val="000000"/>
          <w:sz w:val="20"/>
        </w:rPr>
        <w:t>In May 2025, the FDA approved ZYNYZ for the treatment of adult patients with advanced squamous cell carcinoma of the anal canal (“SCAC”) in combination with chemotherapy and as a single agent. In December 2025, the MHLW approved ZYNYZ in combination with carboplatin and paclitaxel (platinum-based chemotherapy) for the first-line treatment of advanced SCAC. In March 2026, the European Commission approved ZYNYZ in combination with carboplatin and paclitaxel (platinum-based chemotherapy) for the first-line treatment of adult patients with metastatic or with inoperable locally recurrent SCAC.</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Oncology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INCB123667 (CDK2)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INCB123667 is a novel, potent and selective oral small molecule inhibitor of serine threonine kinase (CDK2) in clinical development for the treatment of ovarian cancer in patients with Cyclin E1 overexpression.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we initiated MAESTRA-1, a Phase 2 single-arm study of INCB123667 in patients with platinum-resistant ovarian cancer (“PROC”) with Cyclin E1 overexpression, and MAESTRA-2, a Phase 3, randomized, open-label study of INCB123667 versus investigator’s choice chemotherapy in patients with PROC with Cyclin E1 overexpression. The initiation of a Phase 3 study evaluating INCB123667 in first-line maintenance ovarian cancer is anticipated in the second half of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INCB161734 (KRAS G12D)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INCB161734 is a potent, selective and orally bioavailable KRAS G12D inhibitor that is currently being evaluated in patients with locally advanced or metastatic solid tumors with KRASG12D mutation.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Pancreatic Ductal Adenocarcinoma.</w:t>
      </w:r>
      <w:r>
        <w:rPr>
          <w:color w:val="000000"/>
        </w:rPr>
        <w:t xml:space="preserve"> </w:t>
      </w:r>
      <w:r>
        <w:rPr>
          <w:rFonts w:ascii="Times New Roman;serif" w:hAnsi="Times New Roman;serif"/>
          <w:b w:val="false"/>
          <w:color w:val="000000"/>
          <w:sz w:val="20"/>
        </w:rPr>
        <w:t>In October 2025, we presented preliminary data from the ongoing Phase 1 study at the 2025 ESMO Congress. In the study, INCB161734 demonstrated a manageable safety profile and clinical efficacy in heavily pretreated pancreatic ductal adenocarcinoma (“PDAC”) patients with a KRASG12D mutation. In the first quarter of 2026, a Phase 3 study (DAWN-303) was initiated, evaluating INCB161734 as a first-line treatment in patients with metastatic PDAC in combination with standard-of-care chemotherapy (mFOLFIRINOX or GEMNabP) versus chemotherapy alone. Additional data from the ongoing Phase 1 trial evaluating INCB161734 in combination with standard-of-care chemotherapy as a first-line treatment in patients with metastatic PDAC are anticipated in the second half of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INCA33890 (TGFβR2xPD-1)</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INCA33890 is a TGFβR2xPD-1 bispecific antibody developed by Incyte using Merus’s licensed bispecific platform to avoid the known toxicity of broad TGFβ pathway blockade by specifically blocking TGFβ signaling in cells co-expressing PD-1.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Microsatellite Stable Colorectal Cancer.</w:t>
      </w:r>
      <w:r>
        <w:rPr>
          <w:color w:val="000000"/>
        </w:rPr>
        <w:t xml:space="preserve"> </w:t>
      </w:r>
      <w:r>
        <w:rPr>
          <w:rFonts w:ascii="Times New Roman;serif" w:hAnsi="Times New Roman;serif"/>
          <w:b w:val="false"/>
          <w:color w:val="000000"/>
          <w:sz w:val="20"/>
        </w:rPr>
        <w:t xml:space="preserve">In October 2025, we presented data from the ongoing Phase 1 study at the 2025 ESMO Congress. INCA33890 demonstrated clinical efficacy across multiple tumor types, including microsatellite stable colorectal cancer (“MSS CRC”) in patients with and without active liver metastases. INCA33890 was generally well tolerated as monotherapy and in combination with standard-of-care treatments in patients with metastatic CRC.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a Phase 3 study evaluating INCA33890 in combination with standard-of-care chemotherapy and bevacizumab as a first-line treatment in patients with MSS CRC was initiated. Additional data from the ongoing Phase 1 study evaluating INCA33890 in combination with bevacizumab and/or chemotherapy in patients with solid tumors is expected in the second half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Inflammation and Autoimmunity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Inflammation and Autoimmunity franchise is comprised of one approved product, OPZELURA (ruxolitinib) cream, with several clinical programs in development.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OPZELURA (ruxolitinib) cream</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Atopic Dermatitis</w:t>
      </w:r>
      <w:r>
        <w:rPr>
          <w:rFonts w:ascii="Times New Roman;serif" w:hAnsi="Times New Roman;serif"/>
          <w:b w:val="false"/>
          <w:color w:val="000000"/>
          <w:sz w:val="20"/>
        </w:rPr>
        <w:t>. In September 2021, the FDA approved OPZELURA (ruxolitinib) cream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 AD is a skin disorder that causes long term inflammation of the skin resulting in itchy, red, swollen and cracked skin.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FDA approved the supplemental New Drug Application (“NDA”) for OPZELURA for the short-term and non-continuous chronic treatment of mild to moderate AD in non-immunocompromised children two years of age and older whose disease is not well controlled with topical prescription therapies, or when those therapies are not advisable.</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Vitiligo. </w:t>
      </w:r>
      <w:r>
        <w:rPr>
          <w:rFonts w:ascii="Times New Roman;serif" w:hAnsi="Times New Roman;serif"/>
          <w:b w:val="false"/>
          <w:color w:val="000000"/>
          <w:sz w:val="20"/>
        </w:rPr>
        <w:t>In July 2022, the FDA approved OPZELURA for the topical treatment of nonsegmental vitiligo in adult and pediatric patients 12 years of age and older. Vitiligo is a chronic autoimmune depigmenting skin disease characterized by patches of the skin losing their pigment. OPZELURA is the first and only FDA approved treatment for repigmentation of vitiligo lesions. OPZELURA was approved for continuous use and no limits to duration as a treatment for nonsegmental vitiligo.</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2023, the European Commission approved OPZELURA for the topical treatment of nonsegmental vitiligo with facial involvement in adults and adolescents 12 years and older following a positive opinion from the CHMP. In October 2024, OPZELURA cream 1.5% was granted a Notice of Compliance by Health Canada for the topical treatment of both mild to moderate AD and nonsegmental vitiligo in patients 12 years of age and older.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IAI</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Ruxolitinib cream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Ruxolitinib cream is a potent, selective inhibitor of JAK1 and JAK2 that provides the opportunity to directly target diverse pathogenic pathways that underlie certain immune-mediated dermatologic conditions.</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Atopic Dermatitis. </w:t>
      </w:r>
      <w:r>
        <w:rPr>
          <w:rFonts w:ascii="Times New Roman;serif" w:hAnsi="Times New Roman;serif"/>
          <w:b w:val="false"/>
          <w:color w:val="000000"/>
          <w:sz w:val="20"/>
        </w:rPr>
        <w:t xml:space="preserve">In July 2025, we announced positive topline results from the Phase 3 (TRuE-AD4) study evaluating ruxolitinib cream in adult patients with moderate atopic dermatitis. The study met the co-primary endpoints at Week 8, with a statistically significant proportion of patients achieving both Investigator’s Global Assessment Treatment Success and EASI75, which is defined as a 75% or greater improvement in the Eczema Area Severity Index score from baseline. In addition, the study met all key secondary endpoints. Ruxolitinib cream was well tolerated with no new safety signals. At the end of 2025, a Type-II variation application for the treatment of adults with moderate AD was submitted in Europe and we anticipate a potential approval in the second half of 2026. </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Hidradenitis Suppurativa. </w:t>
      </w:r>
      <w:r>
        <w:rPr>
          <w:rFonts w:ascii="Times New Roman;serif" w:hAnsi="Times New Roman;serif"/>
          <w:b w:val="false"/>
          <w:color w:val="000000"/>
          <w:sz w:val="20"/>
        </w:rPr>
        <w:t>In January 2024, we announced positive topline results from a randomized controlled Phase 2 study evaluating ruxolitinib cream in hidradenitis suppurativa (“HS”). Ruxolitinib 1.5% cream twice daily met the primary efficacy endpoint as measured by a change from baseline in abscess and nodule count at Week 16 versus placebo in patients with mild to moderate HS. Ruxolitinib cream was well tolerated and consistent with its known safety profile. In June 2025, two Phase 3 studies (TRuE-HS1 and TRuE-HS2) evaluating ruxolitinib cream in mild to moderate HS were initiated, with topline results anticipated in the fourth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pPr>
      <w:r>
        <w:rPr>
          <w:rFonts w:ascii="Times New Roman;serif" w:hAnsi="Times New Roman;serif"/>
          <w:b w:val="false"/>
          <w:i/>
          <w:color w:val="000000"/>
          <w:sz w:val="20"/>
        </w:rPr>
        <w:t>Prurigo Nodularis.</w:t>
      </w:r>
      <w:r>
        <w:rPr>
          <w:color w:val="000000"/>
        </w:rPr>
        <w:t xml:space="preserve"> </w:t>
      </w:r>
      <w:r>
        <w:rPr>
          <w:rFonts w:ascii="Times New Roman;serif" w:hAnsi="Times New Roman;serif"/>
          <w:b w:val="false"/>
          <w:color w:val="000000"/>
          <w:sz w:val="20"/>
        </w:rPr>
        <w:t>In January 2026, we received FDA feedback indicating that an additional clinical study would be required to support registration in mild to moderate prurigo nodularis (“PN”). Based on this feedback we have decided to pause further development of ruxolitinib cream in PN at this time.</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Povorcitinib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Povorcitinib, an oral small molecule selective JAK1 inhibitor, is being evaluated for the treatment of HS, nonsegmental vitiligo, PN and asthma.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Hidradenitis Suppurativa. </w:t>
      </w:r>
      <w:r>
        <w:rPr>
          <w:rFonts w:ascii="Times New Roman;serif" w:hAnsi="Times New Roman;serif"/>
          <w:b w:val="false"/>
          <w:color w:val="000000"/>
          <w:sz w:val="20"/>
        </w:rPr>
        <w:t>In March 2025, we shared positive results from two Phase 3 studies (STOP-HS1 and STOP-HS2) evaluating povorcitinib in patients with moderate to severe HS. Both studies met their primary endpoint of Hidradenitis Suppurativa Clinical Response (“HiSCR”) at Week 12 and at both tested doses (45mg and 75mg). In addition, at Week 12, patients treated with povorcitinib achieved deep levels of clinical response with a greater proportion achieving HiSCR75, reduction in flares, and a greater than 3-point decrease in the Skin Pain NRS score and Skin Pain NRS30. Furthermore, povorcitinib demonstrated rapid onset of response, including rapid skin pain reduction</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submitted an MAA for povorcitinib to the EMA at the end of 2025 and we anticipate a potential approval in late 2026. The NDA submission for povorcitinib in HS was accepted by the FDA in the first quarter of 2026 and we anticipate a potential approval in the U.S. by the first quarter of 2027.</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Nonsegmental Vitiligo. </w:t>
      </w:r>
      <w:r>
        <w:rPr>
          <w:rFonts w:ascii="Times New Roman;serif" w:hAnsi="Times New Roman;serif"/>
          <w:b w:val="false"/>
          <w:color w:val="000000"/>
          <w:sz w:val="20"/>
          <w:shd w:fill="FFFFFF" w:val="clear"/>
        </w:rPr>
        <w:t xml:space="preserve">In March and October 2023, we presented results from the Phase 2b clinical study evaluating povorcitinib in patients with extensive nonsegmental vitiligo. The results demonstrated that treatment with oral povorcitinib was associated with substantial total body and facial repigmentation, as measured by Total Vitiligo Area Scoring Index. Based on these results, two Phase 3 studies (STOP-V1 and STOP-V2) evaluating povorcitinib (30mg) in participants with extensive nonsegmental vitiligo were initiated in late 2023. In April 2026, we announced positive results from the Phase 3 program. In both STOP-V1 and STOP-V2, povorcitinib achieved the primary endpoint of </w:t>
      </w:r>
      <w:r>
        <w:rPr>
          <w:rFonts w:ascii="Times New Roman;serif" w:hAnsi="Times New Roman;serif"/>
          <w:b w:val="false"/>
          <w:color w:val="000000"/>
          <w:sz w:val="20"/>
          <w:u w:val="single"/>
          <w:shd w:fill="FFFFFF" w:val="clear"/>
        </w:rPr>
        <w:t>&gt;</w:t>
      </w:r>
      <w:r>
        <w:rPr>
          <w:rFonts w:ascii="Times New Roman;serif" w:hAnsi="Times New Roman;serif"/>
          <w:b w:val="false"/>
          <w:color w:val="000000"/>
          <w:sz w:val="20"/>
          <w:shd w:fill="FFFFFF" w:val="clear"/>
        </w:rPr>
        <w:t xml:space="preserve">75% reduction in Facial Vitiligo Area Scoring Index from baseline at Week 52. Across both studies, statistically significant and clinically meaningful differences were also observed in key secondary endpoints, including a </w:t>
      </w:r>
      <w:r>
        <w:rPr>
          <w:rFonts w:ascii="Times New Roman;serif" w:hAnsi="Times New Roman;serif"/>
          <w:b w:val="false"/>
          <w:color w:val="000000"/>
          <w:sz w:val="20"/>
          <w:u w:val="single"/>
          <w:shd w:fill="FFFFFF" w:val="clear"/>
        </w:rPr>
        <w:t>&gt;</w:t>
      </w:r>
      <w:r>
        <w:rPr>
          <w:rFonts w:ascii="Times New Roman;serif" w:hAnsi="Times New Roman;serif"/>
          <w:b w:val="false"/>
          <w:color w:val="000000"/>
          <w:sz w:val="20"/>
          <w:shd w:fill="FFFFFF" w:val="clear"/>
        </w:rPr>
        <w:t>50% reduction in Total Vitiligo Area Scoring Index at Week 52. The overall safety and tolerability profile of povorcitinib through 52 weeks was consistent with prior studies, with no new safety signals observed. We expect to share additional data from STOP-V1 and STOP-V2 in the second half of 2026. Positive results from these studies will support regulatory applications for povorcitinib in vitiligo which are planned for the first quarter of 2027.</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Prurigo Nodularis. </w:t>
      </w:r>
      <w:r>
        <w:rPr>
          <w:rFonts w:ascii="Times New Roman;serif" w:hAnsi="Times New Roman;serif"/>
          <w:b w:val="false"/>
          <w:color w:val="000000"/>
          <w:sz w:val="20"/>
          <w:shd w:fill="FFFFFF" w:val="clear"/>
        </w:rPr>
        <w:t>In October 2023, we announced that the Phase 2, randomized, double-blind, placebo-controlled, dose ranging study evaluating the efficacy and safety of povorcitinib in participants with PN had met its primary endpoint. In October 2024, following the positive Phase 2 results, two Phase 3 studies (STOP-PN1 and STOP-PN2) evaluating povorcitinib in patients with moderate to severe PN were initiated</w:t>
      </w:r>
      <w:r>
        <w:rPr>
          <w:rFonts w:ascii="Times New Roman;serif" w:hAnsi="Times New Roman;serif"/>
          <w:b w:val="false"/>
          <w:color w:val="000000"/>
          <w:sz w:val="20"/>
        </w:rPr>
        <w:t>. Data from the Phase 3 studies are anticipated in the fourth quarter of 2026.</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Asthma. </w:t>
      </w:r>
      <w:r>
        <w:rPr>
          <w:rFonts w:ascii="Times New Roman;serif" w:hAnsi="Times New Roman;serif"/>
          <w:b w:val="false"/>
          <w:color w:val="000000"/>
          <w:sz w:val="20"/>
          <w:shd w:fill="FFFFFF" w:val="clear"/>
        </w:rPr>
        <w:t>In July 2023, we initiated a Phase 2 study evaluating povorcitinib in patients with moderate to severe uncontrolled asthma. Proof-of-concept data from this study is anticipated in the second half of 2026</w:t>
      </w:r>
      <w:r>
        <w:rPr>
          <w:rFonts w:ascii="Times New Roman;serif" w:hAnsi="Times New Roman;serif"/>
          <w:b w:val="false"/>
          <w:color w:val="000000"/>
          <w:sz w:val="20"/>
        </w:rPr>
        <w:t xml:space="preserve">.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INCB00928 (zilurgisertib)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we entered into an agreement granting a third party worldwide commercialization rights for zilurgisertib.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Collaborative Partnered Programs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below under “License Agreements and Business Relationships,” we are eligible for milestone payments and royalties on certain products that we license to third parties. These include OLUMIANT (baricitinib), which is licensed to our collaborative partner Eli Lilly and Company (“Lilly”), and JAKAVI (ruxolitinib) and TABRECTA (capmatinib), which are licensed to Novartis.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Baricitinib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second JAK1 and JAK2 inhibitor, baricitinib, which is subject to our collaboration agreement with Lilly, in which Lilly received exclusive worldwide development and commercialization rights to the compound for inflammatory and autoimmune diseases.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Rheumatoid Arthritis.</w:t>
      </w:r>
      <w:r>
        <w:rPr>
          <w:color w:val="000000"/>
        </w:rPr>
        <w:t xml:space="preserve"> </w:t>
      </w:r>
      <w:r>
        <w:rPr>
          <w:rFonts w:ascii="Times New Roman;serif" w:hAnsi="Times New Roman;serif"/>
          <w:b w:val="false"/>
          <w:color w:val="000000"/>
          <w:sz w:val="20"/>
        </w:rPr>
        <w:t>Rheumatoid arthritis is an autoimmune disease characterized by aberrant or abnormal immune mechanisms that lead to joint inflammation and swelling and, in some patients, the progressive destruction of joints. In February 2017, the European Commission approved baricitinib as OLUMIANT for the treatment of moderate-to-severe rheumatoid arthritis in adult patients who have responded inadequately to, or who are intolerant to, one or more disease-modifying antirheumatic drugs.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Atopic Dermatitis. </w:t>
      </w:r>
      <w:r>
        <w:rPr>
          <w:rFonts w:ascii="Times New Roman;serif" w:hAnsi="Times New Roman;serif"/>
          <w:b w:val="false"/>
          <w:color w:val="000000"/>
          <w:sz w:val="20"/>
        </w:rPr>
        <w:t xml:space="preserve">In October 2020, the European Commission approved baricitinib as OLUMIANT for the treatment of moderate-to-severe AD in adult patients who are candidates for systemic therapy. In December 2020, baricitinib was approved by the MHLW for the treatment of patients with moderate-to-severe AD.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Alopecia Areata</w:t>
      </w:r>
      <w:r>
        <w:rPr>
          <w:rFonts w:ascii="Times New Roman;serif" w:hAnsi="Times New Roman;serif"/>
          <w:b w:val="false"/>
          <w:color w:val="000000"/>
          <w:sz w:val="20"/>
        </w:rPr>
        <w:t>. Alopecia areata is an autoimmune disorder in which the immune system attacks the hair follicles, causing hair loss in patches. In June 2022, the FDA approved 2mg and 4mg doses of OLUMIANT for the treatment of adults with severe alopecia areata, becoming the first and only systemic treatment in the indication. Also in June 2022, OLUMIANT was approved as a treatment for alopecia areata in Europe and Japan.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COVID-19.</w:t>
      </w:r>
      <w:r>
        <w:rPr>
          <w:color w:val="000000"/>
        </w:rPr>
        <w:t xml:space="preserve"> </w:t>
      </w:r>
      <w:r>
        <w:rPr>
          <w:rFonts w:ascii="Times New Roman;serif" w:hAnsi="Times New Roman;serif"/>
          <w:b w:val="false"/>
          <w:color w:val="000000"/>
          <w:sz w:val="20"/>
        </w:rPr>
        <w:t>In May 2020, we amended our agreement with Lilly to enable Lilly to commercialize baricitinib for the treatment of COVID-19. The FDA’s Emergency Use Authorization provides for the use of baricitinib for the treatment of COVID-19 in hospitalized adults and pediatric patients two years of age or older requiring supplemental oxygen, non-invasive or invasive mechanical ventilation or extracorporeal membrane oxygenation (“ECMO”). In June 2022, the FDA approved baricitinib as OLUMIANT for the treatment of COVID-19 in hospitalized adults requiring supplemental oxygen, non-invasive or invasive mechanical ventilation or ECMO.</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Type 1 Diabetes</w:t>
      </w:r>
      <w:r>
        <w:rPr>
          <w:rFonts w:ascii="Times New Roman;serif" w:hAnsi="Times New Roman;serif"/>
          <w:b w:val="false"/>
          <w:color w:val="000000"/>
          <w:sz w:val="20"/>
        </w:rPr>
        <w:t>. In October 2025, we amended our agreement with Lilly to enable Lilly to commercialize baricitinib for the treatment of Type 1 diabetes mellitus.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Capmatinib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Capmatinib is a potent and highly selective mesenchymal-epithelial-transition factor gene (“MET”) inhibitor. Under our agreement, Novartis received worldwide exclusive development and commercialization rights to capmatinib and certain back-up compounds in all indications. Capmatinib is being evaluated in patients with hepatocellular carcinoma, non-small cell lung cancer (“NSCLC”) and other solid tumors, and may have potential utility as a combination agent.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2020, the FDA approved capmatinib as TABRECTA for the treatment of adult patients with metastatic NSCLC whose tumors have a mutation that leads to MET exon 14 (“METex14”) skipping as detected by an FDA-approved test. TABRECTA is the first and only treatment approved to specifically target NSCLC with this driver mutation and is approved for first-line and previously treated patients regardless of prior treatment type. In June 2020, the MHLW approved TABRECTA for METex14 mutation-positive advanced and/or recurrent unresectable NSCLC. In June 2022, the European Commission approved capmatinib as TABRECTA as a monotherapy treatment of adults with advanced NSCLC harboring alterations leading to METex14 skipping who require systemic therapy following prior treatment with immunotherapy and/or platinum-based chemotherapy.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Ruxolitinib</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Graft-versus-host disease.</w:t>
      </w:r>
      <w:r>
        <w:rPr>
          <w:color w:val="000000"/>
        </w:rPr>
        <w:t xml:space="preserve"> </w:t>
      </w:r>
      <w:r>
        <w:rPr>
          <w:rFonts w:ascii="Times New Roman;serif" w:hAnsi="Times New Roman;serif"/>
          <w:b w:val="false"/>
          <w:color w:val="000000"/>
          <w:sz w:val="20"/>
        </w:rPr>
        <w:t>In May 2022, the European Commission approved ruxolitinib as JAKAVI for the treatment of acute or chronic GVHD in patients aged 12 years and older who have an inadequate response to corticosteroids or other systemic therapies. In August 2023, Novartis announced that JAKAVI had been approved in Japan for use in GVHD after HSCT</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License Agreements and Business Relationships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5 and Note 7 of Notes to the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Out-License Agreements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Novartis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Lilly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 and, in October 2025, we further amended the agreement to enable Lilly to commercialize baricitinib for the treatment of Type 1 diabetes mellitus. We received an upfront payment of $100.0 million in connection with the 2025 amendment, which amendment also restructured the royalty obligations on net sales of baricitinib, certain developmental and regulatory milestones associated with baricitinib, and the marketing and sales support obligations of Lilly. On baricitinib sales for any indication, we are now eligible to receive either a fixed royalty amount or tiered royalties based on a defined level of quarterly global net sales, with the tiered royalties up to a rate in the mid-teens. Additionally, for the treatment of COVID-19, we still receive a premium on royalties.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In-License Agreements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Syndax</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Other Collaborators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also entered into certain agreements with other collaboration partners for the rights to develop and commercialize other assets in our pipeline.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refer to “Item 7. Management’s Discussion and Analysis of Financial Condition and Results of Operations” in our Annual Report on Form 10-K for the year ended December 31, 2025. There have been no significant changes to our critical accounting policies or estimates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 and Regulatory Updates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standards, refer to Note 2 in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net income of $303.3 million and basic net income per share of $1.52 and diluted net income per share of $1.47 for the three months ended March 31, 2026, as compared to net income of $158.2 million and basic net income per share of $0.82 and diluted net income per share of $0.80 in the corresponding period in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Revenues</w:t>
      </w:r>
    </w:p>
    <w:tbl>
      <w:tblPr>
        <w:tblW w:w="6505" w:type="dxa"/>
        <w:jc w:val="left"/>
        <w:tblInd w:w="0" w:type="dxa"/>
        <w:tblLayout w:type="fixed"/>
        <w:tblCellMar>
          <w:top w:w="28" w:type="dxa"/>
          <w:left w:w="28" w:type="dxa"/>
          <w:bottom w:w="28" w:type="dxa"/>
          <w:right w:w="28" w:type="dxa"/>
        </w:tblCellMar>
      </w:tblPr>
      <w:tblGrid>
        <w:gridCol w:w="1165"/>
        <w:gridCol w:w="1029"/>
        <w:gridCol w:w="1031"/>
        <w:gridCol w:w="109"/>
        <w:gridCol w:w="109"/>
        <w:gridCol w:w="134"/>
        <w:gridCol w:w="134"/>
        <w:gridCol w:w="259"/>
        <w:gridCol w:w="943"/>
        <w:gridCol w:w="134"/>
        <w:gridCol w:w="109"/>
        <w:gridCol w:w="109"/>
        <w:gridCol w:w="109"/>
        <w:gridCol w:w="211"/>
        <w:gridCol w:w="766"/>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458" w:type="dxa"/>
            <w:gridSpan w:val="6"/>
            <w:tcBorders/>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JAKAFI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OPZELURA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ICLUSIG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PEMAZYRE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MINJUVI/MONJUVI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NIKTIMVO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ZYNYZ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JAKAVI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OLUMIANT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TABRECTA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royalty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JAKAFI for the three months ended March 31, 2026 as compared to the corresponding period in 2025 was primarily driven by a 6% increase in paid demand and growth across all indications. JAKAFI inventory levels were within normal range at the end of the first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OPZELURA net sales for the three months ended March 31, 2026 as compared to the corresponding period in 2025 was primarily due to increased patient demand in the U.S. in both atopic dermatitis and vitiligo. Additionally, $36.7 million of net sales during the first quarter of 2026 were from outside of the U.S. as compared with $23.5 million during the first quarter of 2025, with the increase driven by continued uptake in Canada and Italy. OPZELURA inventory levels were within normal range at the end of the first quarter of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other hematology and oncology net sales for the three months ended March 31, 2026 as compared to the corresponding period in 2025 was primarily driven by increased demand of NIKTIMVO, MONJUVI/MINJUVI and ZYNYZ.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total royalty revenues for the three months ended March 31, 2026 as compared to the corresponding period in 2025 was primarily driven by growth in JAKAVI royalty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may fluctuate from quarter to quarter due to our customers’ purchasing patterns over the course of the year, including as a result of increased inventory building by customers in advance of expected or announced price increases. Net sales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activity with respect to our sales allowances and accruals (in thousands):</w:t>
      </w:r>
    </w:p>
    <w:tbl>
      <w:tblPr>
        <w:tblW w:w="10205" w:type="dxa"/>
        <w:jc w:val="left"/>
        <w:tblInd w:w="0" w:type="dxa"/>
        <w:tblLayout w:type="fixed"/>
        <w:tblCellMar>
          <w:top w:w="28" w:type="dxa"/>
          <w:left w:w="28" w:type="dxa"/>
          <w:bottom w:w="28" w:type="dxa"/>
          <w:right w:w="28" w:type="dxa"/>
        </w:tblCellMar>
      </w:tblPr>
      <w:tblGrid>
        <w:gridCol w:w="992"/>
        <w:gridCol w:w="724"/>
        <w:gridCol w:w="730"/>
        <w:gridCol w:w="109"/>
        <w:gridCol w:w="109"/>
        <w:gridCol w:w="109"/>
        <w:gridCol w:w="224"/>
        <w:gridCol w:w="767"/>
        <w:gridCol w:w="115"/>
        <w:gridCol w:w="109"/>
        <w:gridCol w:w="109"/>
        <w:gridCol w:w="109"/>
        <w:gridCol w:w="320"/>
        <w:gridCol w:w="1254"/>
        <w:gridCol w:w="166"/>
        <w:gridCol w:w="109"/>
        <w:gridCol w:w="109"/>
        <w:gridCol w:w="109"/>
        <w:gridCol w:w="211"/>
        <w:gridCol w:w="721"/>
        <w:gridCol w:w="109"/>
        <w:gridCol w:w="109"/>
        <w:gridCol w:w="109"/>
        <w:gridCol w:w="109"/>
        <w:gridCol w:w="211"/>
        <w:gridCol w:w="721"/>
        <w:gridCol w:w="109"/>
        <w:gridCol w:w="109"/>
        <w:gridCol w:w="109"/>
        <w:gridCol w:w="109"/>
        <w:gridCol w:w="211"/>
        <w:gridCol w:w="826"/>
        <w:gridCol w:w="159"/>
      </w:tblGrid>
      <w:tr>
        <w:trPr/>
        <w:tc>
          <w:tcPr>
            <w:tcW w:w="99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Discounts and </w:t>
              <w:br/>
              <w:t>Distribution</w:t>
              <w:br/>
              <w:t>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 &amp; Government</w:t>
              <w:br/>
              <w:t>Rebates and</w:t>
              <w:br/>
              <w:t>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Co-Pay</w:t>
              <w:br/>
              <w:t>Assistance</w:t>
              <w:br/>
              <w:t>and Other</w:t>
              <w:br/>
              <w:t>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646,091 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691,432 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for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38,556 </w:t>
            </w:r>
          </w:p>
        </w:tc>
        <w:tc>
          <w:tcPr>
            <w:tcW w:w="11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640,568 </w:t>
            </w:r>
          </w:p>
        </w:tc>
        <w:tc>
          <w:tcPr>
            <w:tcW w:w="1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32,839 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730,094 </w:t>
            </w:r>
          </w:p>
        </w:tc>
        <w:tc>
          <w:tcPr>
            <w:tcW w:w="15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net sales. We adjust our estimates for government rebates and chargebacks based on new information regarding actual rebates as it becomes available.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brought a lawsuit against the U.S. Centers for Medicare and Medicaid Services (“CMS”) alleging that a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March 31, 2026, we have accrued approximately $245.9 million within accrued and other current liabilities on the condensed consolidated balance sheet, relating to the incremental rebates that would be owed were OPZELURA considered a line extension of JAKAFI. The impact on OPZELURA gross to net deductions for the quarter ending March 31, 2026 is approximately 8.4%. If OPZELURA is not treated as a line extension of JAKAFI, this would result in a reversal of our accrual and a lower future gross to net deduction for OPZELURA.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sales, particularly for drugs like OPZELURA. We also adjust our allowance for product returns based on new information regarding actual returns as it becomes available.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sales allowances to fluctuate from quarter to quarter as a result of the volume of purchases eligible for government mandated discounts and rebates as well as changes in discount percentages which are impacted by potential future price increases, rate of inflation, and other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milestone and contract revenues for the three months ended March 31, 2026 were primarily derived from developmental milestones received from our third party collaborators.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tbl>
      <w:tblPr>
        <w:tblW w:w="6983" w:type="dxa"/>
        <w:jc w:val="left"/>
        <w:tblInd w:w="0" w:type="dxa"/>
        <w:tblLayout w:type="fixed"/>
        <w:tblCellMar>
          <w:top w:w="28" w:type="dxa"/>
          <w:left w:w="28" w:type="dxa"/>
          <w:bottom w:w="28" w:type="dxa"/>
          <w:right w:w="28" w:type="dxa"/>
        </w:tblCellMar>
      </w:tblPr>
      <w:tblGrid>
        <w:gridCol w:w="1434"/>
        <w:gridCol w:w="1261"/>
        <w:gridCol w:w="1264"/>
        <w:gridCol w:w="109"/>
        <w:gridCol w:w="109"/>
        <w:gridCol w:w="151"/>
        <w:gridCol w:w="151"/>
        <w:gridCol w:w="293"/>
        <w:gridCol w:w="857"/>
        <w:gridCol w:w="151"/>
        <w:gridCol w:w="109"/>
        <w:gridCol w:w="109"/>
        <w:gridCol w:w="109"/>
        <w:gridCol w:w="211"/>
        <w:gridCol w:w="51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203" w:type="dxa"/>
            <w:gridSpan w:val="6"/>
            <w:tcBorders/>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Royalty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Profit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Cost of sales includes all product related costs, reserves for obsolescence, employee personnel costs, including stock compensation, for those employees dedicated to the production of our commercial products, royalties and profit sharing under our collaborative agreements and amortization of our licensed intellectual property rights for ICLUSIG and capitalized milestone payments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increase in cost of sales for the three months ended March 31, 2026 as compared to the corresponding period in 2025 was driven by primarily driven by growth in net sales, NIKTIMVO profit share and increased manufacturing related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6623" w:type="dxa"/>
        <w:jc w:val="left"/>
        <w:tblInd w:w="0" w:type="dxa"/>
        <w:tblLayout w:type="fixed"/>
        <w:tblCellMar>
          <w:top w:w="28" w:type="dxa"/>
          <w:left w:w="28" w:type="dxa"/>
          <w:bottom w:w="28" w:type="dxa"/>
          <w:right w:w="28" w:type="dxa"/>
        </w:tblCellMar>
      </w:tblPr>
      <w:tblGrid>
        <w:gridCol w:w="1264"/>
        <w:gridCol w:w="1113"/>
        <w:gridCol w:w="1117"/>
        <w:gridCol w:w="109"/>
        <w:gridCol w:w="109"/>
        <w:gridCol w:w="151"/>
        <w:gridCol w:w="151"/>
        <w:gridCol w:w="293"/>
        <w:gridCol w:w="857"/>
        <w:gridCol w:w="151"/>
        <w:gridCol w:w="109"/>
        <w:gridCol w:w="109"/>
        <w:gridCol w:w="109"/>
        <w:gridCol w:w="211"/>
        <w:gridCol w:w="616"/>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308" w:type="dxa"/>
            <w:gridSpan w:val="6"/>
            <w:tcBorders/>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research and outside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all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research and development costs by natural expense line and not costs by project. The increase in salary and benefits related expense for the three months ended March 31, 2026 as compared to the corresponding period in 2025 was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clinical research and outside services expense for the three months ended March 31, 2026 as compared to the corresponding period in 2025, was primarily due to continued investment in our late-stage development assets. Research and development expenses include upfront and milestone expenses related to our collaborative agreements of $12.6 million and $15.5 million, respectively, for the three months ended March 31, 2026 and 2025. Research and development expenses for the three months ended March 31, 2026 and 2025 were net of $4.4 million and $2.6 million, respectively, of costs reimbursed by our collaborative partners.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7313" w:type="dxa"/>
        <w:jc w:val="left"/>
        <w:tblInd w:w="0" w:type="dxa"/>
        <w:tblLayout w:type="fixed"/>
        <w:tblCellMar>
          <w:top w:w="28" w:type="dxa"/>
          <w:left w:w="28" w:type="dxa"/>
          <w:bottom w:w="28" w:type="dxa"/>
          <w:right w:w="28" w:type="dxa"/>
        </w:tblCellMar>
      </w:tblPr>
      <w:tblGrid>
        <w:gridCol w:w="1514"/>
        <w:gridCol w:w="1332"/>
        <w:gridCol w:w="1338"/>
        <w:gridCol w:w="109"/>
        <w:gridCol w:w="109"/>
        <w:gridCol w:w="151"/>
        <w:gridCol w:w="151"/>
        <w:gridCol w:w="293"/>
        <w:gridCol w:w="857"/>
        <w:gridCol w:w="151"/>
        <w:gridCol w:w="109"/>
        <w:gridCol w:w="109"/>
        <w:gridCol w:w="109"/>
        <w:gridCol w:w="211"/>
        <w:gridCol w:w="61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308" w:type="dxa"/>
            <w:gridSpan w:val="6"/>
            <w:tcBorders/>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contract services and outside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salary and benefits related expense for the three months ended March 31, 2026 as compared to the corresponding period in 2025 was due primarily to increased headcount. Stock compensation expense may fluctuate from period to period based on the number of awards granted, stock price volatility and expected award lives, as well as expected award forfeiture rates which are used to value equity-based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 impairment and related disposal costs</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further in Note 8 of Notes to the Condensed Consolidated Financial Statements, during December 2025, the downtown Wilmington, Delaware properties that we acquired in May 2024 met the criteria to be classified as assets held for sale. As a result of this classification, we recorded an asset impairment charge of $76.3 million on our consolidated statement of operations for the year ended December 31, 2025 relating to the downtown Wilmington properties in order to reflect the properties at the lower of their carrying amount or estimated fair value less cost to sell as of December 31, 2025. The estimated fair value less cost to sell of the properties was recorded within the Prepaid expenses and other current assets line item on our consolidated balance sheet as of December 31, 2025. During the three months ended March 31, 2026, we sold these downtown properties, and recognized an additional $23.2 million of expenses relating to disposal costs, which are included in Asset impairment and related disposal costs in the condensed consolidated statements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(Gain) loss on change in fair value of acquisition-related contingent consideration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months ended March 31, 2026 and March 31, 2025 was a gain of $0.2 million and loss of $11.6 million, respectively, which is recorded in (gain) loss on change in fair value of acquisition-related contingent consideration on the condensed consolidated statements of operations. The change in fair value of the contingent consideration during the three months ended March 31, 2026 and 2025 was due primarily to updated projections of future net sales and related royalties of Iclusig, including the impacts from fluctuations in foreign currency exchange rates, and the passage of time.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Non-operating Income and Expenses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March 31, 2026 and 2025 was $33.7 million and $22.9 million, respectively. The increase in Interest income for the three months ended March 31, 2026 is primarily due to higher cash and cash equivalent balances in the first quarter of 2026 as compared to the corresponding period in 2025.</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Gain (loss) on equity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Gains and losses on equity investments will fluctuate from period to period, based on sales of securities and the change in fair value of the securities we hold in our publicly held collaboration partners. The following table provides a summary of those gains (losses): </w:t>
      </w:r>
    </w:p>
    <w:tbl>
      <w:tblPr>
        <w:tblW w:w="6279" w:type="dxa"/>
        <w:jc w:val="left"/>
        <w:tblInd w:w="0" w:type="dxa"/>
        <w:tblLayout w:type="fixed"/>
        <w:tblCellMar>
          <w:top w:w="28" w:type="dxa"/>
          <w:left w:w="28" w:type="dxa"/>
          <w:bottom w:w="28" w:type="dxa"/>
          <w:right w:w="28" w:type="dxa"/>
        </w:tblCellMar>
      </w:tblPr>
      <w:tblGrid>
        <w:gridCol w:w="1187"/>
        <w:gridCol w:w="1043"/>
        <w:gridCol w:w="1055"/>
        <w:gridCol w:w="109"/>
        <w:gridCol w:w="109"/>
        <w:gridCol w:w="185"/>
        <w:gridCol w:w="185"/>
        <w:gridCol w:w="358"/>
        <w:gridCol w:w="690"/>
        <w:gridCol w:w="185"/>
        <w:gridCol w:w="109"/>
        <w:gridCol w:w="109"/>
        <w:gridCol w:w="109"/>
        <w:gridCol w:w="211"/>
        <w:gridCol w:w="481"/>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173" w:type="dxa"/>
            <w:gridSpan w:val="6"/>
            <w:tcBorders/>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Syndax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Prelude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Provision for income taxes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months ended March 31, 2026 and 2025 was $40.3 million and $76.0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March 31, 2026 is lower than the U.S. statutory rate primarily due to favorable changes in unrecognized tax benefits, tax benefits associated with the generation of tax credits and favorable foreign tax effects. This is partially offset by a net increase in valuation allowances against certain U.S. federal and state deferred tax assets. Our effective tax rate for the three months ended March 31, 2025 was higher than the U.S. statutory rate primarily due to an unfavorable change in our valuation allowances against certain U.S. federal and state deferred tax assets and unfavorable foreign tax effects. This was partially offset by tax benefits associated with the generation of tax credits and favorable effects of cross-border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we had available cash, cash equivalents and marketable securities of $4.0 billion. Our cash and marketable securities balances are primarily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three months ended March 31, 2026 and 2025 was $369.4 million and $266.1 million, respectively. The increase in cash provided by operating activities was due primarily to the increased net income for the 2026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investing activities, other than purchases and maturities of marketable securities, have consisted predominantly of capital expenditures. Net cash used in investing activities was $88.2 million for the three months ended March 31, 2026, which primarily represented purchases of marketable securities of $142.7 million, offset in part by maturities of marketable securities of $69.7 million. Net cash provided by investing activities was $1.1 million for the three months ended March 31, 2025, which primarily represented by maturities of marketable securities of $45.5 million, offset in part by purchases of marketable securities of $41.2 million. In the future, net cash used by investing activities may fluctuate significantly from period to period due to the timing of strategic equity investments, acquisitions, and capital expenditures and maturities/sales and purchases of marketable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$84.8 million for the three months ended March 31, 2026, primarily representing proceeds from issuance of common stock under our stock plans. Net cash used in financing activities was $12.7 million for the three months ended March 31, 2025, primarily representing cash paid to ARIAD/Takeda for contingent consideration and cash paid for tax withholdings related to restricted and performance share vesting.</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March 31, 2026, we had no outstanding borrowings and were in compliance with all covenants under this facility. The Credit Agreement is described further in Note 15 of Notes to the Condensed Consolidated Financial Statements.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enactment of the One Big Beautiful Bill Act in July 2025 modified key provisions of the Tax Cuts and Jobs Act of 2017. The change related to the expensing of domestic research costs materially reduced our U.S. tax liabilities in 2025 and we expect a similar impact in 2026. We intend to continue to evaluate the impacts of these provisions for our tax return filing.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March 31, 2026, marketable securities were $554.7 million. Due to the nature of these investments, if market interest rates were to increase immediately and uniformly by 10% from levels as of March 31, 2026, the decline in fair value would not be material.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we continue to hold strategic equity investments in publicly traded companies, we expect that due to the volatility of the stock price of biotechnology companies, our (gain) loss on equity investments will fluctuate in future periods based on increases or decreases in the fair value of our strategic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firstLine="720"/>
        <w:jc w:val="both"/>
        <w:rPr/>
      </w:pPr>
      <w:r>
        <w:rPr>
          <w:rFonts w:ascii="Times New Roman;serif" w:hAnsi="Times New Roman;serif"/>
          <w:b/>
          <w:i/>
          <w:color w:val="000000"/>
          <w:sz w:val="20"/>
        </w:rPr>
        <w:t>Evaluation of disclosure controls and procedures.</w:t>
      </w:r>
      <w:r>
        <w:rPr>
          <w:color w:val="000000"/>
        </w:rPr>
        <w:t xml:space="preserve"> </w:t>
      </w:r>
      <w:r>
        <w:rPr>
          <w:rFonts w:ascii="Times New Roman;serif" w:hAnsi="Times New Roman;serif"/>
          <w:b w:val="false"/>
          <w:color w:val="000000"/>
          <w:sz w:val="20"/>
        </w:rPr>
        <w:t>We maintain “disclosure controls and procedures,” as such 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their evaluation as of the end of the period covered by this Quarterly Report on Form 10-Q, our Chief Executive Officer and Principal Financial Officer concluded that, as of such date, our disclosure controls and procedures were effective at the reasonable assurance level.</w:t>
      </w:r>
    </w:p>
    <w:p>
      <w:pPr>
        <w:pStyle w:val="TextBody"/>
        <w:bidi w:val="0"/>
        <w:spacing w:lineRule="auto" w:line="288" w:before="240" w:after="283"/>
        <w:ind w:left="0" w:right="0" w:firstLine="720"/>
        <w:jc w:val="both"/>
        <w:rPr/>
      </w:pPr>
      <w:r>
        <w:rPr>
          <w:rFonts w:ascii="Times New Roman;serif" w:hAnsi="Times New Roman;serif"/>
          <w:b/>
          <w:i/>
          <w:color w:val="000000"/>
          <w:sz w:val="20"/>
        </w:rPr>
        <w:t>Changes in internal control over financial reporting</w:t>
      </w:r>
      <w:r>
        <w:rPr>
          <w:rFonts w:ascii="Times New Roman;serif" w:hAnsi="Times New Roman;serif"/>
          <w:b w:val="false"/>
          <w:color w:val="000000"/>
          <w:sz w:val="20"/>
        </w:rPr>
        <w:t>. There were no changes in our internal control over financial reporting (as defined in Rules 13a-15(f) and 15d-15(f) under the Exchange Act) for the three months ended March 31,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PART II:</w:t>
      </w:r>
      <w:r>
        <w:rPr>
          <w:color w:val="000000"/>
        </w:rPr>
        <w:t xml:space="preserve"> </w:t>
      </w: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the information set forth in Note 15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COMMERCIALIZATION OF OUR PRODUCTS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heavily on our lead product, JAKAFI (ruxolitinib), which is marketed as JAKAVI outside the United States. If we are unable to maintain revenues from JAKAFI/JAKAVI or those revenues decrease, our business may be materially harmed.</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JAKAFI is the first product marketed by us to be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 However, we expect that JAKAFI product sales will begin to decline upon the expiration of our patent exclusivity in 2028.</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continued commercial success of JAKAFI and our ability to maintain and continue to increase revenues from the sale of JAKAFI will depend on a number of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number of patients diagnosed with intermediate or high-risk myelofibrosis, uncontrolled polycythemia vera or steroid-refractory graft-versus-host disease and the number of such patients that may be treated with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acceptance of JAKAFI by patients and the healthcare community;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whether physicians, patients and healthcare payors view JAKAFI as therapeutically effective and safe relative to cost and any alternative therapies, as well as whether patients will continue to use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to obtain and maintain sufficient coverage or reimbursement by third-party payors and pricing;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third-party manufacturers to manufacture JAKAFI in sufficient quantities that meet all applicable quality standards;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of our company and our third-party providers to provide marketing and distribution support for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label and promotional claims allowed by the U.S. Food and Drug Administration (FDA);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maintenance of regulatory approval for the approved indications in the United States;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develop, obtain regulatory approval for and commercialize JAKAFI in the United States for additional indications or in combination with other therapeutic modalities;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effects of a public health pandemic or epidemic such as the COVID-19 pandemic or of adverse geopolitical events, regulatory, legislative or administrative developments.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revenues from our other products and our receipt of royalties under our collaboration agreements, including our agreements with Novartis Pharmaceutical International Ltd.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and other healthcare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the drug products marketed by us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Governments and other third-party payors continue to pursue initiatives to manage drug costs. Pricing and reimbursement for our products may be adversely affected by a number of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actions of federal, state and foreign governments and other third-party payors to implement or modify laws, regulations or policies addressing payment and reimbursement for drugs;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pressure by employers on private health insurance plans to reduce costs or moderate cost increases, as well as continued public scrutiny of the price of drugs and other healthcare costs;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pressure on healthcare budgets resulting from macroeconomic factors such as inflation, rising interest rates and the economic effects of geopolitical conflicts;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many markets outside of the United States, including countries of the European Union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Third-party payors are increasingly challenging the prices charged for medical products and services, and payors and employers are adopting benefit plan changes that shift a greater portion of prescription drug costs to patients. </w:t>
      </w:r>
      <w:r>
        <w:rPr>
          <w:rFonts w:ascii="Times New Roman;serif" w:hAnsi="Times New Roman;serif"/>
          <w:b w:val="false"/>
          <w:color w:val="000000"/>
          <w:sz w:val="20"/>
          <w:shd w:fill="FFFFFF" w:val="clear"/>
        </w:rPr>
        <w:t xml:space="preserve">Third party pharmacy benefit managers </w:t>
      </w:r>
      <w:r>
        <w:rPr>
          <w:rFonts w:ascii="Times New Roman;serif" w:hAnsi="Times New Roman;serif"/>
          <w:b w:val="false"/>
          <w:color w:val="000000"/>
          <w:sz w:val="20"/>
        </w:rPr>
        <w:t>(PBMs)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other similar organizations </w:t>
      </w:r>
      <w:r>
        <w:rPr>
          <w:rFonts w:ascii="Times New Roman;serif" w:hAnsi="Times New Roman;serif"/>
          <w:b w:val="false"/>
          <w:color w:val="000000"/>
          <w:sz w:val="20"/>
          <w:shd w:fill="FFFFFF" w:val="clear"/>
        </w:rPr>
        <w:t>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w:t>
      </w:r>
      <w:r>
        <w:rPr>
          <w:color w:val="000000"/>
        </w:rPr>
        <w:t xml:space="preserve"> </w:t>
      </w:r>
      <w:r>
        <w:rPr>
          <w:rFonts w:ascii="Times New Roman;serif" w:hAnsi="Times New Roman;serif"/>
          <w:b w:val="false"/>
          <w:color w:val="000000"/>
          <w:sz w:val="20"/>
        </w:rPr>
        <w:t>There has been significant consolidation in the health insurance industry, resulting in large insurers and PBMs exerting greater pressure and leverage in pricing and usage negotiations with drug manufacturers. P</w:t>
      </w:r>
      <w:r>
        <w:rPr>
          <w:rFonts w:ascii="Times New Roman;serif" w:hAnsi="Times New Roman;serif"/>
          <w:b w:val="false"/>
          <w:color w:val="000000"/>
          <w:sz w:val="20"/>
          <w:shd w:fill="FFFFFF" w:val="clear"/>
        </w:rPr>
        <w:t xml:space="preserve">ayors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decide to exclude</w:t>
      </w:r>
      <w:r>
        <w:rPr>
          <w:color w:val="000000"/>
          <w:shd w:fill="FFFFFF" w:val="clear"/>
        </w:rPr>
        <w:t xml:space="preserve"> </w:t>
      </w:r>
      <w:r>
        <w:rPr>
          <w:rFonts w:ascii="Times New Roman;serif" w:hAnsi="Times New Roman;serif"/>
          <w:b w:val="false"/>
          <w:color w:val="000000"/>
          <w:sz w:val="20"/>
          <w:shd w:fill="FFFFFF" w:val="clear"/>
        </w:rPr>
        <w:t>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w:t>
      </w:r>
      <w:r>
        <w:rPr>
          <w:color w:val="000000"/>
        </w:rPr>
        <w:t xml:space="preserve"> </w:t>
      </w:r>
      <w:r>
        <w:rPr>
          <w:rFonts w:ascii="Times New Roman;serif" w:hAnsi="Times New Roman;serif"/>
          <w:b w:val="false"/>
          <w:color w:val="000000"/>
          <w:sz w:val="20"/>
          <w:shd w:fill="FFFFFF" w:val="clear"/>
        </w:rPr>
        <w:t>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w:t>
      </w:r>
      <w:r>
        <w:rPr>
          <w:color w:val="000000"/>
        </w:rPr>
        <w:t xml:space="preserve"> </w:t>
      </w:r>
      <w:r>
        <w:rPr>
          <w:rFonts w:ascii="Times New Roman;serif" w:hAnsi="Times New Roman;serif"/>
          <w:b w:val="false"/>
          <w:color w:val="000000"/>
          <w:sz w:val="20"/>
          <w:shd w:fill="FFFFFF" w:val="clear"/>
        </w:rPr>
        <w:t>If we are unsuccessful in obtaining and maintaining broad coverage and reimbursement for our products, our anticipated revenue from and growth prospects for our products could be negatively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the ability of non-profit organizations to provide assistance to patients is dependent on funding from external sources, and we cannot guarantee that such funding will be provided at adequate levels, or at all.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Risks related to proposed changes in government regulations and healthcare reform measures are described below under “Other Risks Relating to our Business—Healthcare reform measures could impact the pricing and profitability of pharmaceuticals, and adversely affect the commercial viability of our or our collaborators’ products and drug candidates. If recent proposals for changes to Medicare and Medicaid reimbursement of drug prices are adopted into law, our results of operations and financial condition could be harmed.”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Lilly are affected by similar considerations for the drugs that they market and for which we may receive royalties.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our products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continuing to establish and maintain sales, marketing and distribution capabilities for our products. Successful commercialization of our drug candidates requires us to establish new physician and payor relationships, PBM and pharmacy network relationships, reimbursement strategies and governmental interactions, separate from our existing capabilities. Our inability to successfully commercialize our products could harm our business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comply with applicable laws and regulations, we could lose our approval to market our products or be subject to other governmental enforcement activity, and we could face increased costs, penalties and a loss of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guarantee that we will be able to maintain regulatory approval to market our products in the jurisdictions in which they are currently marketed. If we do not maintain our regulatory approval to market our products,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It is possible that future sales of JAKAFI and OPZELURA could be negatively affected as a result of the “boxed” warnings, which could have a material and adverse effect on our business,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comply with the laws and regulations administered by the FDA or other agencies could result 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administrative and judicial sanctions, including warning letters;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fines and other civil penalties;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suspension or withdrawal of regulatory approval to market or manufacture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interruption of production;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operating restrictions;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product recall or seizure;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injunctions;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criminal prosecution.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such event may have a material adverse effect on our business.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disruptions at the FDA and other regulatory agencies could prevent those agencies from performing normal business functions on which the operation of our business relies, which could negatively impact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testing, manufacturing, marketing and sale of our products could expose us to product liability and other risks. Side effects and other problems experienced by patients from the use of our products</w:t>
      </w:r>
      <w:r>
        <w:rPr>
          <w:color w:val="000000"/>
        </w:rPr>
        <w:t xml:space="preserve"> </w:t>
      </w:r>
      <w:r>
        <w:rPr>
          <w:rFonts w:ascii="Times New Roman;serif" w:hAnsi="Times New Roman;serif"/>
          <w:b w:val="false"/>
          <w:color w:val="000000"/>
          <w:sz w:val="20"/>
        </w:rPr>
        <w:t>could: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lessen the frequency with which physicians decide to prescribe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encourage physicians to stop prescribing our products to their patients who previously had been prescribed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cause serious harm to patients that may give rise to product liability claims against us;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result in our need to withdraw or recall our products from the marketplace.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products are used by a wide patient population, new risks and side effects may be discovered, the rate of known risks or side effects may increase, and risks previously viewed as less significant could be determined to be significant.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our approved products in diseases for potential additional indications in controlled clinical settings, and independent investigators are doing so as well. In the event of any new risks or adverse effects discovered as new patients are treated and as our products are studied in or used by patients for off-label indications, regulatory authorities may delay or revoke their approvals, we may be required to conduct additional clinical trials, make changes in labeling of our products, reformulate our products or make changes and obtain new approvals. We may also experience a significant drop in the sales of our products, experience harm to our reputation and the reputation of our products in the marketplace or become subject to lawsuits, including class actions. Any of these results could decrease or prevent sales of our products or substantially increase the costs and expenses of commercializing our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similar to those listed above also apply to our collaborators in the jurisdictions in which they have development and commercialization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market our products in a manner that violates various laws and regulations, we may be subject to civil or criminal penalties.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FDA and related regulatory requirements, we are subject to healthcare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or state-financed healthcare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EU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U.S. federal government has enacted the Physician Payment Sunshine provisions. These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healthcare industry, we could face increased costs, penalties and a loss of business”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Competition for our products could harm our business and result in a decrease in our revenue.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Business—Competition” in our Annual Report on Form 10-K for the year ended December 31, 2025 for additional information regarding the effects of competition. If we are unable to compete successfully, our commercial opportunities will be reduced and our business, results of operations and financial conditions may be materially harmed.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or other version of an innovative pharmaceutical by filing with the FDA an Abbreviated New Drug Application (“ANDA”) or a New Drug Application (“NDA”) pursuant to section 505(b)(2) of the Federal Food, Drug, and Cosmetic Act (the “FDCA”). The Hatch-Waxman Act provides significant incentives to generic manufacturers to challenge U.S. patents on successful innovative pharmaceutical products. We have received a notice letter from each of Apotex, Inc., Hikma Pharmaceuticals USA Inc., Sun Pharmaceutical Industries Inc., Granules India Ltd., Dr. Reddy’s Laboratories, Inc., Eugia Pharma Specialties, Ltd., and Alkem Laboratories Ltd., which we refer to as the Generic JAKAFI Manufacturers, notifying us that each has filed an ANDA requesting approval to market a generic version of JAKAFI and that contains a paragraph IV certification purporting to challenge one or more patents covering ruxolitinib composition of matter and its use that expire (with pediatric extension) in June 2028 and patents covering ruxolitinib phosphate and its use that expire (with pediatric extension) in December 2028. We have also received a separate notice letter from Apotex, Inc. regarding its filing of an NDA pursuant to section 505(b)(2) of the FDCA that requested to rely, in part, on the FDA’s previously published findings of safety and efficacy for JAKAFI and that contains a paragraph IV certification purporting to challenge patents covering ruxolitinib composition of matter and its use that expire (with pediatric extension) in June 2028 and patents covering ruxolitinib phosphate and its use that expire (with pediatric extension) in December 2028. In response, we filed patent infringement actions against each of the Generic JAKAFI Manufacturers (including with respect to both the ANDA and 505(b)(2) NDA for Apotex, Inc.) in the U.S. District Court for the District of New Jersey asserting certain FDA Orange-Book-listed patents for JAKAFI. In October 2025 and February 2026, we entered into a confidential settlement agreement with Hikma Pharmaceuticals USA Inc. and Granules India Ltd., respectively, settling all outstanding claims in the Hikma and Granules litigations. The actions against the other Generic JAKAFI Manufacturers remain pending.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ICLUSIG currently competes with existing therapies that are approved for the treatment of patients with chronic myeloid leukemia (“CML”) who are resistant or intolerant to prior tyrosine kinase inhibitor (“TKI”) therapies, on the basis of, among other things, efficacy, cost, breadth of approved use and the safety and side-effect profile. In addition, generic versions of imatinib are available. Given ICLUSIG’s various indication statements globally that are currently focused on resistant or intolerant CML, we currently believe that generic versions of imatinib will not materially impact our commercialization of ICLUSIG but we cannot be certain how physicians, payors, patients, regulatory authorities and other market participants will respond to the availability of generic versions of imatinib.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for OPZELURA include existing over-the-counter topical treatments and prescription topical treatments, as well as oral and injectable therapies, from major pharmaceutical and biotechnology companies, and companies that produce generic versions of prescription treatments. We have received a notice letter from each of Padagis Israel Pharmaceuticals Ltd., Taro Pharmaceuticals Inc., Zydus Lifesciences Limited and Encube Ethicals Private Limited, which we refer to as the Generic OPZELURA Manufacturers, notifying us that each has filed an ANDA requesting approval to market a generic version of OPZELURA and that contains a paragraph IV certification purporting to challenge one or more patents covering ruxolitinib phosphate cream and its uses that expire in 2031 and 2040. None of the notice letters challenge the ruxolitinib or ruxolitinib phosphate composition of matter patents, providing patent coverage (with pediatric extension) until December 2028, and the notice letter from Zydus Lifesciences Limited also does not challenge certain patents covering ruxolitinib phosphate cream and its uses, providing patent coverage (with pediatric extension) until November 2031. In response to the notice letters, we filed patent infringement actions against each of the Generic OPZELURA Manufacturers in the U.S. District Court for the District of New Jersey asserting certain FDA Orange Book-listed patents for OPZELURA. Each of these actions remains pending.</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patents will be upheld or that any litigation in which we might engage with any generic manufacturer will be successful in protecting exclusivity of our products. The entry of a competitive drug product from another company or a generic version of one of our products could result in a decrease in sales of our products and materially harm our business, operating results,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similar to those listed above also apply to our collaborator Novartis for JAKAVI and TABRECTA in the jurisdictions in which it has commercialization rights and to our collaborator Lilly for OLUMIANT in all jurisdictions.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OTHER RISKS RELATING TO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or our collaborators may be unsuccessful in our efforts to discover and develop drug candidates and commercialize drug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hire and retain key employees;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high quality therapeutic targets;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potential drug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 products internally or license or acquire drug candidates from others;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and enroll suitable human subjects, either in the United States or abroad, for our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complete laboratory testing;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commence, conduct and complete safe and effective clinical trials on humans;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and maintain necessary intellectual property rights to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and maintain necessary regulatory approvals for our products, both in the United States and abroad;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enter into arrangements with third parties to provide services or to manufacture our products on our behalf;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deploy sales, marketing, distribution and manufacturing resources effectively or enter into arrangements with third parties to provide these functions in compliance with all applicable 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appropriate coverage and reimbursement levels for the cost of our products from governmental authorities, private health insurers and other third-party payors;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lease facilities at reasonable rates to support our growth;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arrangements with third parties to license and commercialize our products.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receives marketing approval, it may not be able to achieve market acceptance or compete successfully with our competitors’ products and we may never realize a return on the significant amount of time and money invested in the drug candidate, which could adversely affect our operating results and financial condition as well as our business plans. Of the compounds or biologics that we identify as potential drug products or that we in-license from other companies, including potential products for which we are conducting clinical trials, only a few, if any, are likely to lead to successful drug development programs and commercialized drug products.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failure of our or our collaborators’ products to gain acceptance in the marketplace could negatively impact demand for our products and could materially and adversely affect our results of operations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our or our collaborators’ drug candidates receive regulatory approval in the United States or foreign jurisdictions, the market success of these products will be adversely affected if they are unable to achieve and maintain market acceptance by patients, providers and payors. Demand for our products could be adversely affected if providers elect a course of treatment which does not include our or our collaborators’ approved products. The market success of our products depends on our ability to successfully communicate the safety and efficacy of our and our collaborator’s products, and the failure to do so could adversely impact our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or our collaborators are unable to obtain regulatory approval for our drug candidates in the United States or foreign jurisdictions, we or our collaborators will not be permitted to commercialize products resulting from our research.</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high degree of risk and uncertainty associated with drug development;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inability to formulate or manufacture sufficient quantities of materials for use in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variability in the number and types of patients available for each study;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difficulty in maintaining contact with patients after treatment, resulting in incomplete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unforeseen safety issues or side effects;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poor or unanticipated effectiveness of drug candidates during the clinical trials;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 or regulatory delays.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Delays in FDA approval of drug candidates may also result from other factors such as funding limitations, staffing reductions or other resource restrictions, any of which could have an adverse effect on the regulatory approval process. Further,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 release tablets, which identified additional requirements for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Compounds or biologics developed by us or with or by our collaborators and licensees may not prove to be safe and effective in clinical trials and may not meet all of the applicable regulatory requirements needed to receive marketing approval. For example,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the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our investment thesis for drug candidates, resulting in withdrawal of approval applications.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Healthcare reform measures could impact the pricing and profitability of pharmaceuticals, and adversely affect the commercial viability of our or our collaborators’ products and drug candidates. If recent proposals for changes to Medicare and Medicaid reimbursement of drug prices are adopted into law, our results of operations and financial condition could be harmed.</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through legislative and regulatory actions and executive orders, the U.S. federal government has made substantial changes to various payment systems under the Medicare and other federal healthcare programs. Comprehensive reforms to the U.S. healthcare system were enacted, including changes to the methods for, and amounts of, Medicare reimbursement. For example, the American Rescue Plan Act of 2021 includes a provision that became effective in January 2024 that eliminated the statutory cap on rebates that drug manufacturers pay to Medicaid. It is expected that this provision, as implemented by the Centers for Medicare and Medicaid Services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which started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material adverse affects to our revenue and the curtailing or, in some case, the ceasing of our research and development efforts.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trend toward managed healthcare in the United States as well as legislative and regulatory proposals to reform healthcare or address the cost of government insurance programs may all result in lower prices for, or rejection of, our products. Managed healthcare organizations could control or significantly influence the purchase of healthcare services and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continuing efforts of legislatures, health agencies and third-party payors to contain or reduce the costs of healthcare,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government pricing policies, including the enactment of “most favored nation” pricing legislation, could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results of operations, and cash flows could be materially and adversely affected by changes in government pricing policies, including recently proposed or enacted “most favored nation” (MFN) pricing legislation or executive actions. For example, an executive order issued on May 12, 2025, directed the Department of Health and Human Services to establish MFN price targets, and, if progress toward these targets is insufficient, to pursue rulemaking that could require sale of certain products in the U.S. at prices no higher than those in comparable developed nations. The extent, timing, and ultimate effect of this policy are uncertain, and we cannot predict the potential impact on our pricing, reimbursement, or profitability.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our out-licensed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and lead to our loss of potential revenues from product sales and milestones.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and license agreements. These disputes have led and could in the future lead to litigation or arbitration, which could be costly and divert the efforts of our management and scientific staff and could diminish the expected effectiveness of the collaboration.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existing collaborative and license agreements can be terminated by our collaborators and licensees for convenience, in addition to other circumstances. If any of our collaborators or licensees terminates its agreement with us, or terminates its rights with respect to certain indications or drug candidates, we may not be able to find a replacement collaborator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We cannot be sure that potential conflicts will not arise or be alleged among our existing or future collaborations. If a business combination involving a collaborator or licensee and a third-party were to occur, the effect could be to terminate or cause delays in the development of our drug candidate.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enter into additional licensing agreements or if these arrangements are unsuccessful, our business and operations might be adversely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 targets that fit within our focus, such as our collaborations with MacroGenics, Inc. (“MacroGenics”), Merus N.V. (“Merus”)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Inc. and Syros Pharmaceuticals, Inc.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have been applied for other uses or we may have to expend funds that were not otherwise budgeted or anticipated in connection with the collaboration, and such developments could have a material adverse effect on our stock price and our ability to pursue other transactions. As discussed above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have also licensed, and may in the future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Public health epidemics and pandemics, such as the COVID-19 pandemic, have adversely affected and could in the future adversely affect our business,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COVID-19 pandemic we experienced, and as a result of future pandemics we may in the future experience, disruptions with the potential to severely impact our business, results of operations and financial condition. These disruptions can include the following: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imposition of shelter-in-place orders and work-from-home policies that could affect our research and development activities and access to our laboratory space;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disruptions in our sales and marketing activities;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negative impacts on the demand for our products as a result of a decrease in patient visits to healthcare professionals and the prioritization of hospital resources for a future pandemic;</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negative impacts on our clinical trials as a result of delays in site initiation, patient screening, patient enrollment, and monitoring and data collection;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slower response times by the FDA and comparable foreign regulatory agencies for the review and potential approvals of our drug candidate applications;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negative impacts on the global supply chain which may affect our ability to obtain sufficient materials for our drug products and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Even if a drug candidate that we develop receives regulatory approval, we may decide not to commercialize it if we determine that commercialization of that product would require more money and time than we are willing to invest.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limited capacity to conduct preclinical testing and clinical trials, and our resulting dependence on other parties could result in delays in and additional costs for our drug development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limited internal resources and capacity to perform preclinical testing and clinical trials. As part of our development strategy, we often hire contract research organizations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entity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reliance on third parties for manufacture of certain of our drug products and drug candidates could result in a short supply of the drugs, delays in clinical trials or drug development, increased costs, and withdrawal or denial of a regulatory authority’s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currently operate manufacturing facilities for most of our commercial products, including JAKAFI, PEMAZYRE, ICLUSIG, OPZELURA, ZYNYZ and NIKTIMVO, and our drug candidates. Our current manufacturing strategy for these products and drug candidates is to contract with third parties to manufacture the related raw materials, active pharmaceutical ingredient (“API”), and finished drug product. We have a biologics production facility located in Yverdon, Switzerland which is currently registered for MONJUVI/MINJUVI drug substance manufacturing. We are responsible for the sourcing and manufacturing of ZYNYZ together with our collaborator MacroGenics.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raw materials, API and finished product of our drug products and our other drug candidates.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 drug candidates or drug products, whether through conditions affecting the cost and availability of raw materials, such as inflation, decreases in available manufacturing capacity, or otherwise, would adversely affect our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Swiss facility or in obtaining necessary regulatory approvals and registrations to do so.</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manufacturing facility in Switzerland is subject to similar risks as those described above in relation to our third-party manufacturers. This facility may encounter unanticipated delays and expenses in operations due to a number of factors, including regulatory requirements. For example, our manufacturing facilities are subject to inspection in connection with clinical development and new drug approvals as well as ongoing, periodic inspections by regulatory agencies. Any failures or deficiencies identified by such inspections could delay or prevent our manufacturing activities. If our manufacturing operations are delayed, we may not be able to manufacture sufficient quantities of our drug candidates and approved drug products which could limit our development and commercialization activities and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the extensive legal and regulatory requirements affecting the healthcare industry, we could face increased costs, penalties and a loss of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and we have previously been subject to an inquiry relating to our speaker programs and patient assistance programs.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illegal distribution and sale by third parties of counterfeit or unfit versions of our or our collaborators’ products or stolen products could harm our business and reputation.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most of our drug discovery and development operations are conducted at our headquarters in Wilmington, Delaware, the loss of access to this facility would negatively impact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manage our growth effectively, our ability to develop and commercialize products could suffer.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February 2024 we entered into a purchase agreement with MorphoSys AG and MorphoSys US Inc.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unanticipated costs, delays or other operational or financial problems related to integrating the products, product candidates, technologies, business operations, systems, controls and personnel of an acquired company or asset with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failure to successfully develop and commercialize acquired products, product candidates or technologies or to achieve other strategic objectives;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delays or inability to progress preclinical programs into clinical development or unfavorable data from clinical trials evaluating acquired or licensed products or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disruption of our ongoing business and diversion of our management’s and employees’ attention from ongoing development of our existing business and other opportunities and challenges;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inability to achieve planned synergies or cost savings;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potential loss of key employees of an acquired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entry into markets in which we have no or limited direct prior experience or where competitors in such markets have stronger market positions;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uncertainties in our ability to maintain the key business relationships of any business we acquire;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risk that acquired businesses may have differing or inadequate cybersecurity and data protection controls;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exposure to litigation or other claims in connection with, or inheritance of claims or litigation risk as a result of, the strategic transaction, including claims from terminated employees, customers, former equity holders or other third parties.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processes in the U.S. and foreign jurisdictions may cause approvals to take longer than anticipated to obtain, or may not be obtained at all, or contain burdensome conditions such as required divestitures, which may jeopardize, delay or reduce the anticipated benefits of acquisitions to us and could impede the execution of our business strategy.</w:t>
      </w:r>
    </w:p>
    <w:p>
      <w:pPr>
        <w:pStyle w:val="TextBody"/>
        <w:bidi w:val="0"/>
        <w:spacing w:lineRule="auto" w:line="268" w:before="0" w:after="0"/>
        <w:ind w:left="0" w:right="0" w:firstLine="720"/>
        <w:jc w:val="both"/>
        <w:rPr/>
      </w:pPr>
      <w:r>
        <w:rPr>
          <w:rFonts w:ascii="Times New Roman;serif" w:hAnsi="Times New Roman;serif"/>
          <w:b w:val="false"/>
          <w:color w:val="000000"/>
          <w:sz w:val="20"/>
        </w:rPr>
        <w:t>As a result of these or other problems and risks, the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For example, in 2024 we acquired Escient Pharmaceuticals, Inc., but later in that year we stopped development of the two lead compounds acquired from Escient. We cannot be sure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several quarters of the last three fiscal years we recorded unrealized losses related to our investments in our collaboration partners,</w:t>
      </w:r>
      <w:r>
        <w:rPr>
          <w:color w:val="000000"/>
        </w:rPr>
        <w:t xml:space="preserve"> </w:t>
      </w:r>
      <w:r>
        <w:rPr>
          <w:rFonts w:ascii="Times New Roman;serif" w:hAnsi="Times New Roman;serif"/>
          <w:b w:val="false"/>
          <w:color w:val="000000"/>
          <w:sz w:val="20"/>
        </w:rPr>
        <w:t>and we may experience additional losses related to our investments in future periods. In addition, if we choose to issue equity securities as consideration for any acquisition, dilution to our stockholders could result.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Risks associated with our operations outside of the United States could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European operations and plan to continue to expand our operations and conduct certain development activities outside of the United States. For example, as part of our plans to expand our activities outside of the United States, we conduct some of our operations in Canada, have commercial and clinical development activities in Japan, maintain an office in China and are working with collaborative partners in additional markets. International operations and business expansion plans are subject to numerous additional risks,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and cost as we enter into additional jurisdictions;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difficulties in staffing and managing operations in diverse countries and difficulties in connection with assimilating and integrating any operations and personnel we might acquire into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risks associated with obtaining and maintaining, or the failure to obtain or maintain, regulatory approvals for the sale or use of our products in various countries;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complexities associated with managing government payor systems, multiple payor-reimbursement regimes or patient self-pay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financial risks, such as longer payment cycles, difficulty obtaining financing in foreign markets, difficulty enforcing contracts and intellectual property rights, difficulty collecting accounts receivable, exposure to foreign currency exchange rate fluctuations and increased costs due to tariffs;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general political and economic conditions in the countries in which we operate, including inflation, political or economic instability, terrorism and political unrest and geopolitical events;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public health risks, including epidemics and pandemics, and related effects on new patient starts, clinical trial activity, regulatory agency response times, supply chain, travel and employee health and availability;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could face substantial liabilities and may be required to limit commercialization of our products and our results of operations could be harmed.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damage our reputation, cause participants and investigators to withdraw from clinical trials, and encourage potential collaborators or licensees to seek other partners, any of which could impact our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Because our activities involve the use of hazardous materials, we may be subject to claims relating to improper handling, storage or disposal of these materials that could be time consuming and costly.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Business disruptions and uncertainties could seriously harm our operations, future revenues and financial condition and increase our costs and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and those of our CROs, suppliers, and other contractors and consultants, could be subject to business disruptions as a result of natural disasters, power and other infrastructure failures or shortages, public health pandemics or epidemics, and other natural or man-made disasters, as well as other business uncertainties as a result of international trade policies, including tariff and trade disputes, trade sanctions and import and export licensing requirements.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or other uncertainties could seriously harm our operations, future revenues and financial condition and increase our costs and expenses.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OUR FINANCIAL RESULTS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incur losses in the future, and we expect to continue to incur significant expenses to discover and develop drugs, which may make it difficult for us to achieve sustained profitability on a quarterly or annual basis in the future.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spend significant amounts on our efforts to discover and develop drugs, and if we are unable to generate revenues from our marketed drug products sufficient to offset our expenses we may incur losses in future periods. Our revenues, expenses and net income (loss) may fluctuate, even significantly, due to the risks described in these “Risk Factors” and the factors discussed in “Management’s Discussion and Analysis of Financial Condition and Results of Operations” appearing in Part II, Item 7 of this Annual Report on Form 10-K, as well as the timing of charges and expenses that we may take, including those relating to transactions such as acquisitions and the entry into collaborative agreements. In addition, revenues from JAKAFI currently make up the substantial majority of our total revenues, but we expect that revenues from JAKAFI will begin to decline once patent exclusivity expires in 2028. We cannot assure you that we will be able to generate revenues from our other marketed drug products to offset the expected decline in revenues from JAKAFI.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drug discovery and development efforts and related expenditures will increase as we expand our focus on the studies, including preclinical tests and clinical trials prior to seeking regulatory approval, that are required before we can sell a drug product.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development of drug products will require us to spend significant funds on research, development, testing, obtaining regulatory approvals, manufacturing and marketing. We cannot be sure that we will generate substantial revenues from any drug candidates that we license or develop for several years, if ever.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our marketed drug products, we may incur losses if our drug products do not generate significant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and we anticipate that we may need to raise additional capital to fund our business plan and research and development efforts going-forward.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factors that may affect our future funding requirements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acquisition of businesses, technologies, or drug candidates, or the licensing of technologies or drug candidates,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amount of revenues generated from our business activities;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any changes in the breadth of our research and development programs;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results of research and development, preclinical testing and clinical trials conducted by us or our current or future collaborators or licensees,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exercise of any co-development options with collaborators that may require us to fund future development;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for future facility requirements;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maintain and establish new corporate relationships and research collaborations;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competing technological and market developments;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time and costs involved in filing, prosecuting, defending and enforcing patent and intellectual property rights;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receipt or payment of contingent licensing or milestone fees or royalties on product sales from our current or future collaborative and license arrangements, if established;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timing of regulatory approvals, if 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marketable securities and equity investments are subject to risks that could adversely affect our overall financial 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under “Other Risks Relating to Our Business—We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loss in value of our equity investments could adversely affect our financial position on the consolidated balance sheets and consolidated statements of operations.</w:t>
      </w:r>
    </w:p>
    <w:p>
      <w:pPr>
        <w:pStyle w:val="TextBody"/>
        <w:bidi w:val="0"/>
        <w:spacing w:lineRule="auto" w:line="288" w:before="240" w:after="283"/>
        <w:jc w:val="both"/>
        <w:rPr/>
      </w:pPr>
      <w:r>
        <w:rPr>
          <w:rFonts w:ascii="Times New Roman;serif" w:hAnsi="Times New Roman;serif"/>
          <w:b/>
          <w:i/>
          <w:color w:val="000000"/>
          <w:sz w:val="20"/>
        </w:rPr>
        <w:t>Changes in tax laws or regulations could adversely affect our results of operations, business and financial condition.</w:t>
      </w:r>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in July 2025, U.S. federal tax legislation commonly referred to as the One Big Beautiful Bill Act was enacted, which, among other things, allows domestic research and development expenditures to be expensed for tax years beginning on or after January 1, 2025, with retroactive elections for such expenditures paid or incurred in the two prior years but also increases the effective tax rate on foreign-derived deduction eligible income (formerly known as “foreign-derived intangible income”) for tax years beginning on or after January 1, 2026. As another example, in August 2022, the Inflation Reduction Act of 2022 was enacted, which, among other things, includes a new 15% alternative minimum tax on the adjusted financial statement income of certain large corporations for tax years beginning after December 31, 2022.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In January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However, in January 2026, the OECD/G20 Inclusive Framework released its Side-by-Side (“SbS”) Safe Harbor package, which is intended to work “side-by-side” with the Pillar Two framework, offering a streamlined compliance pathway for large multinational enterprises. If an eligible multinational enterprise group elects the SbS Safe Harbor, any top-up tax under Pillar Two’s income inclusion rule and undertaxed profits rule is treated as zero for the group’s controlled domestic and foreign operations. The SbS Safe Harbor does not apply to 2024 and 2025. While we anticipate making the SbS Safe Harbor election for our tax year beginning on January 1, 2026, if we do not obtain side-by-side tax treatment, we could experience adverse consequences for tax provisions, tax liabilities and effective tax rate. Any new tax legislation or initiatives could not only significantly increase our tax provision, cash tax liabilities, compliance costs and effective tax rate, but could also significantly increase tax uncertainty due to differing interpretations and increased audit scrutiny.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incur additional tax liabilities related to our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 in the United States and the foreign jurisdictions in which we operate. We must make certain judgments in determining our worldwide tax liabilities, and our effective tax rate is derived from the applicable statutory tax rates and relative income in each taxing jurisdiction. We record liabilities for uncertain tax positions that involve significant estimation uncertainty or management judgments. Taxing authorities in the jurisdictions in which we operate may disagree with our interpretation of tax law or with the positions we may take with respect to particular tax issues.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and changes in tax laws or regulations.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a substantial portion of our total revenues from product royalties and milestone payments under our collaboration agreements, with royalties on JAKAVI and OLUMIANT representing most of our product royalty, milestone and contract revenues in each of the three most recently completed fiscal years. Future revenues from research and development collaborations depend upon the continuation of the collaborations, the achievement of milestones, and any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INTELLECTUAL PROPERTY AND LEGAL MATTERS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subject to arbitration, litigation and infringement claims, they could be costly and disrupt our drug discovery and development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success of our drug discovery and development efforts will depend on our ability to develop new compounds, drugs and technologies without infringing or misappropriating the proprietary rights of others. The technology that we use to make and develop our drug products, the technology that we incorporate in our products, and the products we are developing may be subject to claims that they infringe the patents or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be involved in future lawsuits or other legal proceedings alleging patent infringement or other intellectual property rights or contract violations. In addition, litigation or other legal proceedings may be necessary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assert claims of infringement;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enforce our patents or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protect our trade secrets or know-how;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determine the enforceability, scope and validity of the proprietary rights of others.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our approved products and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our approved products or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harm our business and result in a decrease in our revenue,” potential generic drug company competitors have challenged certain patents relating to JAKAFI and OPZELURA.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when we do not control the prosecution, maintenance and enforcement of certain important intellectual property rights, such as a drug candidate in-licensed to us or subject to a collaboration with a third-party, the protection of such intellectual property rights may not be in our hands. If we do not control the intellectual property rights in-licensed to us with respect to a drug candidate and the entity that controls such intellectual property rights does not adequately protect those rights, our rights may be impaired, which may impact our ability to develop, market and commercialize the in-licensed drug candidate.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means of protecting our proprietary rights may not be adequate, and our competitors may: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independently develop substantially equivalent proprietary information, products and techniques;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otherwise gain access to our proprietary information;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design around patents issued to us or our other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effective term of our patents is decreased or if we need to refile some of our patent applications, the value of our patent portfolio and the revenues we derive from it may be decreased.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value of our patents depends, in part, on their duration. A shorter period of patent protection could lessen the value of our rights under any patents that we obtain and may decrease the revenues we derive from our patents. U.S.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changes in U.S.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International patent protection is particularly uncertain and costly, and our involvement in opposition proceedings in foreign countries may result in the expenditure of substantial sums and management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RISKS RELATING TO INFORMATION TECHNOLOGY AND DATA PRIVACY </w:t>
      </w:r>
    </w:p>
    <w:p>
      <w:pPr>
        <w:pStyle w:val="TextBody"/>
        <w:bidi w:val="0"/>
        <w:spacing w:lineRule="auto" w:line="288" w:before="240" w:after="283"/>
        <w:jc w:val="both"/>
        <w:rPr/>
      </w:pPr>
      <w:r>
        <w:rPr>
          <w:rFonts w:ascii="Times New Roman;serif" w:hAnsi="Times New Roman;serif"/>
          <w:b/>
          <w:i/>
          <w:color w:val="000000"/>
          <w:sz w:val="20"/>
        </w:rPr>
        <w:t>Significant disruptions of information technology systems, breaches of data security, or unauthorized disclosures of personal information (including sensitive personal information) could adversely affect our business,</w:t>
      </w:r>
      <w:r>
        <w:rPr>
          <w:color w:val="000000"/>
        </w:rPr>
        <w:t xml:space="preserve"> </w:t>
      </w:r>
      <w:r>
        <w:rPr>
          <w:rFonts w:ascii="Times New Roman;serif" w:hAnsi="Times New Roman;serif"/>
          <w:b/>
          <w:i/>
          <w:color w:val="000000"/>
          <w:sz w:val="20"/>
        </w:rPr>
        <w:t>and could</w:t>
      </w:r>
      <w:r>
        <w:rPr>
          <w:color w:val="000000"/>
        </w:rPr>
        <w:t xml:space="preserve"> </w:t>
      </w:r>
      <w:r>
        <w:rPr>
          <w:rFonts w:ascii="Times New Roman;serif" w:hAnsi="Times New Roman;serif"/>
          <w:b/>
          <w:i/>
          <w:color w:val="000000"/>
          <w:sz w:val="20"/>
        </w:rPr>
        <w:t xml:space="preserve">subject us to liability or reputational damage.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continuously evaluating and, where appropriate, enhancing our IT systems to address our planned growth, including to support our manufacturing operations. There are inherent costs and risks associated with implementing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the Health Insurance Portability and Accountability Act,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pStyle w:val="TextBody"/>
        <w:bidi w:val="0"/>
        <w:spacing w:lineRule="auto" w:line="288" w:before="240" w:after="240"/>
        <w:ind w:left="0" w:right="0" w:firstLine="720"/>
        <w:jc w:val="both"/>
        <w:rPr/>
      </w:pPr>
      <w:r>
        <w:rPr>
          <w:rFonts w:ascii="Times New Roman;serif" w:hAnsi="Times New Roman;serif"/>
          <w:b w:val="false"/>
          <w:color w:val="000000"/>
          <w:sz w:val="20"/>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many countries and jurisdictions in which we work globally have enacted or are proposing privacy and data protection laws and regulations which govern the collection and use of personal information and which may impose large fines and penalties for noncompliance. For example, in the EU under the General Data Protection Regulation, potential fines for noncompliance are up to €20 million or 4% of annual global revenue, whichever is greater. Further, some jurisdictions provide for private rights of action if data breaches result in the loss or theft of personal data. These laws and regulations may also require, as applicable, that we: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ensure individuals to whom personal information relates are informed about how their personal information is collected and processed;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keep personal information confidential and secure;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transfer personal information in a compliant manner;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respond to requests from individuals about their personal information;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inform authorities and individuals as may be applicable about any data breaches.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obligations may increase our costs of doing business and the varying requirements among all countries and jurisdictions in which we work can complicate our compliance efforts.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Increasing use of social media could give rise to liability, breaches of data security, or reputational damage.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employees are increasingly using social media tools as a means of communication both internally and externally. Despite our efforts to monitor evolving social media communication, our internal guidelines regarding the appropriate use of social media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Increasing use of artificial intelligence-based software and tools creates new risks and challenges that could adversely affect our business or cause reputational harm.</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artificial intelligence is increasing in the biopharmaceutical industry for research, marketing, manufacturing and commercialization purposes, and we anticipate increasing our use of technology that incorporates artificial intelligence in the future. As with many developing technologies, artificial intelligence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may also lead to the release of confidential proprietary information, which may impact our ability to realize the benefit of our intellectual property.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failures or disruptions in any artificial intelligence functionality we incorporate into our business activities or products could adversely impact our business or result in delays or errors. Conversely, any failure to successfully develop and deploy artificial intelligence in our business activities or products could adversely affect our competitiveness (particularly if our competitors successfully deploy artificial intelligence in their businesses, products and services), and the development and deployment of artificial intelligence will require additional investment and increase our costs. The use of artificial intelligence is subject to rapidly evolving laws and regulations. Compliance with these laws and regulations may impose operational costs and limit our ability to use artificial intelligence-based software and tools, and failure to comply may result in potential government actions, litigation, fines, penalties, and brand or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On April 28, 2026, the Company announced that it has appointed Suketu Upadhyay as Executive Vice President and Chief Financial Officer of the Company, effective as of May 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Upadhyay, age 57, previously served as Chief Financial Officer and Executive Vice President, Finance, Operations &amp; Supply Chain of Zimmer Biomet, a medical device company. He was appointed to this role in August 2023, having first joined Zimmer Biomet in 2019 as Executive Vice President and Chief Financial Officer. Prior to joining Zimmer Biomet, Mr. Upadhyay served as Senior Vice President, Global Financial Operations at Bristol Myers Squibb (“BMS”) from November 2016 until June 2019, where he was responsible for strategic and operational initiatives across BMS’s supply chain, commercial operations, R&amp;D and business development. Prior to that, he served as Executive Vice President and Chief Financial Officer of Endo International and as an executive in various global finance and strategy leadership roles at BD (Becton, Dickinson and Company), including Interim Chief Financial Officer, Chief Accounting Officer and CFO of International. In addition, Mr. Upadhyay has also held several global finance and strategy roles at AstraZeneca and Johnson &amp; Johnson, including R&amp;D, supply chain, commercial operations and business development. Mr. Upadhyay spent the early part of his career in public accounting with KPMG, earning his CPA and CMA designations. He currently serves as a member of the board of directors for Vertex Pharmaceuticals, a publicly traded company, as well as CSC (Corporate Services Company), a privately held business solutions company. Mr. Upadhyay holds a Bachelor of Science in Finance from Albright College and an M.B.A. from The Fuqua School of Business at Duke University.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Upadhyay’s employment will be on an at-will basis. As Executive Vice President and Chief Financial Officer of the Company, Mr. Upadhyay will receive a base salary of $850,000 and will have a target cash bonus opportunity under the Company’s annual incentive compensation plan equal to 60% of his base salary. Upon commencement of employment, Mr. Upadhyay will receive (i) a $500,000 signing bonus, (ii) a performance share award for a target number of shares of the Company’s common stock calculated by dividing $1,250,000 by the average closing price of the common stock for the thirty trading days ending on and including the trading day immediately preceding the date of grant (the “Grant Date Average Price”) (and rounding down to the nearest whole share), which cliff vests on the third anniversary of the grant date, will be subject to the same terms as those performance awards issued to the Company’s other executive officers in mid-July 2025 in connection with the Company’s annual equity award grants, and can be earned at 0-200% of target based on the Company’s relative total share return (“TSR”) performance over a three-year performance period beginning on January 1, 2025 as compared to the TSR of companies in the same fixed peer group that was used for the Company’s July 2025 annual performance share awards to its other executive officers, (iii) a stock option award to acquire the number of shares of the Company’s common stock calculated by dividing $1,250,000 by the Black Scholes value of such option determined based on the Grant Date Average Price (and rounding down to the nearest whole share) and, consistent with the Company’s stock option awards to its executive officers, with a term of ten years and becoming exercisable as to one-fourth of the shares on the first anniversary of the date of grant, with the remaining shares vesting ratably each month thereafter over the following three years, with vesting subject to acceleration under certain circumstances relating to a change in control of the Company, and (iv) a grant of restricted stock units (“RSUs”) to acquire the number of shares of the Company’s common stock calculated by dividing $2,500,000 by the Grant Date Average Price (and rounding down to the nearest whole share), which RSUs will vest in equal installments on each of the first four anniversaries of the grant date, with vesting subject to acceleration under certain circumstances relating to a change in control of the Company.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employment, in accordance with the Company’s customary practice, Mr. Upadhyay will enter into an employment agreement on the same form as the Company’s employment agreements with its other Executive Vice Presidents. Mr. Upadhyay’s employment agreement will provide for certain payments and benefits in the event of termination of employment with the Company in connection with a change in control of the Company. A description of the Company’s employment agreements with its Executive Vice Presidents is set forth in the Company’s proxy statement on Schedule 14A for its annual meeting of stockholders held on June 10, 2025 under the caption “Executive Compensation—Termination of Employment and Change-in-Control Arrangements—Agreements with Other Named Executive Officers” and is incorporated herein by reference. In accordance with the Company’s customary practice, the Company and Mr. Upadhyay will also enter into an indemnity agreement, which requires the Company to indemnify Mr. Upadhyay against certain liabilities that may arise in connection with his status or service as an officer. The foregoing descriptions are respectively qualified in their entirety by the full text of the form of employment agreement, which has been filed as Exhibit 10.17 to the Company’s Annual Report on Form 10-K for the year ended December 31, 2025 (incorporated by reference to Exhibit 10.14 to the Company’s Annual Report on Form 10-K for the year ended December 31, 2012), and the form of indemnity agreement, which has been filed as Exhibit 10.15 to the Company’s Annual Report on Form 10-K for the year ended December 31, 2025 (incorporated by reference to Exhibit 10.5 to the Company’s Registration Statement on Form S-1 (File No. 33-68138)).</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Upadhyay and any other persons pursuant to which he was selected as Executive Vice President and Chief Financial Officer. Mr. Upadhyay has no family relationships with any of the Company’s directors or executive officers, and he has no direct or indirect material interest in any transaction required to be disclosed pursuant to Item 404(a)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During the three months ended March 31, 2026, the following director and officers (as defined in Rule 16a-1(f) under the Securities Exchange Act of 1934 (the “Exchange Act”)) of our Company adopted a prearranged trading plan relating to our common stock and intended to satisfy the affirmative defense of Rule 10b5-1(c) under the Exchange Act: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Paul Clancy, a director, adopted a trading plan on February 12, 2026 providing for the sale of up to an aggregate of 15,000 shares of our common stock until February 12, 2027.</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Thomas Tray, our Vice President, Chief Accounting Officer, adopted a trading plan on February 24, 2026 providing for the sale of up to an aggregate of 4,690 shares of our common stock until February 24, 2027.</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Steven Stein, our Chief Medical Officer and Head of Late-Stage Development, adopted a trading plan on March 16, 2026 providing for the sale of up to an aggregate of 207,534 shares of our common stock until March 17, 2027.</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(as defined in Rule 16a-1(f) under the Exchange Act) of our Company adopted or terminated any contract, instruction or written plan for the purchase or sale of our securities, whether or not intended to satisfy the affirmative defense conditions of Rule 10b5-1(c), other than as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14"/>
        <w:gridCol w:w="277"/>
        <w:gridCol w:w="278"/>
        <w:gridCol w:w="109"/>
        <w:gridCol w:w="109"/>
        <w:gridCol w:w="109"/>
        <w:gridCol w:w="2751"/>
        <w:gridCol w:w="2578"/>
        <w:gridCol w:w="3680"/>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both"/>
              <w:rPr/>
            </w:pPr>
            <w:hyperlink w:anchor="incy-3312026xex311.htm">
              <w:r>
                <w:rPr>
                  <w:rStyle w:val="InternetLink"/>
                  <w:rFonts w:ascii="Times New Roman;serif" w:hAnsi="Times New Roman;serif"/>
                  <w:b w:val="false"/>
                  <w:color w:val="0000EE"/>
                  <w:sz w:val="20"/>
                  <w:u w:val="single"/>
                </w:rPr>
                <w:t>Rule 13a-14(a) Certification of Chief Executive Officer</w:t>
              </w:r>
            </w:hyperlink>
            <w:r>
              <w:rPr>
                <w:rFonts w:ascii="Times New Roman;serif" w:hAnsi="Times New Roman;serif"/>
                <w:b w:val="false"/>
                <w:color w:val="0000EE"/>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ncy-3312026xex312.htm">
              <w:r>
                <w:rPr>
                  <w:rStyle w:val="InternetLink"/>
                  <w:rFonts w:ascii="Times New Roman;serif" w:hAnsi="Times New Roman;serif"/>
                  <w:b w:val="false"/>
                  <w:color w:val="0000EE"/>
                  <w:sz w:val="20"/>
                  <w:u w:val="single"/>
                </w:rPr>
                <w:t>Rule 13a-14(a) Certification of Principal Financial Officer</w:t>
              </w:r>
            </w:hyperlink>
            <w:r>
              <w:rPr>
                <w:rFonts w:ascii="Times New Roman;serif" w:hAnsi="Times New Roman;serif"/>
                <w:b w:val="false"/>
                <w:color w:val="0000EE"/>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ncy-3312026xex321.htm">
              <w:r>
                <w:rPr>
                  <w:rStyle w:val="InternetLink"/>
                  <w:rFonts w:ascii="Times New Roman;serif" w:hAnsi="Times New Roman;serif"/>
                  <w:b w:val="false"/>
                  <w:color w:val="0000EE"/>
                  <w:sz w:val="20"/>
                  <w:u w:val="single"/>
                </w:rPr>
                <w:t>Statement of the Chief Executive Officer under Section 906 of the Sarbanes-Oxley Act of 2002 (18 U.S.C. Section 1350)</w:t>
              </w:r>
            </w:hyperlink>
            <w:r>
              <w:rPr>
                <w:rFonts w:ascii="Times New Roman;serif" w:hAnsi="Times New Roman;serif"/>
                <w:b w:val="false"/>
                <w:color w:val="0000EE"/>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ncy-3312026xex322.htm">
              <w:r>
                <w:rPr>
                  <w:rStyle w:val="InternetLink"/>
                  <w:rFonts w:ascii="Times New Roman;serif" w:hAnsi="Times New Roman;serif"/>
                  <w:b w:val="false"/>
                  <w:color w:val="0000EE"/>
                  <w:sz w:val="20"/>
                  <w:u w:val="single"/>
                </w:rPr>
                <w:t>Statement of the Principal Financial Officer under Section 906 of the Sarbanes-Oxley Act of 2002 (18 U.S.C. Section 1350)</w:t>
              </w:r>
            </w:hyperlink>
            <w:r>
              <w:rPr>
                <w:rFonts w:ascii="Times New Roman;serif" w:hAnsi="Times New Roman;serif"/>
                <w:b w:val="false"/>
                <w:color w:val="0000EE"/>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cf47215fef144a2e89a58e7bc180876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090" w:type="dxa"/>
        <w:jc w:val="left"/>
        <w:tblInd w:w="0" w:type="dxa"/>
        <w:tblLayout w:type="fixed"/>
        <w:tblCellMar>
          <w:top w:w="28" w:type="dxa"/>
          <w:left w:w="28" w:type="dxa"/>
          <w:bottom w:w="28" w:type="dxa"/>
          <w:right w:w="28" w:type="dxa"/>
        </w:tblCellMar>
      </w:tblPr>
      <w:tblGrid>
        <w:gridCol w:w="683"/>
        <w:gridCol w:w="600"/>
        <w:gridCol w:w="606"/>
        <w:gridCol w:w="352"/>
        <w:gridCol w:w="352"/>
        <w:gridCol w:w="352"/>
        <w:gridCol w:w="1502"/>
        <w:gridCol w:w="1502"/>
        <w:gridCol w:w="2141"/>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INCYTE CORPORATION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28, 2026</w:t>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28, 2026</w:t>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TRAY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Thomas Tray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J. Meury,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Incyte Corporation;</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502" w:type="dxa"/>
        <w:jc w:val="left"/>
        <w:tblInd w:w="0" w:type="dxa"/>
        <w:tblLayout w:type="fixed"/>
        <w:tblCellMar>
          <w:top w:w="28" w:type="dxa"/>
          <w:left w:w="28" w:type="dxa"/>
          <w:bottom w:w="28" w:type="dxa"/>
          <w:right w:w="28" w:type="dxa"/>
        </w:tblCellMar>
      </w:tblPr>
      <w:tblGrid>
        <w:gridCol w:w="124"/>
        <w:gridCol w:w="109"/>
        <w:gridCol w:w="109"/>
        <w:gridCol w:w="631"/>
        <w:gridCol w:w="631"/>
        <w:gridCol w:w="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April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Thomas Tray,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Incyte Corporation;</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86" w:type="dxa"/>
        <w:jc w:val="left"/>
        <w:tblInd w:w="0" w:type="dxa"/>
        <w:tblLayout w:type="fixed"/>
        <w:tblCellMar>
          <w:top w:w="28" w:type="dxa"/>
          <w:left w:w="28" w:type="dxa"/>
          <w:bottom w:w="28" w:type="dxa"/>
          <w:right w:w="28" w:type="dxa"/>
        </w:tblCellMar>
      </w:tblPr>
      <w:tblGrid>
        <w:gridCol w:w="124"/>
        <w:gridCol w:w="109"/>
        <w:gridCol w:w="109"/>
        <w:gridCol w:w="1506"/>
        <w:gridCol w:w="1506"/>
        <w:gridCol w:w="2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TRAY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Tray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April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reference to the Quarterly Report of Incyte Corporation (the “Company”) on Form 10-Q for the quarter ended March 31, 2026, as filed with the Securities and Exchange Commission on the date hereof (the “Report”), I, William J. Meury, Chief Executive Officer of the Company, certify, for the purposes of 18 U.S.C. § 1350, as adopted pursuant to § 906 of the Sarbanes-Oxley Act of 2002, that, to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502" w:type="dxa"/>
        <w:jc w:val="left"/>
        <w:tblInd w:w="0" w:type="dxa"/>
        <w:tblLayout w:type="fixed"/>
        <w:tblCellMar>
          <w:top w:w="28" w:type="dxa"/>
          <w:left w:w="28" w:type="dxa"/>
          <w:bottom w:w="28" w:type="dxa"/>
          <w:right w:w="28" w:type="dxa"/>
        </w:tblCellMar>
      </w:tblPr>
      <w:tblGrid>
        <w:gridCol w:w="124"/>
        <w:gridCol w:w="109"/>
        <w:gridCol w:w="109"/>
        <w:gridCol w:w="631"/>
        <w:gridCol w:w="631"/>
        <w:gridCol w:w="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April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reference to the Quarterly Report of Incyte Corporation (the “Company”) on Form 10-Q for the quarter ended March 31, 2026, as filed with the Securities and Exchange Commission on the date hereof (the “Report”), I, Thomas Tray, Principal Financial Officer of the Company, certify, for the purposes of 18 U.S.C. § 1350, as adopted pursuant to § 906 of the Sarbanes-Oxley Act of 2002, that, to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486" w:type="dxa"/>
        <w:jc w:val="center"/>
        <w:tblInd w:w="0" w:type="dxa"/>
        <w:tblLayout w:type="fixed"/>
        <w:tblCellMar>
          <w:top w:w="28" w:type="dxa"/>
          <w:left w:w="28" w:type="dxa"/>
          <w:bottom w:w="28" w:type="dxa"/>
          <w:right w:w="28" w:type="dxa"/>
        </w:tblCellMar>
      </w:tblPr>
      <w:tblGrid>
        <w:gridCol w:w="124"/>
        <w:gridCol w:w="109"/>
        <w:gridCol w:w="109"/>
        <w:gridCol w:w="1506"/>
        <w:gridCol w:w="1506"/>
        <w:gridCol w:w="2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TRAY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Tray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April 28,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45809</Words>
  <Characters>260033</Characters>
  <CharactersWithSpaces>304193</CharactersWithSpaces>
  <Paragraphs>2383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