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640" w:right="300" w:hanging="326"/>
        <w:spacing w:after="0" w:line="267" w:lineRule="auto"/>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40" w:right="280" w:hanging="326"/>
        <w:spacing w:after="0" w:line="267" w:lineRule="auto"/>
        <w:tabs>
          <w:tab w:leader="none" w:pos="6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64" w:lineRule="exact"/>
        <w:rPr>
          <w:sz w:val="24"/>
          <w:szCs w:val="24"/>
          <w:color w:val="auto"/>
        </w:rPr>
      </w:pPr>
    </w:p>
    <w:p>
      <w:pPr>
        <w:ind w:left="348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3"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Delaware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548"/>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4"/>
              </w:rPr>
              <w:t>(IRS Employer</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4"/>
              </w:rPr>
              <w:t>incorporation or organization)</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7"/>
              </w:rPr>
              <w:t>Identification No.)</w:t>
            </w:r>
          </w:p>
        </w:tc>
      </w:tr>
      <w:tr>
        <w:trPr>
          <w:trHeight w:val="397"/>
        </w:trPr>
        <w:tc>
          <w:tcPr>
            <w:tcW w:w="680" w:type="dxa"/>
            <w:vAlign w:val="bottom"/>
          </w:tcPr>
          <w:p>
            <w:pPr>
              <w:spacing w:after="0"/>
              <w:rPr>
                <w:sz w:val="24"/>
                <w:szCs w:val="24"/>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2"/>
              </w:rPr>
              <w:t>1801 Augustine Cut-Off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5"/>
              </w:rPr>
              <w:t>Wilmington, DE 19803</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728"/>
              <w:spacing w:after="0"/>
              <w:rPr>
                <w:sz w:val="20"/>
                <w:szCs w:val="20"/>
                <w:color w:val="auto"/>
              </w:rPr>
            </w:pPr>
            <w:r>
              <w:rPr>
                <w:rFonts w:ascii="Arial" w:cs="Arial" w:eastAsia="Arial" w:hAnsi="Arial"/>
                <w:sz w:val="16"/>
                <w:szCs w:val="16"/>
                <w:b w:val="1"/>
                <w:bCs w:val="1"/>
                <w:color w:val="auto"/>
              </w:rPr>
              <w:t>19803</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2"/>
              </w:rPr>
              <w:t>(Zip Code)</w:t>
            </w:r>
          </w:p>
        </w:tc>
      </w:tr>
      <w:tr>
        <w:trPr>
          <w:trHeight w:val="320"/>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gridSpan w:val="2"/>
          </w:tcPr>
          <w:p>
            <w:pPr>
              <w:jc w:val="center"/>
              <w:ind w:left="204"/>
              <w:spacing w:after="0"/>
              <w:rPr>
                <w:sz w:val="20"/>
                <w:szCs w:val="20"/>
                <w:color w:val="auto"/>
              </w:rPr>
            </w:pPr>
            <w:r>
              <w:rPr>
                <w:rFonts w:ascii="Arial" w:cs="Arial" w:eastAsia="Arial" w:hAnsi="Arial"/>
                <w:sz w:val="16"/>
                <w:szCs w:val="16"/>
                <w:b w:val="1"/>
                <w:bCs w:val="1"/>
                <w:color w:val="auto"/>
                <w:w w:val="93"/>
              </w:rPr>
              <w:t>(302) 498-6700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40" w:type="dxa"/>
            <w:vAlign w:val="bottom"/>
            <w:gridSpan w:val="4"/>
          </w:tcPr>
          <w:p>
            <w:pPr>
              <w:jc w:val="center"/>
              <w:ind w:left="879"/>
              <w:spacing w:after="0"/>
              <w:rPr>
                <w:sz w:val="20"/>
                <w:szCs w:val="20"/>
                <w:color w:val="auto"/>
              </w:rPr>
            </w:pPr>
            <w:r>
              <w:rPr>
                <w:rFonts w:ascii="Arial" w:cs="Arial" w:eastAsia="Arial" w:hAnsi="Arial"/>
                <w:sz w:val="16"/>
                <w:szCs w:val="16"/>
                <w:color w:val="auto"/>
                <w:w w:val="91"/>
              </w:rPr>
              <w:t>(Registrant’s telephone number, including area code)</w:t>
            </w: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97"/>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4"/>
          </w:tcPr>
          <w:p>
            <w:pPr>
              <w:jc w:val="center"/>
              <w:ind w:left="8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tcPr>
          <w:p>
            <w:pPr>
              <w:spacing w:after="0"/>
              <w:rPr>
                <w:sz w:val="22"/>
                <w:szCs w:val="22"/>
                <w:color w:val="auto"/>
              </w:rPr>
            </w:pPr>
          </w:p>
        </w:tc>
        <w:tc>
          <w:tcPr>
            <w:tcW w:w="28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3760" w:type="dxa"/>
            <w:vAlign w:val="bottom"/>
            <w:gridSpan w:val="3"/>
          </w:tcPr>
          <w:p>
            <w:pPr>
              <w:jc w:val="center"/>
              <w:ind w:right="1259"/>
              <w:spacing w:after="0"/>
              <w:rPr>
                <w:sz w:val="20"/>
                <w:szCs w:val="20"/>
                <w:color w:val="auto"/>
              </w:rPr>
            </w:pPr>
            <w:r>
              <w:rPr>
                <w:rFonts w:ascii="Arial" w:cs="Arial" w:eastAsia="Arial" w:hAnsi="Arial"/>
                <w:sz w:val="14"/>
                <w:szCs w:val="14"/>
                <w:color w:val="auto"/>
                <w:w w:val="91"/>
              </w:rPr>
              <w:t>Common Stock, $.001 par value per share</w:t>
            </w:r>
          </w:p>
        </w:tc>
        <w:tc>
          <w:tcPr>
            <w:tcW w:w="400" w:type="dxa"/>
            <w:vAlign w:val="bottom"/>
          </w:tcPr>
          <w:p>
            <w:pPr>
              <w:spacing w:after="0"/>
              <w:rPr>
                <w:sz w:val="15"/>
                <w:szCs w:val="15"/>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color w:val="auto"/>
              </w:rPr>
              <w:t>INCY</w:t>
            </w:r>
          </w:p>
        </w:tc>
        <w:tc>
          <w:tcPr>
            <w:tcW w:w="3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105"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3" w:lineRule="exact"/>
        <w:rPr>
          <w:sz w:val="24"/>
          <w:szCs w:val="24"/>
          <w:color w:val="auto"/>
        </w:rPr>
      </w:pPr>
    </w:p>
    <w:p>
      <w:pPr>
        <w:ind w:left="1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360" w:space="720"/>
            <w:col w:w="3140"/>
          </w:cols>
          <w:pgMar w:left="840" w:top="665" w:right="839" w:bottom="1440" w:gutter="0" w:footer="0" w:header="0"/>
          <w:type w:val="continuous"/>
        </w:sectPr>
      </w:pPr>
    </w:p>
    <w:p>
      <w:pPr>
        <w:spacing w:after="0" w:line="44" w:lineRule="exact"/>
        <w:rPr>
          <w:sz w:val="24"/>
          <w:szCs w:val="24"/>
          <w:color w:val="auto"/>
        </w:rPr>
      </w:pPr>
    </w:p>
    <w:p>
      <w:pPr>
        <w:ind w:left="17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000" w:space="720"/>
            <w:col w:w="3500"/>
          </w:cols>
          <w:pgMar w:left="840" w:top="665" w:right="839" w:bottom="1440" w:gutter="0" w:footer="0" w:header="0"/>
          <w:type w:val="continuous"/>
        </w:sectPr>
      </w:pPr>
    </w:p>
    <w:p>
      <w:pPr>
        <w:spacing w:after="0" w:line="44" w:lineRule="exact"/>
        <w:rPr>
          <w:sz w:val="24"/>
          <w:szCs w:val="24"/>
          <w:color w:val="auto"/>
        </w:rPr>
      </w:pPr>
    </w:p>
    <w:p>
      <w:pPr>
        <w:ind w:left="6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220"/>
          </w:cols>
          <w:pgMar w:left="840" w:top="665" w:right="839" w:bottom="1440" w:gutter="0" w:footer="0" w:header="0"/>
          <w:type w:val="continuous"/>
        </w:sectPr>
      </w:pPr>
    </w:p>
    <w:p>
      <w:pPr>
        <w:spacing w:after="0" w:line="207" w:lineRule="exact"/>
        <w:rPr>
          <w:sz w:val="24"/>
          <w:szCs w:val="24"/>
          <w:color w:val="auto"/>
        </w:rPr>
      </w:pPr>
    </w:p>
    <w:p>
      <w:pPr>
        <w:ind w:right="26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20" w:right="1580"/>
        <w:spacing w:after="0" w:line="28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The number of outstanding shares of the registrant’s Common Stock, $.001 par value, was 221,505,011 as of 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535940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115570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158750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INCYTE CORPORATION</w:t>
            </w:r>
          </w:p>
        </w:tc>
        <w:tc>
          <w:tcPr>
            <w:tcW w:w="1720" w:type="dxa"/>
            <w:vAlign w:val="bottom"/>
          </w:tcPr>
          <w:p>
            <w:pPr>
              <w:spacing w:after="0"/>
              <w:rPr>
                <w:sz w:val="20"/>
                <w:szCs w:val="20"/>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2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rPr>
              <w:t>INDEX</w:t>
            </w:r>
          </w:p>
        </w:tc>
        <w:tc>
          <w:tcPr>
            <w:tcW w:w="1720" w:type="dxa"/>
            <w:vAlign w:val="bottom"/>
          </w:tcPr>
          <w:p>
            <w:pPr>
              <w:spacing w:after="0"/>
              <w:rPr>
                <w:sz w:val="24"/>
                <w:szCs w:val="24"/>
                <w:color w:val="auto"/>
              </w:rPr>
            </w:pPr>
          </w:p>
        </w:tc>
      </w:tr>
      <w:tr>
        <w:trPr>
          <w:trHeight w:val="338"/>
        </w:trPr>
        <w:tc>
          <w:tcPr>
            <w:tcW w:w="720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color w:val="0000EE"/>
                </w:rPr>
                <w:t>FINANCIAL INFORMATION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80" w:type="dxa"/>
            <w:vAlign w:val="bottom"/>
            <w:tcBorders>
              <w:top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1.</w:t>
              </w:r>
            </w:hyperlink>
          </w:p>
        </w:tc>
        <w:tc>
          <w:tcPr>
            <w:tcW w:w="12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120" w:type="dxa"/>
            <w:vAlign w:val="bottom"/>
            <w:gridSpan w:val="8"/>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3520" w:type="dxa"/>
            <w:vAlign w:val="bottom"/>
            <w:gridSpan w:val="7"/>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13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w:t>
              </w:r>
            </w:hyperlink>
          </w:p>
        </w:tc>
        <w:tc>
          <w:tcPr>
            <w:tcW w:w="206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274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2460" w:type="dxa"/>
            <w:vAlign w:val="bottom"/>
            <w:gridSpan w:val="4"/>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2.</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Forward-Looking Statements</w:t>
              </w:r>
            </w:hyperlink>
          </w:p>
        </w:tc>
        <w:tc>
          <w:tcPr>
            <w:tcW w:w="4340" w:type="dxa"/>
            <w:vAlign w:val="bottom"/>
            <w:gridSpan w:val="9"/>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Summary Risk Factors</w:t>
              </w:r>
            </w:hyperlink>
          </w:p>
        </w:tc>
        <w:tc>
          <w:tcPr>
            <w:tcW w:w="4800" w:type="dxa"/>
            <w:vAlign w:val="bottom"/>
            <w:gridSpan w:val="1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3.</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Item 4.</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200" w:type="dxa"/>
            <w:vAlign w:val="bottom"/>
            <w:gridSpan w:val="23"/>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53">
              <w:r>
                <w:rPr>
                  <w:rFonts w:ascii="Arial" w:cs="Arial" w:eastAsia="Arial" w:hAnsi="Arial"/>
                  <w:sz w:val="18"/>
                  <w:szCs w:val="18"/>
                  <w:b w:val="1"/>
                  <w:bCs w:val="1"/>
                  <w:color w:val="0000EE"/>
                </w:rPr>
                <w:t>OTHER INFORMATION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w w:val="94"/>
              </w:rPr>
            </w:pPr>
            <w:hyperlink w:anchor="page53">
              <w:r>
                <w:rPr>
                  <w:rFonts w:ascii="Arial" w:cs="Arial" w:eastAsia="Arial" w:hAnsi="Arial"/>
                  <w:sz w:val="18"/>
                  <w:szCs w:val="18"/>
                  <w:b w:val="1"/>
                  <w:bCs w:val="1"/>
                  <w:color w:val="0000EE"/>
                  <w:w w:val="94"/>
                </w:rPr>
                <w:t>Item 1A.</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540" w:type="dxa"/>
            <w:vAlign w:val="bottom"/>
            <w:gridSpan w:val="1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Item 6.</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PART I:</w:t>
        <w:tab/>
        <w:t>FINANCIAL INFORMATION</w:t>
      </w: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2,256,759</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2,057,440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tcPr>
          <w:p>
            <w:pPr>
              <w:ind w:left="200"/>
              <w:spacing w:after="0"/>
              <w:rPr>
                <w:sz w:val="20"/>
                <w:szCs w:val="20"/>
                <w:color w:val="auto"/>
              </w:rPr>
            </w:pPr>
            <w:r>
              <w:rPr>
                <w:rFonts w:ascii="Arial" w:cs="Arial" w:eastAsia="Arial" w:hAnsi="Arial"/>
                <w:sz w:val="16"/>
                <w:szCs w:val="16"/>
                <w:color w:val="auto"/>
                <w:w w:val="92"/>
              </w:rPr>
              <w:t>Marketable securities—available-for-sale (amortized cost $291,613 and $291,871 as of March</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Arial" w:cs="Arial" w:eastAsia="Arial" w:hAnsi="Arial"/>
                <w:sz w:val="16"/>
                <w:szCs w:val="16"/>
                <w:color w:val="auto"/>
                <w:w w:val="92"/>
              </w:rPr>
              <w:t>31, 2022 and December 31, 2021, respectively; allowance for credit losses $0 as of March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6"/>
                <w:szCs w:val="16"/>
                <w:color w:val="auto"/>
              </w:rPr>
              <w:t>2022 and December 31, 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287,401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290,752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562,344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126,278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300"/>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3,288,091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3,118,674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Restricted cash and investments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Long term investments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221,266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35,384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729,217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723,920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Finance lease right-of-use assets,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27,392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27,548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145,371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150,755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155,593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155,593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asset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465,369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467,538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 net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31,423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37,304</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5,054,221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4,933,352</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152,547</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172,110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Arial" w:cs="Arial" w:eastAsia="Arial" w:hAnsi="Arial"/>
                <w:sz w:val="16"/>
                <w:szCs w:val="16"/>
                <w:color w:val="auto"/>
              </w:rPr>
              <w:t>Accrued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83,657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108,962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and other current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533,595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Arial" w:cs="Arial" w:eastAsia="Arial" w:hAnsi="Arial"/>
                <w:sz w:val="16"/>
                <w:szCs w:val="16"/>
                <w:color w:val="auto"/>
              </w:rPr>
              <w:t>Finance lease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Acquisition-related contingent consideration</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300"/>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886,163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854,308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Acquisition-related contingent consideration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204,127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206,994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70,414</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1,191,149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1,163,348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Arial" w:cs="Arial" w:eastAsia="Arial" w:hAnsi="Arial"/>
                <w:sz w:val="16"/>
                <w:szCs w:val="16"/>
                <w:color w:val="auto"/>
                <w:w w:val="94"/>
              </w:rPr>
              <w:t>Preferred stock, $0.001 par value; 5,000,000 shares authorized; none issued or outstanding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$0.001 par value; 400,000,000 shares authorized; 221,409,550 and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221,084,433 shares issued and outstanding as of March 31, 2022 and December 31, 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4,625,780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4,567,111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(739,882)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(777,874)</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3,863,072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3,770,004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5,054,221</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4,933,352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619" w:hanging="10"/>
        <w:spacing w:after="0" w:line="235"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2021 has been derived from the audited consolidated financial statements at that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605,821</w:t>
            </w:r>
          </w:p>
        </w:tc>
        <w:tc>
          <w:tcPr>
            <w:tcW w:w="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504,811</w:t>
            </w: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99,907</w:t>
            </w: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Milestone and contract revenues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733,235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604,718</w:t>
            </w:r>
          </w:p>
        </w:tc>
        <w:tc>
          <w:tcPr>
            <w:tcW w:w="140" w:type="dxa"/>
            <w:vAlign w:val="bottom"/>
            <w:tcBorders>
              <w:bottom w:val="single" w:sz="8" w:color="CCEEFF"/>
            </w:tcBorders>
          </w:tcPr>
          <w:p>
            <w:pPr>
              <w:spacing w:after="0"/>
              <w:rPr>
                <w:sz w:val="18"/>
                <w:szCs w:val="18"/>
                <w:color w:val="auto"/>
              </w:rPr>
            </w:pPr>
          </w:p>
        </w:tc>
      </w:tr>
      <w:tr>
        <w:trPr>
          <w:trHeight w:val="209"/>
        </w:trPr>
        <w:tc>
          <w:tcPr>
            <w:tcW w:w="6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 (including definite-lived intangible amortization)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353,373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306,896</w:t>
            </w: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153,795</w:t>
            </w: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5,526</w:t>
            </w: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loss sharing</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4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505,921</w:t>
            </w:r>
          </w:p>
        </w:tc>
        <w:tc>
          <w:tcPr>
            <w:tcW w:w="140" w:type="dxa"/>
            <w:vAlign w:val="bottom"/>
            <w:shd w:val="clear" w:color="auto" w:fill="CCEEFF"/>
          </w:tcPr>
          <w:p>
            <w:pPr>
              <w:spacing w:after="0"/>
              <w:rPr>
                <w:sz w:val="18"/>
                <w:szCs w:val="18"/>
                <w:color w:val="auto"/>
              </w:rPr>
            </w:pPr>
          </w:p>
        </w:tc>
      </w:tr>
      <w:tr>
        <w:trPr>
          <w:trHeight w:val="209"/>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98,797</w:t>
            </w: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(1,407)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Unrealized loss on long term investments</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(46,585)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(27,709)</w:t>
            </w:r>
          </w:p>
        </w:tc>
      </w:tr>
      <w:tr>
        <w:trPr>
          <w:trHeight w:val="210"/>
        </w:trPr>
        <w:tc>
          <w:tcPr>
            <w:tcW w:w="6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69,322</w:t>
            </w: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140" w:type="dxa"/>
            <w:vAlign w:val="bottom"/>
            <w:tcBorders>
              <w:bottom w:val="single" w:sz="8" w:color="CCEEFF"/>
            </w:tcBorders>
          </w:tcPr>
          <w:p>
            <w:pPr>
              <w:spacing w:after="0"/>
              <w:rPr>
                <w:sz w:val="18"/>
                <w:szCs w:val="18"/>
                <w:color w:val="auto"/>
              </w:rPr>
            </w:pPr>
          </w:p>
        </w:tc>
      </w:tr>
      <w:tr>
        <w:trPr>
          <w:trHeight w:val="209"/>
        </w:trPr>
        <w:tc>
          <w:tcPr>
            <w:tcW w:w="6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6"/>
        </w:trPr>
        <w:tc>
          <w:tcPr>
            <w:tcW w:w="64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37,992</w:t>
            </w:r>
          </w:p>
        </w:tc>
        <w:tc>
          <w:tcPr>
            <w:tcW w:w="80" w:type="dxa"/>
            <w:vAlign w:val="bottom"/>
          </w:tcPr>
          <w:p>
            <w:pPr>
              <w:spacing w:after="0"/>
              <w:rPr>
                <w:sz w:val="22"/>
                <w:szCs w:val="22"/>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53,535</w:t>
            </w:r>
          </w:p>
        </w:tc>
        <w:tc>
          <w:tcPr>
            <w:tcW w:w="140" w:type="dxa"/>
            <w:vAlign w:val="bottom"/>
          </w:tcPr>
          <w:p>
            <w:pPr>
              <w:spacing w:after="0"/>
              <w:rPr>
                <w:sz w:val="22"/>
                <w:szCs w:val="22"/>
                <w:color w:val="auto"/>
              </w:rPr>
            </w:pPr>
          </w:p>
        </w:tc>
      </w:tr>
      <w:tr>
        <w:trPr>
          <w:trHeight w:val="196"/>
        </w:trPr>
        <w:tc>
          <w:tcPr>
            <w:tcW w:w="6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Shares used in computing net income per share: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219,801</w:t>
            </w:r>
          </w:p>
        </w:tc>
        <w:tc>
          <w:tcPr>
            <w:tcW w:w="140" w:type="dxa"/>
            <w:vAlign w:val="bottom"/>
            <w:shd w:val="clear" w:color="auto" w:fill="CCEEFF"/>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222,950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221,867</w:t>
            </w:r>
          </w:p>
        </w:tc>
        <w:tc>
          <w:tcPr>
            <w:tcW w:w="140" w:type="dxa"/>
            <w:vAlign w:val="bottom"/>
          </w:tcPr>
          <w:p>
            <w:pPr>
              <w:spacing w:after="0"/>
              <w:rPr>
                <w:sz w:val="20"/>
                <w:szCs w:val="20"/>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rPr>
          <w:sz w:val="20"/>
          <w:szCs w:val="20"/>
          <w:color w:val="auto"/>
        </w:rPr>
      </w:pPr>
      <w:r>
        <w:rPr>
          <w:rFonts w:ascii="Arial" w:cs="Arial" w:eastAsia="Arial" w:hAnsi="Arial"/>
          <w:sz w:val="18"/>
          <w:szCs w:val="18"/>
          <w:b w:val="1"/>
          <w:bCs w:val="1"/>
          <w:color w:val="auto"/>
        </w:rPr>
        <w:t>CONDENSED</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7"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Three Months Ended</w:t>
      </w:r>
    </w:p>
    <w:p>
      <w:pPr>
        <w:jc w:val="center"/>
        <w:ind w:left="65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7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53,535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Unrealized loss on marketable securities, net of tax</w:t>
            </w: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gain, net of tax</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34,399</w:t>
            </w:r>
          </w:p>
        </w:tc>
        <w:tc>
          <w:tcPr>
            <w:tcW w:w="80" w:type="dxa"/>
            <w:vAlign w:val="bottom"/>
          </w:tcPr>
          <w:p>
            <w:pPr>
              <w:spacing w:after="0"/>
              <w:rPr>
                <w:sz w:val="18"/>
                <w:szCs w:val="18"/>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3560"/>
              <w:spacing w:after="0"/>
              <w:rPr>
                <w:sz w:val="20"/>
                <w:szCs w:val="20"/>
                <w:color w:val="auto"/>
              </w:rPr>
            </w:pPr>
            <w:r>
              <w:rPr>
                <w:rFonts w:ascii="Arial" w:cs="Arial" w:eastAsia="Arial" w:hAnsi="Arial"/>
                <w:sz w:val="18"/>
                <w:szCs w:val="18"/>
                <w:color w:val="auto"/>
              </w:rPr>
              <w:t>See accompanying notes.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6700" w:type="dxa"/>
            <w:vAlign w:val="bottom"/>
          </w:tcPr>
          <w:p>
            <w:pPr>
              <w:ind w:left="44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For the Three Months Ended March 31, 2021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0"/>
                <w:szCs w:val="10"/>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Paid-in Capital</w:t>
            </w: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4,352,864</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(1,726,455)</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2,611,268</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Arial" w:cs="Arial" w:eastAsia="Arial" w:hAnsi="Arial"/>
                <w:sz w:val="16"/>
                <w:szCs w:val="16"/>
                <w:color w:val="auto"/>
              </w:rPr>
              <w:t>Issuance of 389,512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restricted stock units, net of shares withheld for taxes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20,027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20,028</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1,357 shares of Common Stock for services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47,903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47,903</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03"/>
        </w:trPr>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53,535</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53,535</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4,420,902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(20,358)</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(1,672,920)</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2,727,844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For the Three Months Ended March 31, 2022</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0"/>
                <w:szCs w:val="10"/>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Paid-in Capital</w:t>
            </w: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4,567,111</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(777,874)</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3,770,004</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Arial" w:cs="Arial" w:eastAsia="Arial" w:hAnsi="Arial"/>
                <w:sz w:val="16"/>
                <w:szCs w:val="16"/>
                <w:color w:val="auto"/>
              </w:rPr>
              <w:t>Issuance of 323,582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restricted stock units, net of shares withheld for taxes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14,237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14,237</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1,535 shares of Common Stock for services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44,320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44,320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03"/>
        </w:trPr>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37,992</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37,992</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4,625,780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(739,882)</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3,863,072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25" w:lineRule="auto"/>
        <w:rPr>
          <w:sz w:val="20"/>
          <w:szCs w:val="20"/>
          <w:color w:val="auto"/>
        </w:rPr>
      </w:pPr>
      <w:r>
        <w:rPr>
          <w:rFonts w:ascii="Arial" w:cs="Arial" w:eastAsia="Arial" w:hAnsi="Arial"/>
          <w:sz w:val="18"/>
          <w:szCs w:val="18"/>
          <w:b w:val="1"/>
          <w:bCs w:val="1"/>
          <w:color w:val="auto"/>
        </w:rPr>
        <w:t>(unaudited, in thousands)</w:t>
      </w:r>
    </w:p>
    <w:p>
      <w:pPr>
        <w:jc w:val="center"/>
        <w:ind w:left="6700"/>
        <w:spacing w:after="0" w:line="222" w:lineRule="auto"/>
        <w:rPr>
          <w:sz w:val="20"/>
          <w:szCs w:val="20"/>
          <w:color w:val="auto"/>
        </w:rPr>
      </w:pPr>
      <w:r>
        <w:rPr>
          <w:rFonts w:ascii="Arial" w:cs="Arial" w:eastAsia="Arial" w:hAnsi="Arial"/>
          <w:sz w:val="14"/>
          <w:szCs w:val="14"/>
          <w:b w:val="1"/>
          <w:bCs w:val="1"/>
          <w:color w:val="auto"/>
        </w:rPr>
        <w:t>Three Months Ended</w:t>
      </w:r>
    </w:p>
    <w:p>
      <w:pPr>
        <w:jc w:val="center"/>
        <w:ind w:left="670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37,992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Unrealized loss on long term investments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(13,971)</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(10,777)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(19,563)</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215,741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Sale of long term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(17,006)</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(48,083)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(39,301)</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 and maturities of marketable securities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Tax withholdings related to restricted and performance share vesting</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(13,473)</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color w:val="auto"/>
              </w:rPr>
              <w:t>Effect of exchange rates on cash, cash equivalents, restricted cash and investments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restricted cash and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2,059,160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1,514,765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2,258,459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1,671,611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15,764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March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business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and MONJUVI® (tafasitamab-cxix), which is co-commercialized. Our operations are treated as one operating segment.</w:t>
      </w:r>
    </w:p>
    <w:p>
      <w:pPr>
        <w:spacing w:after="0" w:line="172"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March 31, 2022, the condensed consolidated statements of operations, comprehensive income (loss), stockholders’ equity, and cash flows for the three months ended March 31, 2022 and 2021,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2021 has been derived from our audited consolidated financial statements.</w:t>
      </w:r>
    </w:p>
    <w:p>
      <w:pPr>
        <w:spacing w:after="0" w:line="17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2021.</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2021, which could have a significant effect on our condensed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 xml:space="preserve">Revenues are recognized under guidance within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4"/>
          </w:tcPr>
          <w:p>
            <w:pPr>
              <w:jc w:val="right"/>
              <w:ind w:right="69"/>
              <w:spacing w:after="0"/>
              <w:rPr>
                <w:sz w:val="20"/>
                <w:szCs w:val="20"/>
                <w:color w:val="auto"/>
              </w:rPr>
            </w:pPr>
            <w:r>
              <w:rPr>
                <w:rFonts w:ascii="Arial" w:cs="Arial" w:eastAsia="Arial" w:hAnsi="Arial"/>
                <w:sz w:val="14"/>
                <w:szCs w:val="14"/>
                <w:b w:val="1"/>
                <w:bCs w:val="1"/>
                <w:color w:val="auto"/>
                <w:w w:val="99"/>
              </w:rPr>
              <w:t>Three Months Ended</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1"/>
        </w:trPr>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409"/>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09"/>
        </w:trPr>
        <w:tc>
          <w:tcPr>
            <w:tcW w:w="39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1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544,464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465,710</w:t>
            </w:r>
          </w:p>
        </w:tc>
        <w:tc>
          <w:tcPr>
            <w:tcW w:w="240" w:type="dxa"/>
            <w:vAlign w:val="bottom"/>
            <w:tcBorders>
              <w:top w:val="single" w:sz="8" w:color="CCEEFF"/>
            </w:tcBorders>
            <w:shd w:val="clear" w:color="auto" w:fill="CCEEFF"/>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ICLUSIG revenues, net</w:t>
            </w: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26,069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25,645</w:t>
            </w:r>
          </w:p>
        </w:tc>
        <w:tc>
          <w:tcPr>
            <w:tcW w:w="240" w:type="dxa"/>
            <w:vAlign w:val="bottom"/>
          </w:tcPr>
          <w:p>
            <w:pPr>
              <w:spacing w:after="0"/>
              <w:rPr>
                <w:sz w:val="19"/>
                <w:szCs w:val="19"/>
                <w:color w:val="auto"/>
              </w:rPr>
            </w:pPr>
          </w:p>
        </w:tc>
      </w:tr>
      <w:tr>
        <w:trPr>
          <w:trHeight w:val="22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18,032</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240" w:type="dxa"/>
            <w:vAlign w:val="bottom"/>
            <w:shd w:val="clear" w:color="auto" w:fill="CCEEFF"/>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MINJUVI revenues, net</w:t>
            </w: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OPZELURA revenues, net</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1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605,821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504,811</w:t>
            </w:r>
          </w:p>
        </w:tc>
        <w:tc>
          <w:tcPr>
            <w:tcW w:w="240" w:type="dxa"/>
            <w:vAlign w:val="bottom"/>
          </w:tcPr>
          <w:p>
            <w:pPr>
              <w:spacing w:after="0"/>
              <w:rPr>
                <w:sz w:val="19"/>
                <w:szCs w:val="19"/>
                <w:color w:val="auto"/>
              </w:rPr>
            </w:pPr>
          </w:p>
        </w:tc>
      </w:tr>
      <w:tr>
        <w:trPr>
          <w:trHeight w:val="22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70,867</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65,602</w:t>
            </w:r>
          </w:p>
        </w:tc>
        <w:tc>
          <w:tcPr>
            <w:tcW w:w="240" w:type="dxa"/>
            <w:vAlign w:val="bottom"/>
            <w:shd w:val="clear" w:color="auto" w:fill="CCEEFF"/>
          </w:tcPr>
          <w:p>
            <w:pPr>
              <w:spacing w:after="0"/>
              <w:rPr>
                <w:sz w:val="19"/>
                <w:szCs w:val="19"/>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32,258</w:t>
            </w:r>
          </w:p>
        </w:tc>
        <w:tc>
          <w:tcPr>
            <w:tcW w:w="240" w:type="dxa"/>
            <w:vAlign w:val="bottom"/>
          </w:tcPr>
          <w:p>
            <w:pPr>
              <w:spacing w:after="0"/>
              <w:rPr>
                <w:sz w:val="19"/>
                <w:szCs w:val="19"/>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1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40" w:type="dxa"/>
            <w:vAlign w:val="bottom"/>
            <w:shd w:val="clear" w:color="auto" w:fill="CCEEFF"/>
          </w:tcPr>
          <w:p>
            <w:pPr>
              <w:spacing w:after="0"/>
              <w:rPr>
                <w:sz w:val="19"/>
                <w:szCs w:val="19"/>
                <w:color w:val="auto"/>
              </w:rPr>
            </w:pPr>
          </w:p>
        </w:tc>
      </w:tr>
      <w:tr>
        <w:trPr>
          <w:trHeight w:val="223"/>
        </w:trPr>
        <w:tc>
          <w:tcPr>
            <w:tcW w:w="390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122,414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99,907</w:t>
            </w:r>
          </w:p>
        </w:tc>
        <w:tc>
          <w:tcPr>
            <w:tcW w:w="240" w:type="dxa"/>
            <w:vAlign w:val="bottom"/>
          </w:tcPr>
          <w:p>
            <w:pPr>
              <w:spacing w:after="0"/>
              <w:rPr>
                <w:sz w:val="19"/>
                <w:szCs w:val="19"/>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09"/>
        </w:trPr>
        <w:tc>
          <w:tcPr>
            <w:tcW w:w="390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1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733,235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604,718</w:t>
            </w:r>
          </w:p>
        </w:tc>
        <w:tc>
          <w:tcPr>
            <w:tcW w:w="24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further information on our revenue-generating contracts, refer to Note 7.</w:t>
      </w:r>
    </w:p>
    <w:p>
      <w:pPr>
        <w:spacing w:after="0" w:line="235"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8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2022</w:t>
            </w:r>
          </w:p>
        </w:tc>
        <w:tc>
          <w:tcPr>
            <w:tcW w:w="20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$ 291,613</w:t>
            </w:r>
          </w:p>
        </w:tc>
        <w:tc>
          <w:tcPr>
            <w:tcW w:w="880" w:type="dxa"/>
            <w:vAlign w:val="bottom"/>
            <w:gridSpan w:val="2"/>
          </w:tcPr>
          <w:p>
            <w:pPr>
              <w:jc w:val="center"/>
              <w:ind w:left="96"/>
              <w:spacing w:after="0"/>
              <w:rPr>
                <w:sz w:val="20"/>
                <w:szCs w:val="20"/>
                <w:color w:val="auto"/>
              </w:rPr>
            </w:pPr>
            <w:r>
              <w:rPr>
                <w:rFonts w:ascii="Arial" w:cs="Arial" w:eastAsia="Arial" w:hAnsi="Arial"/>
                <w:sz w:val="18"/>
                <w:szCs w:val="18"/>
                <w:color w:val="auto"/>
                <w:w w:val="91"/>
              </w:rPr>
              <w:t>$ (4,212)</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$ 287,401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2021</w:t>
            </w: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$ 291,871</w:t>
            </w:r>
          </w:p>
        </w:tc>
        <w:tc>
          <w:tcPr>
            <w:tcW w:w="88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91"/>
              </w:rPr>
              <w:t>$ (1,119)</w:t>
            </w: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$ 290,752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available-for-sale debt securities generally have contractual maturity dates of between 12 to 18 months. Debt security assets were assessed for risk of expected credit losses. As of March 31, 2022 and December 31, 2021, the available-for-sale debt securities were held in U.S.-government backed securities and in Treasury bonds and were assessed on an individual security basis to have a de minimis risk of credit loss.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At March 31, 2022 and December 31, 2021,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three months ended March 31, 2022.</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8"/>
          </w:tcPr>
          <w:p>
            <w:pPr>
              <w:ind w:left="10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140" w:type="dxa"/>
            <w:vAlign w:val="bottom"/>
            <w:gridSpan w:val="3"/>
          </w:tcPr>
          <w:p>
            <w:pPr>
              <w:jc w:val="center"/>
              <w:ind w:left="86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20" w:type="dxa"/>
            <w:vAlign w:val="bottom"/>
          </w:tcPr>
          <w:p>
            <w:pPr>
              <w:spacing w:after="0"/>
              <w:rPr>
                <w:sz w:val="12"/>
                <w:szCs w:val="12"/>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2,256,759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2,256,759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7)</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2,431,440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287,401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2,718,841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7"/>
          </w:tcPr>
          <w:p>
            <w:pPr>
              <w:jc w:val="right"/>
              <w:ind w:right="138"/>
              <w:spacing w:after="0"/>
              <w:rPr>
                <w:sz w:val="20"/>
                <w:szCs w:val="20"/>
                <w:color w:val="auto"/>
              </w:rPr>
            </w:pPr>
            <w:r>
              <w:rPr>
                <w:rFonts w:ascii="Arial" w:cs="Arial" w:eastAsia="Arial" w:hAnsi="Arial"/>
                <w:sz w:val="14"/>
                <w:szCs w:val="14"/>
                <w:b w:val="1"/>
                <w:bCs w:val="1"/>
                <w:color w:val="auto"/>
                <w:w w:val="96"/>
              </w:rPr>
              <w:t>Fair Value Measurement at Reporting Date Using: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20" w:type="dxa"/>
            <w:vAlign w:val="bottom"/>
            <w:gridSpan w:val="3"/>
          </w:tcPr>
          <w:p>
            <w:pPr>
              <w:jc w:val="center"/>
              <w:ind w:left="73"/>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040" w:type="dxa"/>
            <w:vAlign w:val="bottom"/>
            <w:gridSpan w:val="3"/>
          </w:tcPr>
          <w:p>
            <w:pPr>
              <w:jc w:val="center"/>
              <w:ind w:left="80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2,057,440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290,752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7)</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2,278,706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290,752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557"/>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tcBorders>
              <w:bottom w:val="single" w:sz="8" w:color="auto"/>
            </w:tcBorders>
            <w:gridSpan w:val="17"/>
          </w:tcPr>
          <w:p>
            <w:pPr>
              <w:ind w:left="20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5"/>
          </w:tcPr>
          <w:p>
            <w:pPr>
              <w:ind w:left="80"/>
              <w:spacing w:after="0" w:line="119" w:lineRule="exact"/>
              <w:rPr>
                <w:sz w:val="20"/>
                <w:szCs w:val="20"/>
                <w:color w:val="auto"/>
              </w:rPr>
            </w:pPr>
            <w:r>
              <w:rPr>
                <w:rFonts w:ascii="Arial" w:cs="Arial" w:eastAsia="Arial" w:hAnsi="Arial"/>
                <w:sz w:val="13"/>
                <w:szCs w:val="13"/>
                <w:b w:val="1"/>
                <w:bCs w:val="1"/>
                <w:color w:val="auto"/>
              </w:rPr>
              <w:t>Quoted Prices in</w:t>
            </w:r>
          </w:p>
        </w:tc>
        <w:tc>
          <w:tcPr>
            <w:tcW w:w="12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140" w:type="dxa"/>
            <w:vAlign w:val="bottom"/>
            <w:gridSpan w:val="5"/>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w w:val="98"/>
              </w:rPr>
              <w:t>Identical Liabilities</w:t>
            </w:r>
          </w:p>
        </w:tc>
        <w:tc>
          <w:tcPr>
            <w:tcW w:w="80" w:type="dxa"/>
            <w:vAlign w:val="bottom"/>
          </w:tcPr>
          <w:p>
            <w:pPr>
              <w:spacing w:after="0"/>
              <w:rPr>
                <w:sz w:val="12"/>
                <w:szCs w:val="12"/>
                <w:color w:val="auto"/>
              </w:rPr>
            </w:pPr>
          </w:p>
        </w:tc>
        <w:tc>
          <w:tcPr>
            <w:tcW w:w="8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left="164"/>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242,000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242,000</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17"/>
          </w:tcPr>
          <w:p>
            <w:pPr>
              <w:ind w:left="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8"/>
          </w:tcPr>
          <w:p>
            <w:pPr>
              <w:jc w:val="center"/>
              <w:ind w:right="188"/>
              <w:spacing w:after="0" w:line="119" w:lineRule="exact"/>
              <w:rPr>
                <w:sz w:val="20"/>
                <w:szCs w:val="20"/>
                <w:color w:val="auto"/>
              </w:rPr>
            </w:pPr>
            <w:r>
              <w:rPr>
                <w:rFonts w:ascii="Arial" w:cs="Arial" w:eastAsia="Arial" w:hAnsi="Arial"/>
                <w:sz w:val="13"/>
                <w:szCs w:val="13"/>
                <w:b w:val="1"/>
                <w:bCs w:val="1"/>
                <w:color w:val="auto"/>
              </w:rPr>
              <w:t>Significant Other</w:t>
            </w:r>
          </w:p>
        </w:tc>
        <w:tc>
          <w:tcPr>
            <w:tcW w:w="860" w:type="dxa"/>
            <w:vAlign w:val="bottom"/>
            <w:tcBorders>
              <w:top w:val="single" w:sz="8" w:color="auto"/>
            </w:tcBorders>
            <w:gridSpan w:val="5"/>
          </w:tcPr>
          <w:p>
            <w:pPr>
              <w:jc w:val="center"/>
              <w:ind w:right="4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900" w:type="dxa"/>
            <w:vAlign w:val="bottom"/>
            <w:gridSpan w:val="2"/>
          </w:tcPr>
          <w:p>
            <w:pPr>
              <w:jc w:val="center"/>
              <w:ind w:right="4"/>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11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760" w:type="dxa"/>
            <w:vAlign w:val="bottom"/>
            <w:gridSpan w:val="8"/>
          </w:tcPr>
          <w:p>
            <w:pPr>
              <w:ind w:left="300"/>
              <w:spacing w:after="0" w:line="149" w:lineRule="exact"/>
              <w:rPr>
                <w:sz w:val="20"/>
                <w:szCs w:val="20"/>
                <w:color w:val="auto"/>
              </w:rPr>
            </w:pPr>
            <w:r>
              <w:rPr>
                <w:rFonts w:ascii="Arial" w:cs="Arial" w:eastAsia="Arial" w:hAnsi="Arial"/>
                <w:sz w:val="14"/>
                <w:szCs w:val="14"/>
                <w:b w:val="1"/>
                <w:bCs w:val="1"/>
                <w:color w:val="auto"/>
              </w:rPr>
              <w:t>Identical Liabilities</w:t>
            </w:r>
          </w:p>
        </w:tc>
        <w:tc>
          <w:tcPr>
            <w:tcW w:w="80" w:type="dxa"/>
            <w:vAlign w:val="bottom"/>
          </w:tcPr>
          <w:p>
            <w:pPr>
              <w:spacing w:after="0"/>
              <w:rPr>
                <w:sz w:val="12"/>
                <w:szCs w:val="12"/>
                <w:color w:val="auto"/>
              </w:rPr>
            </w:pPr>
          </w:p>
        </w:tc>
        <w:tc>
          <w:tcPr>
            <w:tcW w:w="8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84"/>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1220" w:type="dxa"/>
            <w:vAlign w:val="bottom"/>
            <w:gridSpan w:val="6"/>
          </w:tcPr>
          <w:p>
            <w:pPr>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244,000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244,000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11"/>
          </w:tcPr>
          <w:p>
            <w:pPr>
              <w:ind w:left="660"/>
              <w:spacing w:after="0"/>
              <w:rPr>
                <w:sz w:val="20"/>
                <w:szCs w:val="20"/>
                <w:color w:val="auto"/>
              </w:rPr>
            </w:pPr>
            <w:r>
              <w:rPr>
                <w:rFonts w:ascii="Arial" w:cs="Arial" w:eastAsia="Arial" w:hAnsi="Arial"/>
                <w:sz w:val="18"/>
                <w:szCs w:val="18"/>
                <w:color w:val="auto"/>
              </w:rPr>
              <w:t>The following is a roll forward of our Level 3 liabilities (in thousands):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5"/>
          </w:tcPr>
          <w:p>
            <w:pPr>
              <w:spacing w:after="0"/>
              <w:rPr>
                <w:sz w:val="20"/>
                <w:szCs w:val="20"/>
                <w:color w:val="auto"/>
              </w:rPr>
            </w:pPr>
            <w:r>
              <w:rPr>
                <w:rFonts w:ascii="Arial" w:cs="Arial" w:eastAsia="Arial" w:hAnsi="Arial"/>
                <w:sz w:val="18"/>
                <w:szCs w:val="18"/>
                <w:color w:val="auto"/>
                <w:w w:val="98"/>
              </w:rPr>
              <w:t>Contingent consideration earned during the period but not yet paid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fair value of contingent consideration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Balance at March 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60" w:firstLine="648"/>
        <w:spacing w:after="0" w:line="253" w:lineRule="auto"/>
        <w:rPr>
          <w:sz w:val="20"/>
          <w:szCs w:val="20"/>
          <w:color w:val="auto"/>
        </w:rPr>
      </w:pPr>
      <w:r>
        <w:rPr>
          <w:rFonts w:ascii="Arial" w:cs="Arial" w:eastAsia="Arial" w:hAnsi="Arial"/>
          <w:sz w:val="18"/>
          <w:szCs w:val="18"/>
          <w:color w:val="auto"/>
        </w:rPr>
        <w:t>The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March 31, 2022 and December 31, 2021 included a discount rate of 10% and updated projections of future net revenues of ICLUSIG in the European Union and other countries for the approved third line treatment. The change in fair value of the contingent consideration during the three months ended March 31, 2022 was due primarily to the passage of time.</w:t>
      </w:r>
    </w:p>
    <w:p>
      <w:pPr>
        <w:spacing w:after="0" w:line="237" w:lineRule="exact"/>
        <w:rPr>
          <w:sz w:val="20"/>
          <w:szCs w:val="20"/>
          <w:color w:val="auto"/>
        </w:rPr>
      </w:pPr>
    </w:p>
    <w:p>
      <w:pPr>
        <w:jc w:val="both"/>
        <w:ind w:left="40" w:right="60" w:firstLine="648"/>
        <w:spacing w:after="0" w:line="259" w:lineRule="auto"/>
        <w:rPr>
          <w:sz w:val="20"/>
          <w:szCs w:val="20"/>
          <w:color w:val="auto"/>
        </w:rPr>
      </w:pPr>
      <w:r>
        <w:rPr>
          <w:rFonts w:ascii="Arial" w:cs="Arial" w:eastAsia="Arial" w:hAnsi="Arial"/>
          <w:sz w:val="18"/>
          <w:szCs w:val="18"/>
          <w:color w:val="auto"/>
        </w:rPr>
        <w:t>We make payments to Takeda Pharmaceutical Company Limited quarterly based on the royalties or any additional milestone payments earned in the previous quarter. At March 31, 2022 and December 31, 2021, contingent consideration earned but not yet paid was $8.4 million and $19.6 million, respectively, and was included in accrued and other current liabilities.</w:t>
      </w:r>
    </w:p>
    <w:p>
      <w:pPr>
        <w:spacing w:after="0" w:line="210"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Concentration of credit risk and current expected credit losses</w:t>
      </w:r>
    </w:p>
    <w:p>
      <w:pPr>
        <w:spacing w:after="0" w:line="229" w:lineRule="exact"/>
        <w:rPr>
          <w:sz w:val="20"/>
          <w:szCs w:val="20"/>
          <w:color w:val="auto"/>
        </w:rPr>
      </w:pPr>
    </w:p>
    <w:p>
      <w:pPr>
        <w:jc w:val="both"/>
        <w:ind w:left="40" w:right="60" w:firstLine="648"/>
        <w:spacing w:after="0" w:line="291" w:lineRule="auto"/>
        <w:rPr>
          <w:sz w:val="20"/>
          <w:szCs w:val="20"/>
          <w:color w:val="auto"/>
        </w:rPr>
      </w:pPr>
      <w:r>
        <w:rPr>
          <w:rFonts w:ascii="Arial" w:cs="Arial" w:eastAsia="Arial" w:hAnsi="Arial"/>
          <w:sz w:val="16"/>
          <w:szCs w:val="16"/>
          <w:color w:val="auto"/>
        </w:rPr>
        <w:t>In November 2009, we entered into a collaboration and license agreement with Novartis Pharmaceutical International Ltd. (“Novartis”). In December 2009, we entered into a license, development and commercialization agreement with Eli Lilly and Company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24% and 36% of the accounts receivable balance as of March 31, 2022 and December 31, 2021, respectively. For further information relating to these collaboration and license agreements, refer to Note 7.</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November 2011, we began commercialization and distribution of JAKAFI, in April 2020, we began commercialization and distribution of PEMAZYRE, and in October 2021, we began commercialization and distribution of OPZELURA to a number of customers. Our product revenues are concentrated in a number of these customers. The concentration of credit risk related to our JAKAFI, PEMAZYRE and OPZELURA product revenues is as follows: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Percentage of Total Net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820" w:type="dxa"/>
            <w:vAlign w:val="bottom"/>
          </w:tcPr>
          <w:p>
            <w:pPr>
              <w:spacing w:after="0"/>
              <w:rPr>
                <w:sz w:val="12"/>
                <w:szCs w:val="12"/>
                <w:color w:val="auto"/>
              </w:rPr>
            </w:pPr>
          </w:p>
        </w:tc>
        <w:tc>
          <w:tcPr>
            <w:tcW w:w="2380" w:type="dxa"/>
            <w:vAlign w:val="bottom"/>
            <w:gridSpan w:val="4"/>
          </w:tcPr>
          <w:p>
            <w:pPr>
              <w:jc w:val="center"/>
              <w:ind w:left="508"/>
              <w:spacing w:after="0" w:line="149" w:lineRule="exact"/>
              <w:rPr>
                <w:sz w:val="20"/>
                <w:szCs w:val="20"/>
                <w:color w:val="auto"/>
              </w:rPr>
            </w:pPr>
            <w:r>
              <w:rPr>
                <w:rFonts w:ascii="Arial" w:cs="Arial" w:eastAsia="Arial" w:hAnsi="Arial"/>
                <w:sz w:val="14"/>
                <w:szCs w:val="14"/>
                <w:b w:val="1"/>
                <w:bCs w:val="1"/>
                <w:color w:val="auto"/>
                <w:w w:val="91"/>
              </w:rPr>
              <w:t>Product Revenues for the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8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March 31,</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58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6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7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9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18 %</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6 %</w:t>
            </w:r>
          </w:p>
        </w:tc>
        <w:tc>
          <w:tcPr>
            <w:tcW w:w="9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9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D and E comprised, in aggregate, 36% and 31% of the accounts receivable balance as of March 31, 2022 and December 31, 2021, respectively. The concentration of credit risk relating to our other product revenues or accounts receivable is not significant.</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assessed our collaborative and customer receivable assets as of March 31, 2022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March 31, 2022 and December 31, 2021, we had no allowance for doubtful accounts.</w:t>
      </w:r>
    </w:p>
    <w:p>
      <w:pPr>
        <w:spacing w:after="0" w:line="15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14,717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w w:val="98"/>
              </w:rPr>
              <w:t>37,267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39,895</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8"/>
              </w:rPr>
              <w:t>18,857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100" w:type="dxa"/>
            <w:vAlign w:val="bottom"/>
            <w:shd w:val="clear" w:color="auto" w:fill="CCEEFF"/>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Total inventory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8"/>
              </w:rPr>
              <w:t>70,841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56,938</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 in process and finished goods. At March 31, 2022, $35.5 million of inventory was classified as current on the condensed consolidated balance sheet as we expect this inventory to be consumed for commercial use within the next twelve months. At March 31, 2022, $35.4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capitalize inventory after FDA approval as the related costs are expected to be recoverable through the commercialization of the product. Costs incurred prior to FDA approval are recorded as research and development expense in our statements of operations. At March 31, 2022, inventory with approximately $69.9 million of product costs incurred prior to FDA approval had not yet been sold. We expect to sell the pre commercialization inventory over the next 31 months and, as a result, cost of product revenues will reflect a lower average per unit cost of materials.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9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are eligible to receive up to $75.0 million of additional potential development and regulatory milestones relating to graft-versus-host-disease (“GVHD”). We have recognized and received, in the aggregate, $157.0 million for the achievement of development milestones, $280.0 million for the achievement of regulatory milestones and $200.0 million for the achievement of sales milestones through March 31, 2022.</w:t>
      </w:r>
    </w:p>
    <w:p>
      <w:pPr>
        <w:spacing w:after="0" w:line="16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months ended March 31, 2022 and 2021, such royalties on net sales within the United States totaled $21.7 million and $17.8 million, respectively, and were reflected in cost of product revenues on the condensed consolidated statements of operations. At March 31, 2022 and December 31, 2021, $162.1 million and $148.1 million, respectively, of accrued royalties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6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For the three months ended March 31, 2022 and 2021, we recorded $70.8 million and $65.6 million, respectively, of product royalty revenues related to Novartis net sales of JAKAVI outside the United States. For the three months ended March 31, 2022 and 2021, we recorded $3.5 million and $2.0 million, respectively, of product royalty revenues related to Novartis net sales of TABRECTA worldwide.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We have recognized and received, in aggregate, $149.0 million for the achievement of development milestones, $265.0 million for the achievement of regulatory milestones and $50.0 million for the achievement of sales milestones through March 31, 2022.</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Product royalty revenue related to Lilly net sales of OLUMIANT outside of the United States for the three months ended March 31, 2022 and 2021 was $48.0 million and $32.3 million,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Lilly is eligible to receive up to $40.0 million in regulatory milestone payments relating to ruxolitinib in the GVHD field. In May 2019, the approval of JAKAFI in steroid-refractory acute GVHD triggered a $20.0 million milestone payment to Lilly. In March 2022, the positive recommendation from the European Medicines Agency for regulatory approval of ruxolitinib in the GVHD field triggered an additional $20.0 million milestone payment to Lilly, which was recorded as research and development expense in our condensed consolidated statements of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the terms of the amended agreement, we received exclusive worldwide development and commercialization rights to four checkpoint modulators directed against GITR, OX40, LAG-3 and TIM-3 as well as two undisclosed targets. Targets may be designated profit-share programs, where all costs and profits are shared equally by us and Agenus, or royalty-bearing programs, where we are responsible for all costs associated with discovery, preclinical, clinical development and commercialization activities.</w:t>
      </w:r>
    </w:p>
    <w:p>
      <w:pPr>
        <w:spacing w:after="0" w:line="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There are currently no profit-share programs. For each royalty-bearing product other than GITR, OX40 and one undisclosed target, Agenus will be eligible to receive tiered royalties on global net sales ranging from 6% to 12%. For GITR, OX40 and one undisclosed target, Agenus will be eligible to receive 15% royalties on global net sales. The agreement may be terminated by us for convenience upon 12 months’ notice and may also be terminated under certain other circumstances, including material breach.</w:t>
      </w:r>
    </w:p>
    <w:p>
      <w:pPr>
        <w:spacing w:after="0" w:line="19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of March 31, 2022, we have paid Agenus milestones totaling $30.0 million and Agenus is eligible to receive up to an additional $500.0 million in future contingent development, regulatory and commercialization milestones across all programs in the collaboration.</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in 2017 we also agreed to purchase 10.0 million shares of Agenus common stock for an aggregate purchase price of $60.0 million in cash, or $6.00 per share. The fair market value of our long term investment in Agenus as of March 31, 2022 and December 31, 2021 was $29.7 million and $38.9 million, respectively. In 2020, we sold an aggregate of approximately 3.7 million shares of Agenus common stock resulting in gross proceeds of approximately $17.2 million. In 2021, we sold an aggregate of approximately 2.0 million shares of Agenus common stock resulting in gross proceeds of approximately $10.5 million. As of March 31, 2022, we owned less than 5% of the outstanding shares of Agenus common stock.</w:t>
      </w:r>
    </w:p>
    <w:p>
      <w:pPr>
        <w:spacing w:after="0" w:line="19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intend to hold the investment in Agenus for the foreseeable future and therefore, are accounting for our shares held in Agenus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2022 and 2021, we recorded an unrealized loss of $9.2 million and $5.9 million, respectively, based on the change in fair value of Agenus Inc.’s common stock during the respective periods.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As of March 31, 2022, we have paid Merus milestones totaling $2.0 million.</w:t>
      </w:r>
    </w:p>
    <w:p>
      <w:pPr>
        <w:spacing w:after="0" w:line="17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in 2016 we entered into a Share Subscription Agreement with Merus, pursuant to which we agreed to purchase 3.2 million common shares of Merus for an aggregate purchase price of $80.0 million in cash, or $25.00 per share. The fair market value of our total long term investment in Merus as of March 31, 2022 and December 31, 2021 was $93.9 million and $112.9 million, respectively. In January 2021, we purchased 350,000 common shares in Merus’ underwritten public offering of 4,848,485 common shares at the public offering price of $24.75 per share, or an aggregate purchase price of $8.7 million. As of March 31, 2022, we owned approximately 8% of the outstanding common shares of Merus.</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have concluded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months ended March 31, 2022 and 2021 we recorded an unrealized loss of $19.0 million and an unrealized gain of $9.4 million, respectively, based on the change in fair value of Merus’ common shares during the respective periods.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As of March 31, 2022, we have paid Calithera milestones totaling $12.0 million. Calithera delivered notice of its decision to opt out of its co-funding obligation, 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Calithera is eligible to receive $720.0 million in potential future development, regulatory and sales milestone payments and will have no further rights to research, develop or co-detail INCB001158. We will have the right to take over the conduct of all activities related to the research, development and commercialization of INCB001158 for all indications in the hematology/oncology field.</w:t>
      </w:r>
    </w:p>
    <w:p>
      <w:pPr>
        <w:spacing w:after="0" w:line="18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addition, in 2017, we entered into a Stock Purchase Agreement with Calithera for the purchase of 1.7 million common shares of Calithera for an aggregate purchase price of $8.0 million in cash, or $4.65 per share. The fair market value of our long term investment in Calithera at March 31, 2022 and December 31, 2021 was $0.7 million and $1.1 million, respectively. As of March 31, 2022, we owned approximately 2% of the outstanding shares of Calithera common stock.</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intend to hold the investment in Calithera for the foreseeable future and therefore, are accounting for our shares held in Calithera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2022 and 2021 we recorded an unrealized loss of $0.5 million and $4.3 million, respectively, based on the change in fair value of Calithera’s common stock during the respective periods.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7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As of March 31, 2022, we have paid MacroGenics developmental milestones totaling $70.0 million. MacroGenics is eligible to receive up to an additional $365.0 million in future contingent development and regulatory milestones, and up to $330.0 million in sales milestones as well as tiered royalties ranging from 15% to 24% of global net sales.</w:t>
      </w:r>
    </w:p>
    <w:p>
      <w:pPr>
        <w:spacing w:after="0" w:line="14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2022 and 2021 also included $13.5 million and $13.6 million, respectively, of development costs incurred pursuant to the MacroGenics agreement. At March 31, 2022 and December 31, 2021, a total of $0.4 million and $0.7 million of such costs were included in accrued and other liabilities on the condensed consolidated balance sheets.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milestones and up to $65.0 million in potential sales milestones. Syros is also eligible to receive low single-digit royalties on net sales of products resulting from the collaboration.</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in 2018, we entered into a Stock Purchase Agreement with Syros for the purchase of 0.8 million shares of common stock of Syros for an aggregate purchase price of $10.0 million in cash, or $12.61 per share. Subsequently in 2018, we entered into an Amended Stock Purchase Agreement with Syros for the purchase of an additional 0.1 million common shares of Syros for an aggregate purchase price of $1.4 million in cash, or $9.55 per share. The fair market value of our long term investment in Syros as of March 31, 2022 and December 31, 2021 was $1.1 million and $3.1 million, respectively. As of March 31, 2022, we owned less than 2% of the outstanding shares of Syros common stock.</w:t>
      </w:r>
    </w:p>
    <w:p>
      <w:pPr>
        <w:spacing w:after="0" w:line="19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intend to hold the investment in Syros for the foreseeable future and therefore, are accounting for our shares held in Syros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2022 and 2021, we recorded an unrealized loss of $1.9 million and $3.2 million, respectively, based on the change in fair value of Syros’ common stock during the respective periods.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We are eligible to receive up to an additional $94.0 million in potential development and regulatory milestones.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Innovent and decisions made by regulatory agencies. In March 2022, we recognized a $5.0 million milestone for approval of PEMAZYRE (pemigatinib) in China.</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w:t>
      </w:r>
    </w:p>
    <w:p>
      <w:pPr>
        <w:spacing w:after="0" w:line="184" w:lineRule="exact"/>
        <w:rPr>
          <w:sz w:val="20"/>
          <w:szCs w:val="20"/>
          <w:color w:val="auto"/>
        </w:rPr>
      </w:pPr>
    </w:p>
    <w:p>
      <w:pPr>
        <w:jc w:val="both"/>
        <w:ind w:left="40" w:right="59" w:firstLine="693"/>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addition, under the terms of the agreement and pursuant to a related purchase agreement, we agreed to purchase American Depositary Shares (“ADSs”), each representing 0.25 of an ordinary share of MorphoSys AG, for an aggregate purchase price of $150.0 million or $41.33 per ADS (such ADSs to be purchased, the “New ADSs”). The fair market value of our long term investment in MorphoSys as of March 31, 2022 and December 31, 2021, was $24.6 million and $34.2 million, respectively. As of March 31, 2022, we owned approximately 3% of the outstanding shares of MorphoSys common stock.</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intend to hold the investment in MorphoSys for the foreseeable future and therefore, are accounting for our shares held in MorphoSys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2022 and 2021, we recorded an unrealized loss of $9.6 million and $23.7 million, respectively, based on the change in fair value of MorphoSys’ common stock during the respective periods.</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50% share of the United States loss for the commercialization of tafasitamab for the three months ended March 31, 2022 and 2021 was $4.7 million and $10.5 million, respectively, and is recorded as collaboration loss sharing on the condensed consolidated statement of operations. Research and development expenses for the three months ended March 31, 2022 and 2021, includes $21.0 million and $14.9 million, respectively, related to our 55% share of the co-development costs for tafasitamab. At March 31, 2022 and December 31, 2021, $41.5 million and $21.5 million, respectively, was included in accrued and other liabilities on the condensed consolidated balance sheet for amounts due to MorphoSys under the 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Nimble</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September 2020, we entered into a Collaboration and License Agreement with Nimble Therapeutics, Inc. (“Nimble”). Under the terms of this agreement, Nimble will utilize their peptide synthesis, screening and optimization platform for discovery and validation of peptides against specified targets. Under the agreement, Nimble is eligible to 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royalties on net sales in the low single digits.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August 2021, we entered into a Collaboration and License Agreement with Sunny Investments Limited, a wholly-owned subsidiary of InnoCare Pharma Limited (“InnoCare”). InnoCare received development and exclusive commercialization rights to tafasitamab in hematology and oncology in mainland China, Hong Kong, Macau and Taiwan. In September 2021, we recognized an upfront payment under this agreement of $35.0 million upon our transfer of technology related to the licensed product candidate to InnoCare, which was recorded in milestone and contract revenues on the consolidated statement of operations for the year ended December 31, 2021. Under the terms of this agreement, we are eligible to receive up to an additional $45.0 million in potential development and regulatory milestones. We recognize development and regulatory milestones upon confirmation of achievement of the event, as development and regulatory approvals are events not controllable by us but rather development activities of InnoCare and decisions made by regulatory agencies. In the event of commercialization, we are eligible to receive up to $37.5 million in potential sales milestones from InnoCare. We will recognize sales milestones in the corresponding period of the product sale upon confirmation of net sales milestone threshold achievement by InnoCare. We are also eligible to receive tiered royalties from the low to mid-twenties on future product sales resulting from the collaboration.</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Syndax</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September 2021, we entered into a Collaboration and License Agreement with Syndax Pharmaceuticals, Inc. (“Syndax”), covering the worldwide development and commercialization of SNDX-6352 (“axatilimab”). Axatilimab, currently in clinical development by Syndax, is a monoclonal antibody that blocks the colony stimulating factor-1 (CSF-1) receptor. Syndax has exclusive worldwide development and commercialization rights to axatilimab under a June 2016 license agreement with UCB Biopharma Sprl. The agreement became effective in December 2021.</w:t>
      </w:r>
    </w:p>
    <w:p>
      <w:pPr>
        <w:spacing w:after="0" w:line="1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Syndax and we have co-commercialization rights in the United States, with respect to axatilimab. We will be responsible for leading the commercialization strategy and booking all revenue from sales of tafasitamab globally, and Syndax will have the option to co-commercialization axatilimab with Incyte in the United States.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 joint development plan.</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December 2021, we paid Syndax an upfront, non-refundable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addition, under the terms of the agreement and pursuant to a related stock purchase agreement, we agreed to purchase approximately 1.4 million shares of common stock of Syndax for an aggregate purchase price of $35.0 million, or $24.62 per share. We agreed, subject to limited exceptions, not to sell or otherwise transfer any of the shares for a six month period after the closing date of the sale. We completed the purchase of the shares on December 9, 2021 when the closing price on The Nasdaq Stock Market was $17.48 per share. Of the $35.0 million aggregate purchase price paid, $24.8 million was allocated to our stock purchase and was recorded within long term investments and $10.2 million, representing premium paid on the purchase, was allocated to research and development expense on the consolidated statement of operations for the year ended December 31, 2021. The fair market value of our long term investment in Syndax as of March 31, 2022 and December 31, 2021 was $24.7 million and $31.1 million. As of March 31, 2022, we owned approximately 3% of the outstanding shares of Syndax common stock.</w:t>
      </w:r>
    </w:p>
    <w:p>
      <w:pPr>
        <w:spacing w:after="0" w:line="16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intend to hold the investment in Syndax for the foreseeable future and therefore, are accounting for our shares held in Syndax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2022, we recorded an unrealized loss of $6.4 million based on the change in fair value of Syndax’s common stock during the period.</w:t>
      </w:r>
    </w:p>
    <w:p>
      <w:pPr>
        <w:spacing w:after="0" w:line="157"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107,206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105,040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434,321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27,308</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220,052</w:t>
            </w:r>
          </w:p>
        </w:tc>
        <w:tc>
          <w:tcPr>
            <w:tcW w:w="100" w:type="dxa"/>
            <w:vAlign w:val="bottom"/>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915,028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899,640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(185,811)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(175,720)</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729,217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723,920</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2017, we acquired additional adjacent buildings to our global headquarters in Wilmington, Delaware and in 2019, began demolition of these buildings and construction of a new laboratory and office building totaling approximately 200,000 square feet. The certificate of occupancy was received in December 2021 and we capitalized approximately $158.2 million in building and office equipment that was previously included in construction in progress as of December 31, 2021.</w:t>
      </w:r>
    </w:p>
    <w:p>
      <w:pPr>
        <w:spacing w:after="0" w:line="18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February 2018, we signed an agreement to rent a building in Morges, Switzerland for an initial term of 15 years plus one year of free rent, with multiple options to extend for an additional 20 years. The building serves as our new 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At that time, we determined the lease to be a finance lease and recorded a lease liability of $31.1 million and a finance lease right-of-use asset of $29.1 million, net of a lease incentive from our landlord of $2.0 million. We have capitalized approximately $19.5 million in leasehold improvements as of March 31, 2022 relating to Morges.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March 31, 2022, we have capitalized approximately $198.9 million in costs for construction, ground preparation and architectural and engineering studies. Inspection from competent authorities was finalized in March 2022, and we currently expect the facility to be GMP approved in the second half of 2022.</w:t>
      </w:r>
    </w:p>
    <w:p>
      <w:pPr>
        <w:spacing w:after="0" w:line="18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171,957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Clinical related costs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137,241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109,486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162,997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37,134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35,750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9,904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10,554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45,754</w:t>
            </w: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609,290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533,595</w:t>
            </w: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Stock compensation</w:t>
      </w:r>
    </w:p>
    <w:p>
      <w:pPr>
        <w:spacing w:after="0" w:line="229"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recorded $43.8 million and $47.3 million, respectively, of stock compensation expense on the condensed consolidated statements of operations for the three months ended March 31, 2022 and 2021. Stock compensation expense included within our condensed consolidated statements of operations for the three months ended March 31, 2022 and 2021 included research and development expense of $26.3 million and $29.9 million, respectively. Stock compensation expense included within our condensed consolidated statements of operations for the three months ended March 31, 2022 and 2021 also included selling, general and administrative expense of $16.9 million and $17.2 million, respectively. Stock compensation expense included within our condensed consolidated statements of operations for the three months ended March 31, 2022 and 2021 also included cost of product revenues of $0.6 million and $0.2 million, respectively.</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for options, with the following weighted-average assumptions: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Employee Stock Options</w:t>
            </w:r>
          </w:p>
        </w:tc>
        <w:tc>
          <w:tcPr>
            <w:tcW w:w="4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w w:val="99"/>
              </w:rPr>
              <w:t>Employee Stock Purchase Plan</w:t>
            </w:r>
          </w:p>
        </w:tc>
        <w:tc>
          <w:tcPr>
            <w:tcW w:w="40" w:type="dxa"/>
            <w:vAlign w:val="bottom"/>
          </w:tcPr>
          <w:p>
            <w:pPr>
              <w:spacing w:after="0"/>
              <w:rPr>
                <w:sz w:val="14"/>
                <w:szCs w:val="14"/>
                <w:color w:val="auto"/>
              </w:rPr>
            </w:pPr>
          </w:p>
        </w:tc>
      </w:tr>
      <w:tr>
        <w:trPr>
          <w:trHeight w:val="129"/>
        </w:trPr>
        <w:tc>
          <w:tcPr>
            <w:tcW w:w="46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120"/>
              <w:spacing w:after="0" w:line="129" w:lineRule="exact"/>
              <w:rPr>
                <w:sz w:val="20"/>
                <w:szCs w:val="20"/>
                <w:color w:val="auto"/>
              </w:rPr>
            </w:pPr>
            <w:r>
              <w:rPr>
                <w:rFonts w:ascii="Arial" w:cs="Arial" w:eastAsia="Arial" w:hAnsi="Arial"/>
                <w:sz w:val="14"/>
                <w:szCs w:val="14"/>
                <w:b w:val="1"/>
                <w:bCs w:val="1"/>
                <w:color w:val="auto"/>
                <w:w w:val="85"/>
              </w:rPr>
              <w:t>For the Three Months</w:t>
            </w:r>
          </w:p>
        </w:tc>
        <w:tc>
          <w:tcPr>
            <w:tcW w:w="1300" w:type="dxa"/>
            <w:vAlign w:val="bottom"/>
            <w:tcBorders>
              <w:bottom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Ended March 31,</w:t>
            </w:r>
          </w:p>
        </w:tc>
        <w:tc>
          <w:tcPr>
            <w:tcW w:w="6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Average 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4.66</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38 %</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39 %</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24 %</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39 %</w:t>
            </w:r>
          </w:p>
        </w:tc>
        <w:tc>
          <w:tcPr>
            <w:tcW w:w="40" w:type="dxa"/>
            <w:vAlign w:val="bottom"/>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Weighted-average fair value (in dollars)</w:t>
            </w:r>
          </w:p>
        </w:tc>
        <w:tc>
          <w:tcPr>
            <w:tcW w:w="600" w:type="dxa"/>
            <w:vAlign w:val="bottom"/>
          </w:tcPr>
          <w:p>
            <w:pPr>
              <w:jc w:val="right"/>
              <w:spacing w:after="0"/>
              <w:rPr>
                <w:sz w:val="20"/>
                <w:szCs w:val="20"/>
                <w:color w:val="auto"/>
              </w:rPr>
            </w:pPr>
            <w:r>
              <w:rPr>
                <w:rFonts w:ascii="Arial" w:cs="Arial" w:eastAsia="Arial" w:hAnsi="Arial"/>
                <w:sz w:val="18"/>
                <w:szCs w:val="18"/>
                <w:color w:val="auto"/>
              </w:rPr>
              <w:t>25.15</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29.88</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19.08</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Option activity under our 2010 Stock Incentive Plan (the “2010 Stock Plan”) was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74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89"/>
              </w:rPr>
              <w:t>Shares Subject to</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1"/>
              </w:rPr>
              <w:t>Outstanding Options</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12,763,460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ind w:right="4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88.39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1,088,674</w:t>
            </w:r>
          </w:p>
        </w:tc>
        <w:tc>
          <w:tcPr>
            <w:tcW w:w="160" w:type="dxa"/>
            <w:vAlign w:val="bottom"/>
          </w:tcPr>
          <w:p>
            <w:pPr>
              <w:spacing w:after="0"/>
              <w:rPr>
                <w:sz w:val="18"/>
                <w:szCs w:val="18"/>
                <w:color w:val="auto"/>
              </w:rPr>
            </w:pPr>
          </w:p>
        </w:tc>
        <w:tc>
          <w:tcPr>
            <w:tcW w:w="660" w:type="dxa"/>
            <w:vAlign w:val="bottom"/>
          </w:tcPr>
          <w:p>
            <w:pPr>
              <w:jc w:val="center"/>
              <w:ind w:right="4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(240,894)</w:t>
            </w:r>
          </w:p>
        </w:tc>
        <w:tc>
          <w:tcPr>
            <w:tcW w:w="660" w:type="dxa"/>
            <w:vAlign w:val="bottom"/>
            <w:shd w:val="clear" w:color="auto" w:fill="CCEEFF"/>
          </w:tcPr>
          <w:p>
            <w:pPr>
              <w:jc w:val="center"/>
              <w:ind w:right="4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(433,634)</w:t>
            </w:r>
          </w:p>
        </w:tc>
        <w:tc>
          <w:tcPr>
            <w:tcW w:w="660" w:type="dxa"/>
            <w:vAlign w:val="bottom"/>
          </w:tcPr>
          <w:p>
            <w:pPr>
              <w:jc w:val="center"/>
              <w:ind w:right="4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13,177,606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center"/>
              <w:ind w:right="4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87.76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annual stock option grants generally have a 10-year term and vest over four years, with 25% vesting after one year and the remainder vesting in 36 equal monthly installments.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(“RSU”) and performance share (“PSU”) award activity under the 2010 Stock Plan was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80" w:type="dxa"/>
            <w:vAlign w:val="bottom"/>
            <w:gridSpan w:val="4"/>
          </w:tcPr>
          <w:p>
            <w:pPr>
              <w:jc w:val="center"/>
              <w:ind w:left="416"/>
              <w:spacing w:after="0"/>
              <w:rPr>
                <w:sz w:val="20"/>
                <w:szCs w:val="20"/>
                <w:color w:val="auto"/>
              </w:rPr>
            </w:pPr>
            <w:r>
              <w:rPr>
                <w:rFonts w:ascii="Arial" w:cs="Arial" w:eastAsia="Arial" w:hAnsi="Arial"/>
                <w:sz w:val="14"/>
                <w:szCs w:val="14"/>
                <w:b w:val="1"/>
                <w:bCs w:val="1"/>
                <w:color w:val="auto"/>
                <w:w w:val="89"/>
              </w:rPr>
              <w:t>Shares Subject to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Outstanding Awards</w:t>
            </w:r>
          </w:p>
        </w:tc>
      </w:tr>
      <w:tr>
        <w:trPr>
          <w:trHeight w:val="142"/>
        </w:trPr>
        <w:tc>
          <w:tcPr>
            <w:tcW w:w="66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Grant Date Value</w:t>
            </w:r>
          </w:p>
        </w:tc>
        <w:tc>
          <w:tcPr>
            <w:tcW w:w="100" w:type="dxa"/>
            <w:vAlign w:val="bottom"/>
          </w:tcPr>
          <w:p>
            <w:pPr>
              <w:spacing w:after="0"/>
              <w:rPr>
                <w:sz w:val="12"/>
                <w:szCs w:val="12"/>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3,966,888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302,153</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74.30</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(113,019)</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83.95</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(99,567)</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86.46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cancelled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65.76</w:t>
            </w:r>
          </w:p>
        </w:tc>
        <w:tc>
          <w:tcPr>
            <w:tcW w:w="10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4,055,392</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84.11</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months ended March 31, 2022 and 2021, we recorded $1.8 million and $2.6 million, respectively, of stock compensation expense for PSUs on our condensed consolidated statements of operations.</w:t>
      </w:r>
    </w:p>
    <w:p>
      <w:pPr>
        <w:spacing w:after="0" w:line="18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summarizes our shares available for grant under the 2010 Stock Plan. Each RSU and PSU grant reduces the available share pool by 2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2022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Shares Available</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for Grant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10,113,298</w:t>
      </w:r>
    </w:p>
    <w:p>
      <w:pPr>
        <w:spacing w:after="0" w:line="1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(1,692,980)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628,567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13335</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9,048,885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21590</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38735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900" w:space="720"/>
            <w:col w:w="1399"/>
          </w:cols>
          <w:pgMar w:left="1440" w:top="517" w:right="1440"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Total compensation cost of options granted but not yet vested, as of March 31, 2022, was $68.0 million, which is expected to be recognized over the weighted average period of approximately 1.2 years. Total compensation cost of RSUs granted but not yet vested, as of March 31, 2022, was $153.8 million, which is expected to be recognized over the weighted average period of approximately 1.9 years. Total compensation cost of PSUs granted but not yet vested, as of March 31, 2022, was $25.1 million, which is expected to be recognized over the weighted average period of 1.6 years, should the underlying performance conditions be deemed probable of achievement.</w:t>
      </w:r>
    </w:p>
    <w:p>
      <w:pPr>
        <w:spacing w:after="0" w:line="174"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For the three months ended March 31, 2022 and 2021, we recorded income tax expense of approximately $32.5 million and $15.8 million, respectively. The tax expense for the three months ended March 31, 2022 increased as compared to that for the prior year period due to the release of our valuation allowance against a majority of our U.S. research and development tax credit carryforwards and other deferred tax assets at December 31, 2021.</w:t>
      </w:r>
    </w:p>
    <w:p>
      <w:pPr>
        <w:spacing w:after="0" w:line="17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the fourth quarter of 2021, we assessed the valuation allowance and considered positive evidence, including significant cumulative consolidated and U.S. income over the three years ended December 31, 2021, consistent growth in product revenues, and expectations regarding future profitability. We also assessed negative evidence, including the potential impact of competition, clinical failures and patent expirations on our projections. After assessing both the positive evidence and negative evidence, we determined it was more likely than not that the majority of our U.S. deferred tax assets would be realized in the future and released the associated valuation allowance as of December 31, 2021. This resulted in a benefit of $569.0 million. As of December 31, 2021, we maintained a valuation allowance of $408.2 million against a portion of our remaining U.S. deferred tax assets as well as select state and foreign deferred tax assets.</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balance of our unrecognized tax benefits (including penalties and interest) increased by approximately $6.3 million during the three months ended March 31, 2022, resulting in movements to other liabilities and deferred income tax asset on the condensed consolidated balance sheet. The overall increase is primarily driven by unrecognized tax benefits related to current year operations and research and development tax credits. We accrue interest and penalties related to unrecognized tax benefits as a component of its provision for income taxes.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Net income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income per share was calculated as follows for the periods indicated below (in thousands, except per share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data):</w:t>
      </w:r>
    </w:p>
    <w:p>
      <w:pPr>
        <w:spacing w:after="0" w:line="216"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Three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net income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53,535</w:t>
            </w: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219,801</w:t>
            </w: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0"/>
        </w:trPr>
        <w:tc>
          <w:tcPr>
            <w:tcW w:w="6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net income per share</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210"/>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net income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53,535</w:t>
            </w: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219,801</w:t>
            </w: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8"/>
                <w:szCs w:val="18"/>
                <w:color w:val="auto"/>
              </w:rPr>
              <w:t>Dilutive stock options and awards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2,066</w:t>
            </w: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used to compute diluted net income per share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221,867</w:t>
            </w: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09"/>
        </w:trPr>
        <w:tc>
          <w:tcPr>
            <w:tcW w:w="6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net income per share</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potential common shares that were excluded from the diluted net income per share computation are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Three Months Ended</w:t>
      </w:r>
    </w:p>
    <w:p>
      <w:pPr>
        <w:jc w:val="center"/>
        <w:ind w:left="5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64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4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11,116,177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8,871,744</w:t>
            </w:r>
          </w:p>
        </w:tc>
        <w:tc>
          <w:tcPr>
            <w:tcW w:w="200" w:type="dxa"/>
            <w:vAlign w:val="bottom"/>
            <w:shd w:val="clear" w:color="auto" w:fill="CCEEFF"/>
          </w:tcPr>
          <w:p>
            <w:pPr>
              <w:spacing w:after="0"/>
              <w:rPr>
                <w:sz w:val="18"/>
                <w:szCs w:val="18"/>
                <w:color w:val="auto"/>
              </w:rPr>
            </w:pPr>
          </w:p>
        </w:tc>
      </w:tr>
    </w:tbl>
    <w:p>
      <w:pPr>
        <w:spacing w:after="0" w:line="171"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months ended March 31, 2022 and 2021 was $4.9 million and $4.1 million, respectively.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30"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Three Months Ended</w:t>
      </w:r>
    </w:p>
    <w:p>
      <w:pPr>
        <w:jc w:val="center"/>
        <w:ind w:left="5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39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cost</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1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560" w:type="dxa"/>
            <w:vAlign w:val="bottom"/>
          </w:tcPr>
          <w:p>
            <w:pPr>
              <w:spacing w:after="0"/>
              <w:rPr>
                <w:sz w:val="18"/>
                <w:szCs w:val="18"/>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2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components of net periodic benefit cost other than the service cost component are included in other income (expense), net on the condensed consolidated statements of operations. We expect to contribute a total of $6.4 million to the pension plans in 2022 inclusive of the amounts contributed to the plan during the current period.</w:t>
      </w:r>
    </w:p>
    <w:p>
      <w:pPr>
        <w:spacing w:after="0" w:line="161"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Contingencies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months ended March 31, 2022 should be read in conjunction with the unaudited condensed consolidated financial statements and notes to those statements included elsewhere in this Quarterly Report on Form 10-Q and our audited consolidated financial statements as of and for the year ended December 31, 2021 included in our Annual Report on Form 10-K for the year ended December 31, 2021 previously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20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discovery, development, formulation, manufacturing and commercialization of our compounds, our drug candidates and JAKAFI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/JAKAVI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(ruxolitinib), PEMAZYRE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(pemigatinib), ICLUSIG</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(ponatinib), MONJUVI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(tafasitamab-cxix) /MINJUVI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(tafasitamab), and OPZELURA™ (ruxolitinib) cream;</w:t>
      </w:r>
    </w:p>
    <w:p>
      <w:pPr>
        <w:spacing w:after="0" w:line="2" w:lineRule="exact"/>
        <w:rPr>
          <w:rFonts w:ascii="Arial" w:cs="Arial" w:eastAsia="Arial" w:hAnsi="Arial"/>
          <w:sz w:val="17"/>
          <w:szCs w:val="17"/>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74"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our drug products and drug candidates;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expectations relating to the anticipated completion and GMP approval dates for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117"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67"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or regulatory agency interactions relating to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natural disasters, or geopolitical events such as the Russian invasion of Ukraine; and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and OPZELURA is our trademark. We also refer to trademarks of other corporations and organizations in this Quarterly Report on Form 10-Q.</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Our business is subject to numerous risks and uncertainties that could affect our ability to successfully implement our business strategy and affect our financial results. You should carefully consider all of the information in this report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and, in particular, the following principal risks and all of the other specific factors described in Item 1A. of this report, “Risk Factors,” before deciding whether to invest in our company.</w:t>
      </w:r>
    </w:p>
    <w:p>
      <w:pPr>
        <w:spacing w:after="0" w:line="170" w:lineRule="exact"/>
        <w:rPr>
          <w:sz w:val="20"/>
          <w:szCs w:val="20"/>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62"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75"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75"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for our products could harm our business and result in a decrease in our revenue.</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as well as other geopolitical events, have adversely affected and could in the future adversely affect our business and results of operations.</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or our collaborators may be unsuccessful in discovering and developing drug candidates, and we may spend significant time and money attempting to do so, in particular with our later stage drug candidates.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62"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establish collaborations to fully exploit our drug discovery and development capabilities or if future collaborations are unsuccessful, our future revenue prospects could be diminished.</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one of our drug candidates receives regulatory approval, we may determine that commercialization would not be worth the investment.</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25"/>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reliance on others to manufacture our drug products and drug candidates could result in drug supply constraints, delays in clinical trials, increased costs, and withdrawal or denial of regulatory approvals.</w:t>
      </w:r>
    </w:p>
    <w:p>
      <w:pPr>
        <w:spacing w:after="0" w:line="38" w:lineRule="exact"/>
        <w:rPr>
          <w:rFonts w:ascii="Arial" w:cs="Arial" w:eastAsia="Arial" w:hAnsi="Arial"/>
          <w:sz w:val="17"/>
          <w:szCs w:val="17"/>
          <w:color w:val="auto"/>
        </w:rPr>
      </w:pPr>
    </w:p>
    <w:p>
      <w:pPr>
        <w:ind w:left="720" w:right="5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manage our growth effectively, our ability to develop and commercialize products could suffer.</w:t>
      </w:r>
    </w:p>
    <w:p>
      <w:pPr>
        <w:spacing w:after="0" w:line="128" w:lineRule="exact"/>
        <w:rPr>
          <w:rFonts w:ascii="Arial" w:cs="Arial" w:eastAsia="Arial" w:hAnsi="Arial"/>
          <w:sz w:val="17"/>
          <w:szCs w:val="17"/>
          <w:color w:val="auto"/>
        </w:rPr>
      </w:pPr>
    </w:p>
    <w:p>
      <w:pPr>
        <w:ind w:left="720" w:right="79" w:hanging="325"/>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acquire businesses or assets, form joint ventures or make investments in other companies that may be unsuccessful, divert our management’s attention and harm our operating results and prospects.</w:t>
      </w:r>
    </w:p>
    <w:p>
      <w:pPr>
        <w:spacing w:after="0" w:line="38" w:lineRule="exact"/>
        <w:rPr>
          <w:rFonts w:ascii="Arial" w:cs="Arial" w:eastAsia="Arial" w:hAnsi="Arial"/>
          <w:sz w:val="17"/>
          <w:szCs w:val="17"/>
          <w:color w:val="auto"/>
        </w:rPr>
      </w:pPr>
    </w:p>
    <w:p>
      <w:pPr>
        <w:ind w:left="720" w:hanging="32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62" w:lineRule="exact"/>
        <w:rPr>
          <w:rFonts w:ascii="Arial" w:cs="Arial" w:eastAsia="Arial" w:hAnsi="Arial"/>
          <w:sz w:val="18"/>
          <w:szCs w:val="18"/>
          <w:color w:val="auto"/>
        </w:rPr>
      </w:pPr>
    </w:p>
    <w:p>
      <w:pPr>
        <w:ind w:left="720" w:right="79" w:hanging="325"/>
        <w:spacing w:after="0" w:line="34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5" w:lineRule="exact"/>
        <w:rPr>
          <w:rFonts w:ascii="Arial" w:cs="Arial" w:eastAsia="Arial" w:hAnsi="Arial"/>
          <w:sz w:val="16"/>
          <w:szCs w:val="16"/>
          <w:color w:val="auto"/>
        </w:rPr>
      </w:pPr>
    </w:p>
    <w:p>
      <w:pPr>
        <w:ind w:left="720" w:right="79" w:hanging="325"/>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achieve milestones, develop product candidates to license or renew or enter into new collaborations, our royalty and milestone revenues and future prospects for those revenues may decrease.</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country offices across Europe, including our European headquarters in Morges, Switzerland, our Japanese office in Tokyo and our Canadian headquarters in Montreal.</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As described in more detail below, we operate in two therapeutic areas that are defined by the indications of our approved medicines and the diseases for which our clinical candidates are being developed. One therapeutic area is Hematology/Oncology, which is comprised of Myeloproliferative Neoplasms (MPNs), Graft-Versus-Host Disease (GVHD), as well as solid tumors and hematologic malignancies. The other therapeutic area is Inflammation and Autoimmunity (IAI), which includes our newly established Dermatology commercial franchise. We are also eligible to receive milestones and royalties on molecules discovered by us and licensed to third parties.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hematology and oncology franchise is comprised of four approved products, which are JAKAFI (ruxolitinib), MONJUVI (tafasitamab-cxix)/MINJUVI (tafasitamab), PEMAZYRE (pemigatinib) and ICLUSIG (ponatinib), as well as numerous clinical development programs.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2"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MF is a rare, life-threatening condition. MF, considered the most serious of the myeloproliferative</w:t>
      </w:r>
      <w:r>
        <w:rPr>
          <w:rFonts w:ascii="Arial" w:cs="Arial" w:eastAsia="Arial" w:hAnsi="Arial"/>
          <w:sz w:val="17"/>
          <w:szCs w:val="17"/>
          <w:i w:val="1"/>
          <w:iCs w:val="1"/>
          <w:color w:val="auto"/>
        </w:rPr>
        <w:t xml:space="preserve"> </w:t>
      </w:r>
      <w:r>
        <w:rPr>
          <w:rFonts w:ascii="Arial" w:cs="Arial" w:eastAsia="Arial" w:hAnsi="Arial"/>
          <w:sz w:val="17"/>
          <w:szCs w:val="17"/>
          <w:color w:val="auto"/>
        </w:rPr>
        <w:t>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June 2016, we announced that the FDA granted Breakthrough Therapy designation for ruxolitinib in patients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with acute GVHD. In May 2019, the FDA approved JAKAFI for the treatment of steroid-refractory acute GVHD in adult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pediatric patients 12 years and older. The approval was based on data from REACH1, an open-label, single-arm,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8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mid-2028.</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MONJUVI (tafasitamab-cxix) / MINJUVI (tafasitamab)</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August 2021, we and MorphoSys announced that the European Commission (EC)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7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4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2022, PEMAZYRE was approved by the National Medical Products Administration (NMPA) for the treatment of adults with locally advanced or metastatic cholangiocarcinoma with a fibroblast growth receptor 2 (FGFR2) fusion or rearrangement as confirmed by a validated diagnostic test that have progressed after at least one prior line of systemic therapy.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Ruxolitinib and itacitinib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w:t>
      </w:r>
    </w:p>
    <w:p>
      <w:pPr>
        <w:spacing w:after="0" w:line="19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Based on positive Phase II data, we opened two pivotal trials of ruxolitinib in combination with parsaclisib (PI3Kδ) in first-line MF (LIMBER-313) and in MF patients with a suboptimal response to ruxolitinib monotherapy (LIMBER-304), and both trials are ongoing. Additional Phase II trials combining ruxolitinib with investigational agents from our portfolio such as INCB57643 (BET) and INCB00928 (ALK2) in patients with MF are in preparation, and additional discovery and development initiatives are also ongoing within the LIMBER program, which are evaluating both internally-discovered compounds, including itacitinib (JAK1), and candidates from collaboration partners.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Itacitinib is a selective JAK1 inhibitor being evaluated in GRAVITAS-309, a Phase II/III trial of itacitinib in patients with steroid-naïve chronic GVHD. The FDA has granted itacitinib orphan drug status for GVHD.</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as well as in additional immune-mediated diseases where CSF-1R-dependent monocytes and macrophages are believed to contribute to organ fibrosis. In December, updated positive data were presented at ASH from the Phase I/II trial evaluating axatilimab as a monotherapy in patients with</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Additional trials of axatilimab are planned in patients with chronic GVHD, including a Phase II trial in combination with a JAK inhibitor in patients with steroid-refractory cGVHD.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82"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26"/>
          <w:szCs w:val="26"/>
          <w:color w:val="auto"/>
          <w:vertAlign w:val="superscript"/>
        </w:rPr>
        <w:t>2</w:t>
      </w:r>
      <w:r>
        <w:rPr>
          <w:rFonts w:ascii="Arial" w:cs="Arial" w:eastAsia="Arial" w:hAnsi="Arial"/>
          <w:sz w:val="18"/>
          <w:szCs w:val="18"/>
          <w:color w:val="auto"/>
        </w:rPr>
        <w:t>) in patients with relapsed or refractory follicular or marginal zone lymphomas is ongoing, as is a proof-of-concept study (topMIND) evaluating tafasitamab in combination with parsaclisib (PI3Kδ) in patients with relapsed or refractory B-cell malignancies. We are also preparing to initiate a proof-of-concept study of tafasitamab, lenalidomide and plamotamab in patients with r/r DLBCL.</w:t>
      </w:r>
    </w:p>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ongoing trials, we have initiated additional trials. FIGHT-207, a solid tumor-agnostic trial evaluating pemigatinib in patients with driver-alterations of FGF/FGFR, is now closed to recruitment. Based on findings from this study, we have identified populations that may potentially benefit from treatment with pemigatinib and are initiating two Phase II trials – FIGHT-209 in patients with glioblastoma and FIGHT-210 in patients with non-small cell lung cancer.</w:t>
      </w:r>
    </w:p>
    <w:p>
      <w:pPr>
        <w:spacing w:after="0" w:line="19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including Phase II trials in follicular lymphoma, marginal zone lymphoma and mantle cell lymphoma. The FDA granted orphan drug designation and Fast Track designation to parsaclisib as a treatment for patients with follicular lymphoma, marginal zone lymphoma and mantle cell lymphoma.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373"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October 2021, we announced the FDA acceptance of a NDA seeking approval of parsaclisib for the treatment of patients with relapsed or refractory follicular lymphoma, marginal zone lymphoma and mantle cell lymphoma. The submission was based on data from several Phase II studies (CITADEL-203, -204 and -205) evaluating parsaclisib as a treatment for relapsed or refractory NHLs (follicular, marginal zone and mantle cell). In January 2022, we announced that we withdrew the NDA seeking approval of parsaclisib for the three indications in NHL. The decision to withdraw the NDA followed discussions with FDA regarding confirmatory studies that we determined cannot be completed within a reasonable time period to support an accelerated approval. We have an ongoing EMA submission under review for MZL.</w:t>
      </w:r>
    </w:p>
    <w:p>
      <w:pPr>
        <w:spacing w:after="0" w:line="16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 Phase II trial of parsaclisib in patients with autoimmune hemolytic anemia (AIHA), a rare red blood cell disorder, is ongoing. In June 2021, data from the Phase II trial were presented at EHA. The majority of patients achieved a response with parsaclisib over the initial 12-week treatment period and treatment with parsaclisib was generally well tolerated. Based on these results, we initiated a Phase III trial (PATHWAY) in warm AIHA. The FDA has granted orphan drug designation to parsaclisib as a treatment for patients with AIHA.</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microsatellite instability-high (MSI-H) endometrial cancer and Merkel cell carcinoma are ongoing.</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Phase III POD1UM-303 trial of retifanlimab in combination with platinum-based chemotherapy as a first-line treatment for patients with SCAC is underway. In July 2021, we announced that the FDA issued a complete response letter (CRL) for the BLA of retifanlimab for the treatment of squamous cell carcinoma of the anal canal (SCAC). In October 2021, we announced that we withdrew the Marketing Authorization Application (MAA) seeking approval of retifanlimab in SCAC.</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 and in October 2020, our collaboration partner Zai Lab announced dosing of the first patient in China.</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320" w:type="dxa"/>
            <w:vAlign w:val="bottom"/>
            <w:tcBorders>
              <w:top w:val="single" w:sz="8" w:color="auto"/>
            </w:tcBorders>
          </w:tcPr>
          <w:p>
            <w:pPr>
              <w:spacing w:after="0"/>
              <w:rPr>
                <w:sz w:val="21"/>
                <w:szCs w:val="21"/>
                <w:color w:val="auto"/>
              </w:rPr>
            </w:pPr>
          </w:p>
        </w:tc>
        <w:tc>
          <w:tcPr>
            <w:tcW w:w="65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32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r>
      <w:tr>
        <w:trPr>
          <w:trHeight w:val="142"/>
        </w:trPr>
        <w:tc>
          <w:tcPr>
            <w:tcW w:w="23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Once-a-day ruxolitinib</w:t>
            </w:r>
          </w:p>
        </w:tc>
        <w:tc>
          <w:tcPr>
            <w:tcW w:w="652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Myelofibrosis, polycythemia vera and GVHD: clinical pharmacology studies</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520" w:type="dxa"/>
            <w:vAlign w:val="bottom"/>
            <w:shd w:val="clear" w:color="auto" w:fill="CCEEFF"/>
          </w:tcPr>
          <w:p>
            <w:pPr>
              <w:spacing w:after="0"/>
              <w:rPr>
                <w:sz w:val="20"/>
                <w:szCs w:val="20"/>
                <w:color w:val="auto"/>
              </w:rPr>
            </w:pPr>
          </w:p>
        </w:tc>
      </w:tr>
      <w:tr>
        <w:trPr>
          <w:trHeight w:val="117"/>
        </w:trPr>
        <w:tc>
          <w:tcPr>
            <w:tcW w:w="2320" w:type="dxa"/>
            <w:vAlign w:val="bottom"/>
            <w:shd w:val="clear" w:color="auto" w:fill="CCEEFF"/>
          </w:tcPr>
          <w:p>
            <w:pPr>
              <w:spacing w:after="0"/>
              <w:rPr>
                <w:sz w:val="10"/>
                <w:szCs w:val="10"/>
                <w:color w:val="auto"/>
              </w:rPr>
            </w:pPr>
          </w:p>
        </w:tc>
        <w:tc>
          <w:tcPr>
            <w:tcW w:w="6520" w:type="dxa"/>
            <w:vAlign w:val="bottom"/>
            <w:shd w:val="clear" w:color="auto" w:fill="CCEEFF"/>
          </w:tcPr>
          <w:p>
            <w:pPr>
              <w:spacing w:after="0"/>
              <w:rPr>
                <w:sz w:val="10"/>
                <w:szCs w:val="10"/>
                <w:color w:val="auto"/>
              </w:rPr>
            </w:pPr>
          </w:p>
        </w:tc>
      </w:tr>
      <w:tr>
        <w:trPr>
          <w:trHeight w:val="148"/>
        </w:trPr>
        <w:tc>
          <w:tcPr>
            <w:tcW w:w="232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parsaclisib</w:t>
            </w:r>
          </w:p>
        </w:tc>
        <w:tc>
          <w:tcPr>
            <w:tcW w:w="6520" w:type="dxa"/>
            <w:vAlign w:val="bottom"/>
          </w:tcPr>
          <w:p>
            <w:pPr>
              <w:ind w:left="180"/>
              <w:spacing w:after="0" w:line="149" w:lineRule="exact"/>
              <w:rPr>
                <w:sz w:val="20"/>
                <w:szCs w:val="20"/>
                <w:color w:val="auto"/>
              </w:rPr>
            </w:pPr>
            <w:r>
              <w:rPr>
                <w:rFonts w:ascii="Arial" w:cs="Arial" w:eastAsia="Arial" w:hAnsi="Arial"/>
                <w:sz w:val="17"/>
                <w:szCs w:val="17"/>
                <w:color w:val="auto"/>
              </w:rPr>
              <w:t>Myelofibrosis: Phase III (first-line therapy) (LIMBER-313)</w:t>
            </w: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(JAK1/JAK2 + PI3Kδ)</w:t>
            </w:r>
          </w:p>
        </w:tc>
        <w:tc>
          <w:tcPr>
            <w:tcW w:w="6520" w:type="dxa"/>
            <w:vAlign w:val="bottom"/>
          </w:tcPr>
          <w:p>
            <w:pPr>
              <w:ind w:left="180"/>
              <w:spacing w:after="0"/>
              <w:rPr>
                <w:sz w:val="20"/>
                <w:szCs w:val="20"/>
                <w:color w:val="auto"/>
              </w:rPr>
            </w:pPr>
            <w:r>
              <w:rPr>
                <w:rFonts w:ascii="Arial" w:cs="Arial" w:eastAsia="Arial" w:hAnsi="Arial"/>
                <w:sz w:val="18"/>
                <w:szCs w:val="18"/>
                <w:color w:val="auto"/>
              </w:rPr>
              <w:t>Myelofibrosis: Phase III (suboptimal responders to ruxolitinib) (LIMBER-304)</w:t>
            </w:r>
          </w:p>
        </w:tc>
      </w:tr>
      <w:tr>
        <w:trPr>
          <w:trHeight w:val="130"/>
        </w:trPr>
        <w:tc>
          <w:tcPr>
            <w:tcW w:w="2320" w:type="dxa"/>
            <w:vAlign w:val="bottom"/>
          </w:tcPr>
          <w:p>
            <w:pPr>
              <w:spacing w:after="0"/>
              <w:rPr>
                <w:sz w:val="11"/>
                <w:szCs w:val="11"/>
                <w:color w:val="auto"/>
              </w:rPr>
            </w:pPr>
          </w:p>
        </w:tc>
        <w:tc>
          <w:tcPr>
            <w:tcW w:w="6520" w:type="dxa"/>
            <w:vAlign w:val="bottom"/>
          </w:tcPr>
          <w:p>
            <w:pPr>
              <w:spacing w:after="0"/>
              <w:rPr>
                <w:sz w:val="11"/>
                <w:szCs w:val="11"/>
                <w:color w:val="auto"/>
              </w:rPr>
            </w:pPr>
          </w:p>
        </w:tc>
      </w:tr>
      <w:tr>
        <w:trPr>
          <w:trHeight w:val="148"/>
        </w:trPr>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ruxolitinib + INCB57643</w:t>
            </w:r>
          </w:p>
        </w:tc>
        <w:tc>
          <w:tcPr>
            <w:tcW w:w="652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Myelofibrosis: Phase II</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BET)</w:t>
            </w:r>
          </w:p>
        </w:tc>
        <w:tc>
          <w:tcPr>
            <w:tcW w:w="6520" w:type="dxa"/>
            <w:vAlign w:val="bottom"/>
            <w:shd w:val="clear" w:color="auto" w:fill="CCEEFF"/>
          </w:tcPr>
          <w:p>
            <w:pPr>
              <w:spacing w:after="0"/>
              <w:rPr>
                <w:sz w:val="20"/>
                <w:szCs w:val="20"/>
                <w:color w:val="auto"/>
              </w:rPr>
            </w:pPr>
          </w:p>
        </w:tc>
      </w:tr>
      <w:tr>
        <w:trPr>
          <w:trHeight w:val="130"/>
        </w:trPr>
        <w:tc>
          <w:tcPr>
            <w:tcW w:w="2320" w:type="dxa"/>
            <w:vAlign w:val="bottom"/>
            <w:shd w:val="clear" w:color="auto" w:fill="CCEEFF"/>
          </w:tcPr>
          <w:p>
            <w:pPr>
              <w:spacing w:after="0"/>
              <w:rPr>
                <w:sz w:val="11"/>
                <w:szCs w:val="11"/>
                <w:color w:val="auto"/>
              </w:rPr>
            </w:pPr>
          </w:p>
        </w:tc>
        <w:tc>
          <w:tcPr>
            <w:tcW w:w="6520" w:type="dxa"/>
            <w:vAlign w:val="bottom"/>
            <w:shd w:val="clear" w:color="auto" w:fill="CCEEFF"/>
          </w:tcPr>
          <w:p>
            <w:pPr>
              <w:spacing w:after="0"/>
              <w:rPr>
                <w:sz w:val="11"/>
                <w:szCs w:val="11"/>
                <w:color w:val="auto"/>
              </w:rPr>
            </w:pPr>
          </w:p>
        </w:tc>
      </w:tr>
      <w:tr>
        <w:trPr>
          <w:trHeight w:val="148"/>
        </w:trPr>
        <w:tc>
          <w:tcPr>
            <w:tcW w:w="232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INCB00928</w:t>
            </w:r>
          </w:p>
        </w:tc>
        <w:tc>
          <w:tcPr>
            <w:tcW w:w="6520" w:type="dxa"/>
            <w:vAlign w:val="bottom"/>
          </w:tcPr>
          <w:p>
            <w:pPr>
              <w:ind w:left="180"/>
              <w:spacing w:after="0" w:line="149" w:lineRule="exact"/>
              <w:rPr>
                <w:sz w:val="20"/>
                <w:szCs w:val="20"/>
                <w:color w:val="auto"/>
              </w:rPr>
            </w:pPr>
            <w:r>
              <w:rPr>
                <w:rFonts w:ascii="Arial" w:cs="Arial" w:eastAsia="Arial" w:hAnsi="Arial"/>
                <w:sz w:val="17"/>
                <w:szCs w:val="17"/>
                <w:color w:val="auto"/>
              </w:rPr>
              <w:t>Myelofibrosis: Phase II</w:t>
            </w: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(JAK1/JAK2 + ALK2)</w:t>
            </w:r>
          </w:p>
        </w:tc>
        <w:tc>
          <w:tcPr>
            <w:tcW w:w="6520" w:type="dxa"/>
            <w:vAlign w:val="bottom"/>
          </w:tcPr>
          <w:p>
            <w:pPr>
              <w:spacing w:after="0"/>
              <w:rPr>
                <w:sz w:val="20"/>
                <w:szCs w:val="20"/>
                <w:color w:val="auto"/>
              </w:rPr>
            </w:pPr>
          </w:p>
        </w:tc>
      </w:tr>
      <w:tr>
        <w:trPr>
          <w:trHeight w:val="130"/>
        </w:trPr>
        <w:tc>
          <w:tcPr>
            <w:tcW w:w="2320" w:type="dxa"/>
            <w:vAlign w:val="bottom"/>
          </w:tcPr>
          <w:p>
            <w:pPr>
              <w:spacing w:after="0"/>
              <w:rPr>
                <w:sz w:val="11"/>
                <w:szCs w:val="11"/>
                <w:color w:val="auto"/>
              </w:rPr>
            </w:pPr>
          </w:p>
        </w:tc>
        <w:tc>
          <w:tcPr>
            <w:tcW w:w="6520" w:type="dxa"/>
            <w:vAlign w:val="bottom"/>
          </w:tcPr>
          <w:p>
            <w:pPr>
              <w:spacing w:after="0"/>
              <w:rPr>
                <w:sz w:val="11"/>
                <w:szCs w:val="11"/>
                <w:color w:val="auto"/>
              </w:rPr>
            </w:pPr>
          </w:p>
        </w:tc>
      </w:tr>
      <w:tr>
        <w:trPr>
          <w:trHeight w:val="184"/>
        </w:trPr>
        <w:tc>
          <w:tcPr>
            <w:tcW w:w="2320" w:type="dxa"/>
            <w:vAlign w:val="bottom"/>
            <w:shd w:val="clear" w:color="auto" w:fill="CCEEFF"/>
          </w:tcPr>
          <w:p>
            <w:pPr>
              <w:ind w:left="100"/>
              <w:spacing w:after="0" w:line="185" w:lineRule="exact"/>
              <w:rPr>
                <w:sz w:val="20"/>
                <w:szCs w:val="20"/>
                <w:color w:val="auto"/>
              </w:rPr>
            </w:pPr>
            <w:r>
              <w:rPr>
                <w:rFonts w:ascii="Arial" w:cs="Arial" w:eastAsia="Arial" w:hAnsi="Arial"/>
                <w:sz w:val="15"/>
                <w:szCs w:val="15"/>
                <w:b w:val="1"/>
                <w:bCs w:val="1"/>
                <w:color w:val="auto"/>
              </w:rPr>
              <w:t>ruxolitinib + CK0804</w:t>
            </w:r>
            <w:r>
              <w:rPr>
                <w:rFonts w:ascii="Arial" w:cs="Arial" w:eastAsia="Arial" w:hAnsi="Arial"/>
                <w:sz w:val="21"/>
                <w:szCs w:val="21"/>
                <w:b w:val="1"/>
                <w:bCs w:val="1"/>
                <w:color w:val="auto"/>
                <w:vertAlign w:val="superscript"/>
              </w:rPr>
              <w:t>1</w:t>
            </w:r>
          </w:p>
        </w:tc>
        <w:tc>
          <w:tcPr>
            <w:tcW w:w="6520" w:type="dxa"/>
            <w:vAlign w:val="bottom"/>
            <w:shd w:val="clear" w:color="auto" w:fill="CCEEFF"/>
          </w:tcPr>
          <w:p>
            <w:pPr>
              <w:ind w:left="180"/>
              <w:spacing w:after="0" w:line="184" w:lineRule="exact"/>
              <w:rPr>
                <w:sz w:val="20"/>
                <w:szCs w:val="20"/>
                <w:color w:val="auto"/>
              </w:rPr>
            </w:pPr>
            <w:r>
              <w:rPr>
                <w:rFonts w:ascii="Arial" w:cs="Arial" w:eastAsia="Arial" w:hAnsi="Arial"/>
                <w:sz w:val="18"/>
                <w:szCs w:val="18"/>
                <w:color w:val="auto"/>
              </w:rPr>
              <w:t>Myelofibrosis: PoC in preparation</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CB-Tregs)</w:t>
            </w:r>
          </w:p>
        </w:tc>
        <w:tc>
          <w:tcPr>
            <w:tcW w:w="6520" w:type="dxa"/>
            <w:vAlign w:val="bottom"/>
            <w:shd w:val="clear" w:color="auto" w:fill="CCEEFF"/>
          </w:tcPr>
          <w:p>
            <w:pPr>
              <w:spacing w:after="0"/>
              <w:rPr>
                <w:sz w:val="20"/>
                <w:szCs w:val="20"/>
                <w:color w:val="auto"/>
              </w:rPr>
            </w:pPr>
          </w:p>
        </w:tc>
      </w:tr>
      <w:tr>
        <w:trPr>
          <w:trHeight w:val="94"/>
        </w:trPr>
        <w:tc>
          <w:tcPr>
            <w:tcW w:w="2320" w:type="dxa"/>
            <w:vAlign w:val="bottom"/>
            <w:shd w:val="clear" w:color="auto" w:fill="CCEEFF"/>
          </w:tcPr>
          <w:p>
            <w:pPr>
              <w:spacing w:after="0"/>
              <w:rPr>
                <w:sz w:val="8"/>
                <w:szCs w:val="8"/>
                <w:color w:val="auto"/>
              </w:rPr>
            </w:pPr>
          </w:p>
        </w:tc>
        <w:tc>
          <w:tcPr>
            <w:tcW w:w="6520" w:type="dxa"/>
            <w:vAlign w:val="bottom"/>
            <w:shd w:val="clear" w:color="auto" w:fill="CCEEFF"/>
          </w:tcPr>
          <w:p>
            <w:pPr>
              <w:spacing w:after="0"/>
              <w:rPr>
                <w:sz w:val="8"/>
                <w:szCs w:val="8"/>
                <w:color w:val="auto"/>
              </w:rPr>
            </w:pP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itacitinib (JAK1)</w:t>
            </w:r>
          </w:p>
        </w:tc>
        <w:tc>
          <w:tcPr>
            <w:tcW w:w="6520" w:type="dxa"/>
            <w:vAlign w:val="bottom"/>
          </w:tcPr>
          <w:p>
            <w:pPr>
              <w:ind w:left="180"/>
              <w:spacing w:after="0"/>
              <w:rPr>
                <w:sz w:val="20"/>
                <w:szCs w:val="20"/>
                <w:color w:val="auto"/>
              </w:rPr>
            </w:pPr>
            <w:r>
              <w:rPr>
                <w:rFonts w:ascii="Arial" w:cs="Arial" w:eastAsia="Arial" w:hAnsi="Arial"/>
                <w:sz w:val="18"/>
                <w:szCs w:val="18"/>
                <w:color w:val="auto"/>
              </w:rPr>
              <w:t>Treatment-naïve chronic GVHD: Phase II/III (GRAVITAS-309)</w:t>
            </w:r>
          </w:p>
        </w:tc>
      </w:tr>
      <w:tr>
        <w:trPr>
          <w:trHeight w:val="171"/>
        </w:trPr>
        <w:tc>
          <w:tcPr>
            <w:tcW w:w="2320" w:type="dxa"/>
            <w:vAlign w:val="bottom"/>
          </w:tcPr>
          <w:p>
            <w:pPr>
              <w:spacing w:after="0"/>
              <w:rPr>
                <w:sz w:val="14"/>
                <w:szCs w:val="14"/>
                <w:color w:val="auto"/>
              </w:rPr>
            </w:pPr>
          </w:p>
        </w:tc>
        <w:tc>
          <w:tcPr>
            <w:tcW w:w="6520" w:type="dxa"/>
            <w:vAlign w:val="bottom"/>
          </w:tcPr>
          <w:p>
            <w:pPr>
              <w:spacing w:after="0"/>
              <w:rPr>
                <w:sz w:val="14"/>
                <w:szCs w:val="14"/>
                <w:color w:val="auto"/>
              </w:rPr>
            </w:pPr>
          </w:p>
        </w:tc>
      </w:tr>
      <w:tr>
        <w:trPr>
          <w:trHeight w:val="385"/>
        </w:trPr>
        <w:tc>
          <w:tcPr>
            <w:tcW w:w="2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axatilimab (anti-CSF-1R)</w:t>
            </w:r>
            <w:r>
              <w:rPr>
                <w:rFonts w:ascii="Arial" w:cs="Arial" w:eastAsia="Arial" w:hAnsi="Arial"/>
                <w:sz w:val="26"/>
                <w:szCs w:val="26"/>
                <w:color w:val="auto"/>
                <w:vertAlign w:val="superscript"/>
              </w:rPr>
              <w:t>2</w:t>
            </w:r>
          </w:p>
        </w:tc>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Chronic GVHD: Pivotal Phase II (third-line plus therapy) (AGAVE-201)</w:t>
            </w:r>
          </w:p>
        </w:tc>
      </w:tr>
      <w:tr>
        <w:trPr>
          <w:trHeight w:val="188"/>
        </w:trPr>
        <w:tc>
          <w:tcPr>
            <w:tcW w:w="2320" w:type="dxa"/>
            <w:vAlign w:val="bottom"/>
          </w:tcPr>
          <w:p>
            <w:pPr>
              <w:ind w:left="100"/>
              <w:spacing w:after="0" w:line="189" w:lineRule="exact"/>
              <w:rPr>
                <w:sz w:val="20"/>
                <w:szCs w:val="20"/>
                <w:color w:val="auto"/>
              </w:rPr>
            </w:pPr>
            <w:r>
              <w:rPr>
                <w:rFonts w:ascii="Arial" w:cs="Arial" w:eastAsia="Arial" w:hAnsi="Arial"/>
                <w:sz w:val="15"/>
                <w:szCs w:val="15"/>
                <w:b w:val="1"/>
                <w:bCs w:val="1"/>
                <w:color w:val="auto"/>
              </w:rPr>
              <w:t>tafasitamab (CD19)</w:t>
            </w:r>
            <w:r>
              <w:rPr>
                <w:rFonts w:ascii="Arial" w:cs="Arial" w:eastAsia="Arial" w:hAnsi="Arial"/>
                <w:sz w:val="21"/>
                <w:szCs w:val="21"/>
                <w:b w:val="1"/>
                <w:bCs w:val="1"/>
                <w:color w:val="auto"/>
                <w:vertAlign w:val="superscript"/>
              </w:rPr>
              <w:t>3</w:t>
            </w:r>
          </w:p>
        </w:tc>
        <w:tc>
          <w:tcPr>
            <w:tcW w:w="6520" w:type="dxa"/>
            <w:vAlign w:val="bottom"/>
          </w:tcPr>
          <w:p>
            <w:pPr>
              <w:ind w:left="180"/>
              <w:spacing w:after="0" w:line="189" w:lineRule="exact"/>
              <w:rPr>
                <w:sz w:val="20"/>
                <w:szCs w:val="20"/>
                <w:color w:val="auto"/>
              </w:rPr>
            </w:pPr>
            <w:r>
              <w:rPr>
                <w:rFonts w:ascii="Arial" w:cs="Arial" w:eastAsia="Arial" w:hAnsi="Arial"/>
                <w:sz w:val="18"/>
                <w:szCs w:val="18"/>
                <w:color w:val="auto"/>
              </w:rPr>
              <w:t>r/r DLBCL: Phase II (L-MIND); Phase III (B-MIND)</w:t>
            </w:r>
          </w:p>
        </w:tc>
      </w:tr>
      <w:tr>
        <w:trPr>
          <w:trHeight w:val="176"/>
        </w:trPr>
        <w:tc>
          <w:tcPr>
            <w:tcW w:w="2320" w:type="dxa"/>
            <w:vAlign w:val="bottom"/>
          </w:tcPr>
          <w:p>
            <w:pPr>
              <w:spacing w:after="0"/>
              <w:rPr>
                <w:sz w:val="15"/>
                <w:szCs w:val="15"/>
                <w:color w:val="auto"/>
              </w:rPr>
            </w:pPr>
          </w:p>
        </w:tc>
        <w:tc>
          <w:tcPr>
            <w:tcW w:w="6520" w:type="dxa"/>
            <w:vAlign w:val="bottom"/>
          </w:tcPr>
          <w:p>
            <w:pPr>
              <w:ind w:left="180"/>
              <w:spacing w:after="0" w:line="176" w:lineRule="exact"/>
              <w:rPr>
                <w:sz w:val="20"/>
                <w:szCs w:val="20"/>
                <w:color w:val="auto"/>
              </w:rPr>
            </w:pPr>
            <w:r>
              <w:rPr>
                <w:rFonts w:ascii="Arial" w:cs="Arial" w:eastAsia="Arial" w:hAnsi="Arial"/>
                <w:sz w:val="18"/>
                <w:szCs w:val="18"/>
                <w:color w:val="auto"/>
              </w:rPr>
              <w:t>1L DLBCL: Phase III (frontMIND)</w:t>
            </w:r>
          </w:p>
        </w:tc>
      </w:tr>
      <w:tr>
        <w:trPr>
          <w:trHeight w:val="175"/>
        </w:trPr>
        <w:tc>
          <w:tcPr>
            <w:tcW w:w="2320" w:type="dxa"/>
            <w:vAlign w:val="bottom"/>
          </w:tcPr>
          <w:p>
            <w:pPr>
              <w:spacing w:after="0"/>
              <w:rPr>
                <w:sz w:val="15"/>
                <w:szCs w:val="15"/>
                <w:color w:val="auto"/>
              </w:rPr>
            </w:pPr>
          </w:p>
        </w:tc>
        <w:tc>
          <w:tcPr>
            <w:tcW w:w="6520" w:type="dxa"/>
            <w:vAlign w:val="bottom"/>
          </w:tcPr>
          <w:p>
            <w:pPr>
              <w:ind w:left="180"/>
              <w:spacing w:after="0" w:line="176" w:lineRule="exact"/>
              <w:rPr>
                <w:sz w:val="20"/>
                <w:szCs w:val="20"/>
                <w:color w:val="auto"/>
              </w:rPr>
            </w:pPr>
            <w:r>
              <w:rPr>
                <w:rFonts w:ascii="Arial" w:cs="Arial" w:eastAsia="Arial" w:hAnsi="Arial"/>
                <w:sz w:val="18"/>
                <w:szCs w:val="18"/>
                <w:color w:val="auto"/>
              </w:rPr>
              <w:t>r/r follicular &amp; marginal zone lymphomas: Phase III (inMIND)</w:t>
            </w:r>
          </w:p>
        </w:tc>
      </w:tr>
      <w:tr>
        <w:trPr>
          <w:trHeight w:val="178"/>
        </w:trPr>
        <w:tc>
          <w:tcPr>
            <w:tcW w:w="2320" w:type="dxa"/>
            <w:vAlign w:val="bottom"/>
          </w:tcPr>
          <w:p>
            <w:pPr>
              <w:spacing w:after="0"/>
              <w:rPr>
                <w:sz w:val="15"/>
                <w:szCs w:val="15"/>
                <w:color w:val="auto"/>
              </w:rPr>
            </w:pPr>
          </w:p>
        </w:tc>
        <w:tc>
          <w:tcPr>
            <w:tcW w:w="6520" w:type="dxa"/>
            <w:vAlign w:val="bottom"/>
          </w:tcPr>
          <w:p>
            <w:pPr>
              <w:ind w:left="180"/>
              <w:spacing w:after="0" w:line="178" w:lineRule="exact"/>
              <w:rPr>
                <w:sz w:val="20"/>
                <w:szCs w:val="20"/>
                <w:color w:val="auto"/>
              </w:rPr>
            </w:pPr>
            <w:r>
              <w:rPr>
                <w:rFonts w:ascii="Arial" w:cs="Arial" w:eastAsia="Arial" w:hAnsi="Arial"/>
                <w:sz w:val="18"/>
                <w:szCs w:val="18"/>
                <w:color w:val="auto"/>
              </w:rPr>
              <w:t>r/r B-cell malignancies: PoC with parsaclisib (PI3Kδ) (topMIND)</w:t>
            </w:r>
          </w:p>
        </w:tc>
      </w:tr>
      <w:tr>
        <w:trPr>
          <w:trHeight w:val="353"/>
        </w:trPr>
        <w:tc>
          <w:tcPr>
            <w:tcW w:w="2320" w:type="dxa"/>
            <w:vAlign w:val="bottom"/>
          </w:tcPr>
          <w:p>
            <w:pPr>
              <w:spacing w:after="0"/>
              <w:rPr>
                <w:sz w:val="24"/>
                <w:szCs w:val="24"/>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r/r B-cell malignancies: PoC with lenalidomide and plamotamab being initiated</w:t>
            </w:r>
            <w:r>
              <w:rPr>
                <w:rFonts w:ascii="Arial" w:cs="Arial" w:eastAsia="Arial" w:hAnsi="Arial"/>
                <w:sz w:val="26"/>
                <w:szCs w:val="26"/>
                <w:color w:val="auto"/>
                <w:vertAlign w:val="superscript"/>
              </w:rPr>
              <w:t>4</w:t>
            </w:r>
          </w:p>
        </w:tc>
      </w:tr>
      <w:tr>
        <w:trPr>
          <w:trHeight w:val="131"/>
        </w:trPr>
        <w:tc>
          <w:tcPr>
            <w:tcW w:w="2320" w:type="dxa"/>
            <w:vAlign w:val="bottom"/>
          </w:tcPr>
          <w:p>
            <w:pPr>
              <w:spacing w:after="0"/>
              <w:rPr>
                <w:sz w:val="11"/>
                <w:szCs w:val="11"/>
                <w:color w:val="auto"/>
              </w:rPr>
            </w:pPr>
          </w:p>
        </w:tc>
        <w:tc>
          <w:tcPr>
            <w:tcW w:w="6520" w:type="dxa"/>
            <w:vAlign w:val="bottom"/>
          </w:tcPr>
          <w:p>
            <w:pPr>
              <w:spacing w:after="0"/>
              <w:rPr>
                <w:sz w:val="11"/>
                <w:szCs w:val="11"/>
                <w:color w:val="auto"/>
              </w:rPr>
            </w:pPr>
          </w:p>
        </w:tc>
      </w:tr>
      <w:tr>
        <w:trPr>
          <w:trHeight w:val="188"/>
        </w:trPr>
        <w:tc>
          <w:tcPr>
            <w:tcW w:w="23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pemigatinib (FGFR1/2/3)</w:t>
            </w:r>
          </w:p>
        </w:tc>
        <w:tc>
          <w:tcPr>
            <w:tcW w:w="65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CCA: Phase III (FIGHT-302)</w:t>
            </w:r>
          </w:p>
        </w:tc>
      </w:tr>
      <w:tr>
        <w:trPr>
          <w:trHeight w:val="203"/>
        </w:trPr>
        <w:tc>
          <w:tcPr>
            <w:tcW w:w="2320" w:type="dxa"/>
            <w:vAlign w:val="bottom"/>
            <w:shd w:val="clear" w:color="auto" w:fill="CCEEFF"/>
          </w:tcPr>
          <w:p>
            <w:pPr>
              <w:spacing w:after="0"/>
              <w:rPr>
                <w:sz w:val="17"/>
                <w:szCs w:val="17"/>
                <w:color w:val="auto"/>
              </w:rPr>
            </w:pPr>
          </w:p>
        </w:tc>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Myeloid/lymphoid neoplasms (MLN): Phase II (FIGHT-203)</w:t>
            </w:r>
          </w:p>
        </w:tc>
      </w:tr>
      <w:tr>
        <w:trPr>
          <w:trHeight w:val="176"/>
        </w:trPr>
        <w:tc>
          <w:tcPr>
            <w:tcW w:w="2320" w:type="dxa"/>
            <w:vAlign w:val="bottom"/>
            <w:shd w:val="clear" w:color="auto" w:fill="CCEEFF"/>
          </w:tcPr>
          <w:p>
            <w:pPr>
              <w:spacing w:after="0"/>
              <w:rPr>
                <w:sz w:val="15"/>
                <w:szCs w:val="15"/>
                <w:color w:val="auto"/>
              </w:rPr>
            </w:pPr>
          </w:p>
        </w:tc>
        <w:tc>
          <w:tcPr>
            <w:tcW w:w="6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Glioblastoma: Phase II (FIGHT-209) being initiated</w:t>
            </w:r>
          </w:p>
        </w:tc>
      </w:tr>
      <w:tr>
        <w:trPr>
          <w:trHeight w:val="203"/>
        </w:trPr>
        <w:tc>
          <w:tcPr>
            <w:tcW w:w="2320" w:type="dxa"/>
            <w:vAlign w:val="bottom"/>
            <w:shd w:val="clear" w:color="auto" w:fill="CCEEFF"/>
          </w:tcPr>
          <w:p>
            <w:pPr>
              <w:spacing w:after="0"/>
              <w:rPr>
                <w:sz w:val="17"/>
                <w:szCs w:val="17"/>
                <w:color w:val="auto"/>
              </w:rPr>
            </w:pPr>
          </w:p>
        </w:tc>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NSCLC: Phase II (FIGHT-210) being initiated</w:t>
            </w: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parsaclisib (PI3Kδ)</w:t>
            </w:r>
          </w:p>
        </w:tc>
        <w:tc>
          <w:tcPr>
            <w:tcW w:w="6520" w:type="dxa"/>
            <w:vAlign w:val="bottom"/>
          </w:tcPr>
          <w:p>
            <w:pPr>
              <w:ind w:left="180"/>
              <w:spacing w:after="0"/>
              <w:rPr>
                <w:sz w:val="20"/>
                <w:szCs w:val="20"/>
                <w:color w:val="auto"/>
              </w:rPr>
            </w:pPr>
            <w:r>
              <w:rPr>
                <w:rFonts w:ascii="Arial" w:cs="Arial" w:eastAsia="Arial" w:hAnsi="Arial"/>
                <w:sz w:val="18"/>
                <w:szCs w:val="18"/>
                <w:color w:val="auto"/>
              </w:rPr>
              <w:t>Autoimmune hemolytic anemia: Phase III (PATHWAY)</w:t>
            </w:r>
          </w:p>
        </w:tc>
      </w:tr>
      <w:tr>
        <w:trPr>
          <w:trHeight w:val="279"/>
        </w:trPr>
        <w:tc>
          <w:tcPr>
            <w:tcW w:w="232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188"/>
        </w:trPr>
        <w:tc>
          <w:tcPr>
            <w:tcW w:w="232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b w:val="1"/>
                <w:bCs w:val="1"/>
                <w:color w:val="auto"/>
              </w:rPr>
              <w:t>retifanlimab (PD-1)</w:t>
            </w:r>
            <w:r>
              <w:rPr>
                <w:rFonts w:ascii="Arial" w:cs="Arial" w:eastAsia="Arial" w:hAnsi="Arial"/>
                <w:sz w:val="21"/>
                <w:szCs w:val="21"/>
                <w:b w:val="1"/>
                <w:bCs w:val="1"/>
                <w:color w:val="auto"/>
                <w:vertAlign w:val="superscript"/>
              </w:rPr>
              <w:t>5</w:t>
            </w:r>
          </w:p>
        </w:tc>
        <w:tc>
          <w:tcPr>
            <w:tcW w:w="65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SCAC: Phase III (PODIUM-303)</w:t>
            </w:r>
          </w:p>
        </w:tc>
      </w:tr>
      <w:tr>
        <w:trPr>
          <w:trHeight w:val="203"/>
        </w:trPr>
        <w:tc>
          <w:tcPr>
            <w:tcW w:w="2320" w:type="dxa"/>
            <w:vAlign w:val="bottom"/>
            <w:shd w:val="clear" w:color="auto" w:fill="CCEEFF"/>
          </w:tcPr>
          <w:p>
            <w:pPr>
              <w:spacing w:after="0"/>
              <w:rPr>
                <w:sz w:val="17"/>
                <w:szCs w:val="17"/>
                <w:color w:val="auto"/>
              </w:rPr>
            </w:pPr>
          </w:p>
        </w:tc>
        <w:tc>
          <w:tcPr>
            <w:tcW w:w="6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MSI-high endometrial cancer: Phase II (POD1UM-101, POD1UM-204)</w:t>
            </w:r>
          </w:p>
        </w:tc>
      </w:tr>
      <w:tr>
        <w:trPr>
          <w:trHeight w:val="216"/>
        </w:trPr>
        <w:tc>
          <w:tcPr>
            <w:tcW w:w="2320" w:type="dxa"/>
            <w:vAlign w:val="bottom"/>
            <w:shd w:val="clear" w:color="auto" w:fill="CCEEFF"/>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Merkel cell carcinoma: Phase II (POD1UM-201)</w:t>
            </w:r>
          </w:p>
        </w:tc>
      </w:tr>
      <w:tr>
        <w:trPr>
          <w:trHeight w:val="230"/>
        </w:trPr>
        <w:tc>
          <w:tcPr>
            <w:tcW w:w="2320" w:type="dxa"/>
            <w:vAlign w:val="bottom"/>
            <w:shd w:val="clear" w:color="auto" w:fill="CCEEFF"/>
          </w:tcPr>
          <w:p>
            <w:pPr>
              <w:spacing w:after="0"/>
              <w:rPr>
                <w:sz w:val="20"/>
                <w:szCs w:val="20"/>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NSCLC: Phase III (POD1UM-304)</w:t>
            </w:r>
          </w:p>
        </w:tc>
      </w:tr>
      <w:tr>
        <w:trPr>
          <w:trHeight w:val="189"/>
        </w:trPr>
        <w:tc>
          <w:tcPr>
            <w:tcW w:w="2320" w:type="dxa"/>
            <w:vAlign w:val="bottom"/>
            <w:tcBorders>
              <w:bottom w:val="single" w:sz="8" w:color="auto"/>
            </w:tcBorders>
            <w:shd w:val="clear" w:color="auto" w:fill="CCEEFF"/>
          </w:tcPr>
          <w:p>
            <w:pPr>
              <w:spacing w:after="0"/>
              <w:rPr>
                <w:sz w:val="16"/>
                <w:szCs w:val="16"/>
                <w:color w:val="auto"/>
              </w:rPr>
            </w:pPr>
          </w:p>
        </w:tc>
        <w:tc>
          <w:tcPr>
            <w:tcW w:w="6520" w:type="dxa"/>
            <w:vAlign w:val="bottom"/>
            <w:tcBorders>
              <w:bottom w:val="single" w:sz="8" w:color="auto"/>
            </w:tcBorders>
            <w:shd w:val="clear" w:color="auto" w:fill="CCEEFF"/>
          </w:tcPr>
          <w:p>
            <w:pPr>
              <w:spacing w:after="0"/>
              <w:rPr>
                <w:sz w:val="16"/>
                <w:szCs w:val="16"/>
                <w:color w:val="auto"/>
              </w:rPr>
            </w:pPr>
          </w:p>
        </w:tc>
      </w:tr>
    </w:tbl>
    <w:p>
      <w:pPr>
        <w:spacing w:after="0" w:line="14" w:lineRule="exact"/>
        <w:rPr>
          <w:sz w:val="20"/>
          <w:szCs w:val="20"/>
          <w:color w:val="auto"/>
        </w:rPr>
      </w:pPr>
    </w:p>
    <w:p>
      <w:pPr>
        <w:ind w:left="200" w:hanging="156"/>
        <w:spacing w:after="0"/>
        <w:tabs>
          <w:tab w:leader="none" w:pos="20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Development collaboration with Cellenkos,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axatilimab development in collaboration with Syndax.</w:t>
      </w:r>
    </w:p>
    <w:p>
      <w:pPr>
        <w:spacing w:after="0" w:line="2" w:lineRule="exact"/>
        <w:rPr>
          <w:rFonts w:ascii="Arial" w:cs="Arial" w:eastAsia="Arial" w:hAnsi="Arial"/>
          <w:sz w:val="24"/>
          <w:szCs w:val="24"/>
          <w:color w:val="auto"/>
          <w:vertAlign w:val="superscript"/>
        </w:rPr>
      </w:pPr>
    </w:p>
    <w:p>
      <w:pPr>
        <w:ind w:left="180" w:hanging="136"/>
        <w:spacing w:after="0" w:line="186" w:lineRule="auto"/>
        <w:tabs>
          <w:tab w:leader="none" w:pos="18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tafasitamab development in collaboration with MorphoSys.</w:t>
      </w:r>
    </w:p>
    <w:p>
      <w:pPr>
        <w:spacing w:after="0" w:line="2" w:lineRule="exact"/>
        <w:rPr>
          <w:rFonts w:ascii="Arial" w:cs="Arial" w:eastAsia="Arial" w:hAnsi="Arial"/>
          <w:sz w:val="24"/>
          <w:szCs w:val="24"/>
          <w:color w:val="auto"/>
          <w:vertAlign w:val="superscript"/>
        </w:rPr>
      </w:pPr>
    </w:p>
    <w:p>
      <w:pPr>
        <w:ind w:left="40" w:right="59" w:firstLine="4"/>
        <w:spacing w:after="0" w:line="208" w:lineRule="auto"/>
        <w:tabs>
          <w:tab w:leader="none" w:pos="192"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Clinical collaboration with MorphoSys and Xencor, Inc. to investigate the combination of tafasitamab plus lenalidomide in combination with Xencor’s CD20xCD3 XmAb bispecific antibody, plamotamab.</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retifanlimab licensed from MacroGenics.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Oral PD-L1</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November 2021, we highlighted Phase I clinical safety and efficacy data for our oral PD-L1 program which included three compounds, INCB86550, INCB99280 and INCB99318. Tumor shrinkage was observed for all three oral PD-L1 inhibitors. With regards to safety, both INCB99280 and INCB99318 did not show peripheral neuropathy seen with INCB86550. In May 2022, the decision was made to prioritize the development of INCB99280 and INCB99318 based on positive therapeutic ratios.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INCB123667 (CDK2)</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 A Phase I dose-escalation and dose-expansion study of INCB123667 in adults with selected advanced or metastatic solid tumors is being initiated.</w:t>
      </w:r>
    </w:p>
    <w:p>
      <w:pPr>
        <w:spacing w:after="0" w:line="18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also have a number of other earlier-stage clinical programs in hematology and oncology, as detailed in the table below. We intend to describe these programs more fully if we obtain clinical proof-of-concept and establish that a program warrants further development in a specific indication or group of indications.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4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95"/>
        </w:trPr>
        <w:tc>
          <w:tcPr>
            <w:tcW w:w="224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68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INCB81776 (AXL/MER), epacadostat (IDO1), INCB99280 (PD-L1), INCB99318</w:t>
            </w:r>
          </w:p>
        </w:tc>
      </w:tr>
      <w:tr>
        <w:trPr>
          <w:trHeight w:val="353"/>
        </w:trPr>
        <w:tc>
          <w:tcPr>
            <w:tcW w:w="2240" w:type="dxa"/>
            <w:vAlign w:val="bottom"/>
            <w:shd w:val="clear" w:color="auto" w:fill="CCEEFF"/>
          </w:tcPr>
          <w:p>
            <w:pPr>
              <w:spacing w:after="0"/>
              <w:rPr>
                <w:sz w:val="24"/>
                <w:szCs w:val="24"/>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(PD-L1), INCB106385 (A2A/A</w:t>
            </w:r>
            <w:r>
              <w:rPr>
                <w:rFonts w:ascii="Arial" w:cs="Arial" w:eastAsia="Arial" w:hAnsi="Arial"/>
                <w:sz w:val="26"/>
                <w:szCs w:val="26"/>
                <w:color w:val="auto"/>
                <w:vertAlign w:val="subscript"/>
              </w:rPr>
              <w:t>2B</w:t>
            </w:r>
            <w:r>
              <w:rPr>
                <w:rFonts w:ascii="Arial" w:cs="Arial" w:eastAsia="Arial" w:hAnsi="Arial"/>
                <w:sz w:val="18"/>
                <w:szCs w:val="18"/>
                <w:color w:val="auto"/>
              </w:rPr>
              <w:t>), INCB123667 (CDK2)</w:t>
            </w:r>
          </w:p>
        </w:tc>
      </w:tr>
      <w:tr>
        <w:trPr>
          <w:trHeight w:val="107"/>
        </w:trPr>
        <w:tc>
          <w:tcPr>
            <w:tcW w:w="2240" w:type="dxa"/>
            <w:vAlign w:val="bottom"/>
            <w:shd w:val="clear" w:color="auto" w:fill="CCEEFF"/>
          </w:tcPr>
          <w:p>
            <w:pPr>
              <w:spacing w:after="0"/>
              <w:rPr>
                <w:sz w:val="9"/>
                <w:szCs w:val="9"/>
                <w:color w:val="auto"/>
              </w:rPr>
            </w:pPr>
          </w:p>
        </w:tc>
        <w:tc>
          <w:tcPr>
            <w:tcW w:w="6680" w:type="dxa"/>
            <w:vAlign w:val="bottom"/>
            <w:shd w:val="clear" w:color="auto" w:fill="CCEEFF"/>
          </w:tcPr>
          <w:p>
            <w:pPr>
              <w:spacing w:after="0"/>
              <w:rPr>
                <w:sz w:val="9"/>
                <w:szCs w:val="9"/>
                <w:color w:val="auto"/>
              </w:rPr>
            </w:pPr>
          </w:p>
        </w:tc>
      </w:tr>
      <w:tr>
        <w:trPr>
          <w:trHeight w:val="202"/>
        </w:trPr>
        <w:tc>
          <w:tcPr>
            <w:tcW w:w="2240" w:type="dxa"/>
            <w:vAlign w:val="bottom"/>
          </w:tcPr>
          <w:p>
            <w:pPr>
              <w:ind w:left="100"/>
              <w:spacing w:after="0" w:line="201"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1</w:t>
            </w:r>
          </w:p>
        </w:tc>
        <w:tc>
          <w:tcPr>
            <w:tcW w:w="6680" w:type="dxa"/>
            <w:vAlign w:val="bottom"/>
          </w:tcPr>
          <w:p>
            <w:pPr>
              <w:ind w:left="32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 INCA00186 (CD73)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6578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3" w:lineRule="exact"/>
        <w:rPr>
          <w:sz w:val="20"/>
          <w:szCs w:val="20"/>
          <w:color w:val="auto"/>
        </w:rPr>
      </w:pPr>
    </w:p>
    <w:p>
      <w:pPr>
        <w:ind w:left="200" w:hanging="156"/>
        <w:spacing w:after="0"/>
        <w:tabs>
          <w:tab w:leader="none" w:pos="20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Discovery collaboration with Agenus Inc.</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Incyte Dermatology launched its first approved product, OPZELURA (ruxolitinib) cream, in October 2021, following FDA approval in September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Incyte’s IAI efforts also include numerous clinical development programs.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OPZELURA (ruxolitinib) cream</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September 2021, we announced that the FDA approved OPZELURA (ruxolitinib) cream, a novel cream formulation of Incyte’s 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57" w:lineRule="exact"/>
        <w:rPr>
          <w:sz w:val="20"/>
          <w:szCs w:val="20"/>
          <w:color w:val="auto"/>
        </w:rPr>
      </w:pPr>
    </w:p>
    <w:p>
      <w:pPr>
        <w:jc w:val="both"/>
        <w:ind w:left="40" w:right="59" w:firstLine="693"/>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left="40" w:right="59" w:firstLine="693"/>
        <w:spacing w:after="0" w:line="301" w:lineRule="auto"/>
        <w:rPr>
          <w:sz w:val="20"/>
          <w:szCs w:val="20"/>
          <w:color w:val="auto"/>
        </w:rPr>
      </w:pPr>
      <w:r>
        <w:rPr>
          <w:rFonts w:ascii="Arial" w:cs="Arial" w:eastAsia="Arial" w:hAnsi="Arial"/>
          <w:sz w:val="16"/>
          <w:szCs w:val="16"/>
          <w:color w:val="auto"/>
        </w:rPr>
        <w:t>The approval of OPZELURA was based on data from two randomized, double-blind, vehicle-controlled Phase III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Ruxolitinib cream is a potent, selective inhibitor of JAK1 and JAK2 that provides the opportunity to directly target diverse pathogenic pathways that underlie certain dermatologic conditions, including atopic dermatitis, vitiligo and chronic hand eczema.</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are currently evaluating ruxolitinib cream in a Phase III trial, TRuE-AD3, in pediatric atopic dermatitis patients ages ≥2 years to &lt; 12 years. Two Phase III trials (TRuE-CHE1 and TRuE-CHE2) evaluating ruxolitinib cream in chronic hand eczema are in preparation.</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addition, we are evaluating ruxolitinib cream in vitiligo, and in May 2021, we announced positive topline results from the Phase III TRuE-V program evaluating ruxolitinib cream as a treatment for adolescent and adult patients with vitiligo. Both TRuE-V1 and TRuE-V2 studies met the primary and key secondary endpoints, including patient reported outcomes. The overall efficacy and safety profile of ruxolitinib cream was consistent with previously reported Phase II data, and no new safety signals were observed.</w:t>
      </w:r>
    </w:p>
    <w:p>
      <w:pPr>
        <w:spacing w:after="0" w:line="18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October 2021, data from the Week 24 analysis of the Phase III TRuE-V program were presented at the European Academy of Dermatology and Venereology Congress (EADV).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≥75% improvement from baseline in the facial Vitiligo Area Scoring Index (F-VASI75), the primary endpoint. The overall safety profile of ruxolitinib cream in vitiligo was consistent with previous study data. In the TRuE-V studies, patients using ruxolitinib cream did not report clinically significant application site reactions. Treatment-emergent adverse events were consistent with previous studies, with no serious treatment-related adverse events reported.</w:t>
      </w:r>
    </w:p>
    <w:p>
      <w:pPr>
        <w:spacing w:after="0" w:line="19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October 2021, we announced the validation of the European Marketing Authorization Application (MAA) for ruxolitinib cream as a potential treatment for adolescents and adults (age ≥12 years) with non-segmental vitiligo with facial involvement.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December 2021, we announced that the U.S. FDA accepted for Priority Review the sNDA for ruxolitinib cream as a potential treatment for adolescents and adults (age ≥ 12 years) with vitiligo. In March 2022, we announced the FDA extended the review period for the sNDA by an additional three months to allow time to review additional data from the ongoing Phase III studies submitted by Incyte in response to the FDA’s information request. The Prescription Drug User Fee Act (PDUFA) target action date is July 18, 2022.</w:t>
      </w:r>
    </w:p>
    <w:p>
      <w:pPr>
        <w:spacing w:after="0" w:line="188"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 xml:space="preserve">In March 2022, data from the Week 52 analysis of the Phase III TRuE-V program were presented at the American Academy of Dermatology (AAD) annual meeting. Treatment with 1.5% ruxolitinib cream twice daily (BID) resulted in further improvement in facial and total body repigmentation at Week 52. Results showed that at Week 52, approximately 50% of patients achieved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75% improvement from baseline in the Facial Vitiligo Area Scoring Index (F-VASI75). The overall safety profile of ruxolitinib cream in vitiligo was consistent with previous study data and there were no clinically significant application site reactions or serious treatment-related adverse events related to ruxolitinib cream.</w:t>
      </w:r>
    </w:p>
    <w:p>
      <w:pPr>
        <w:spacing w:after="0" w:line="16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Vitiligo is a long-term skin condition characterized by patches of the skin losing their pigment. It is estimated that vitiligo affects 0.5-2% of the US population and, therefore, there are at least 1.5 million patients in the United States with this disorder. There are no FDA approved treatments for repigmentation of vitiligo lesions.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are also developing INCB54707, which is an oral small molecule selective JAK1 inhibitor. INCB54707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INCB54707 is underway in patients with HS. In March 2021, we initiated a Phase II trial evaluating INCB54707 in patients with vitiligo. A Phase II trial evaluating INCB54707 in patients with prurigo nodularis is ongoing.</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960" w:type="dxa"/>
            <w:vAlign w:val="bottom"/>
            <w:tcBorders>
              <w:top w:val="single" w:sz="8" w:color="auto"/>
            </w:tcBorders>
          </w:tcPr>
          <w:p>
            <w:pPr>
              <w:spacing w:after="0"/>
              <w:rPr>
                <w:sz w:val="21"/>
                <w:szCs w:val="21"/>
                <w:color w:val="auto"/>
              </w:rPr>
            </w:pPr>
          </w:p>
        </w:tc>
        <w:tc>
          <w:tcPr>
            <w:tcW w:w="69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60" w:type="dxa"/>
            <w:vAlign w:val="bottom"/>
            <w:tcBorders>
              <w:bottom w:val="single" w:sz="8" w:color="auto"/>
            </w:tcBorders>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r>
      <w:tr>
        <w:trPr>
          <w:trHeight w:val="155"/>
        </w:trPr>
        <w:tc>
          <w:tcPr>
            <w:tcW w:w="1960" w:type="dxa"/>
            <w:vAlign w:val="bottom"/>
            <w:shd w:val="clear" w:color="auto" w:fill="CCEEFF"/>
          </w:tcPr>
          <w:p>
            <w:pPr>
              <w:ind w:left="100"/>
              <w:spacing w:after="0" w:line="156" w:lineRule="exact"/>
              <w:rPr>
                <w:sz w:val="20"/>
                <w:szCs w:val="20"/>
                <w:color w:val="auto"/>
              </w:rPr>
            </w:pPr>
            <w:r>
              <w:rPr>
                <w:rFonts w:ascii="Arial" w:cs="Arial" w:eastAsia="Arial" w:hAnsi="Arial"/>
                <w:sz w:val="13"/>
                <w:szCs w:val="13"/>
                <w:b w:val="1"/>
                <w:bCs w:val="1"/>
                <w:color w:val="auto"/>
              </w:rPr>
              <w:t>ruxolitinib cream</w:t>
            </w:r>
            <w:r>
              <w:rPr>
                <w:rFonts w:ascii="Arial" w:cs="Arial" w:eastAsia="Arial" w:hAnsi="Arial"/>
                <w:sz w:val="18"/>
                <w:szCs w:val="18"/>
                <w:b w:val="1"/>
                <w:bCs w:val="1"/>
                <w:color w:val="auto"/>
                <w:vertAlign w:val="superscript"/>
              </w:rPr>
              <w:t>1</w:t>
            </w:r>
          </w:p>
        </w:tc>
        <w:tc>
          <w:tcPr>
            <w:tcW w:w="696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color w:val="auto"/>
              </w:rPr>
              <w:t>Atopic dermatitis: Phase III pediatric study (TRuE-AD3)</w:t>
            </w:r>
          </w:p>
        </w:tc>
      </w:tr>
      <w:tr>
        <w:trPr>
          <w:trHeight w:val="216"/>
        </w:trPr>
        <w:tc>
          <w:tcPr>
            <w:tcW w:w="19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Chronic hand eczema: Phase III (TRuE-CHE1 and TRuE-CHE2) being initiated</w:t>
            </w:r>
          </w:p>
        </w:tc>
      </w:tr>
      <w:tr>
        <w:trPr>
          <w:trHeight w:val="121"/>
        </w:trPr>
        <w:tc>
          <w:tcPr>
            <w:tcW w:w="1960" w:type="dxa"/>
            <w:vAlign w:val="bottom"/>
            <w:shd w:val="clear" w:color="auto" w:fill="CCEEFF"/>
          </w:tcPr>
          <w:p>
            <w:pPr>
              <w:spacing w:after="0"/>
              <w:rPr>
                <w:sz w:val="10"/>
                <w:szCs w:val="10"/>
                <w:color w:val="auto"/>
              </w:rPr>
            </w:pPr>
          </w:p>
        </w:tc>
        <w:tc>
          <w:tcPr>
            <w:tcW w:w="6960" w:type="dxa"/>
            <w:vAlign w:val="bottom"/>
            <w:shd w:val="clear" w:color="auto" w:fill="CCEEFF"/>
          </w:tcPr>
          <w:p>
            <w:pPr>
              <w:ind w:left="260"/>
              <w:spacing w:after="0" w:line="122" w:lineRule="exact"/>
              <w:rPr>
                <w:sz w:val="20"/>
                <w:szCs w:val="20"/>
                <w:color w:val="auto"/>
              </w:rPr>
            </w:pPr>
            <w:r>
              <w:rPr>
                <w:rFonts w:ascii="Arial" w:cs="Arial" w:eastAsia="Arial" w:hAnsi="Arial"/>
                <w:sz w:val="13"/>
                <w:szCs w:val="13"/>
                <w:color w:val="auto"/>
              </w:rPr>
              <w:t>Vitiligo: Phase III (TRuE-V1, TRuE-V2; primary endpoint met in both studies); sNDA and</w:t>
            </w:r>
          </w:p>
        </w:tc>
      </w:tr>
      <w:tr>
        <w:trPr>
          <w:trHeight w:val="230"/>
        </w:trPr>
        <w:tc>
          <w:tcPr>
            <w:tcW w:w="1960" w:type="dxa"/>
            <w:vAlign w:val="bottom"/>
            <w:shd w:val="clear" w:color="auto" w:fill="CCEEFF"/>
          </w:tcPr>
          <w:p>
            <w:pPr>
              <w:spacing w:after="0"/>
              <w:rPr>
                <w:sz w:val="20"/>
                <w:szCs w:val="20"/>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MAA under review</w:t>
            </w:r>
          </w:p>
        </w:tc>
      </w:tr>
      <w:tr>
        <w:trPr>
          <w:trHeight w:val="188"/>
        </w:trPr>
        <w:tc>
          <w:tcPr>
            <w:tcW w:w="8920" w:type="dxa"/>
            <w:vAlign w:val="bottom"/>
            <w:tcBorders>
              <w:bottom w:val="single" w:sz="8" w:color="auto"/>
            </w:tcBorders>
            <w:gridSpan w:val="2"/>
            <w:shd w:val="clear" w:color="auto" w:fill="CCEEFF"/>
          </w:tcPr>
          <w:p>
            <w:pPr>
              <w:spacing w:after="0"/>
              <w:rPr>
                <w:sz w:val="16"/>
                <w:szCs w:val="16"/>
                <w:color w:val="auto"/>
              </w:rPr>
            </w:pPr>
          </w:p>
        </w:tc>
      </w:tr>
      <w:tr>
        <w:trPr>
          <w:trHeight w:val="142"/>
        </w:trPr>
        <w:tc>
          <w:tcPr>
            <w:tcW w:w="8920" w:type="dxa"/>
            <w:vAlign w:val="bottom"/>
            <w:gridSpan w:val="2"/>
          </w:tcPr>
          <w:p>
            <w:pPr>
              <w:ind w:left="100"/>
              <w:spacing w:after="0" w:line="142" w:lineRule="exact"/>
              <w:rPr>
                <w:sz w:val="20"/>
                <w:szCs w:val="20"/>
                <w:color w:val="auto"/>
              </w:rPr>
            </w:pPr>
            <w:r>
              <w:rPr>
                <w:rFonts w:ascii="Arial" w:cs="Arial" w:eastAsia="Arial" w:hAnsi="Arial"/>
                <w:sz w:val="16"/>
                <w:szCs w:val="16"/>
                <w:b w:val="1"/>
                <w:bCs w:val="1"/>
                <w:color w:val="auto"/>
              </w:rPr>
              <w:t xml:space="preserve">ruxolitinib cream + NB-   </w:t>
            </w:r>
            <w:r>
              <w:rPr>
                <w:rFonts w:ascii="Arial" w:cs="Arial" w:eastAsia="Arial" w:hAnsi="Arial"/>
                <w:sz w:val="16"/>
                <w:szCs w:val="16"/>
                <w:color w:val="auto"/>
              </w:rPr>
              <w:t>Vitiligo: Phase II being initiated</w:t>
            </w:r>
          </w:p>
        </w:tc>
      </w:tr>
      <w:tr>
        <w:trPr>
          <w:trHeight w:val="176"/>
        </w:trPr>
        <w:tc>
          <w:tcPr>
            <w:tcW w:w="1960" w:type="dxa"/>
            <w:vAlign w:val="bottom"/>
          </w:tcPr>
          <w:p>
            <w:pPr>
              <w:ind w:left="100"/>
              <w:spacing w:after="0" w:line="176" w:lineRule="exact"/>
              <w:rPr>
                <w:sz w:val="20"/>
                <w:szCs w:val="20"/>
                <w:color w:val="auto"/>
              </w:rPr>
            </w:pPr>
            <w:r>
              <w:rPr>
                <w:rFonts w:ascii="Arial" w:cs="Arial" w:eastAsia="Arial" w:hAnsi="Arial"/>
                <w:sz w:val="18"/>
                <w:szCs w:val="18"/>
                <w:b w:val="1"/>
                <w:bCs w:val="1"/>
                <w:color w:val="auto"/>
              </w:rPr>
              <w:t>UVB (JAK1/JAK2 +</w:t>
            </w:r>
          </w:p>
        </w:tc>
        <w:tc>
          <w:tcPr>
            <w:tcW w:w="6960" w:type="dxa"/>
            <w:vAlign w:val="bottom"/>
          </w:tcPr>
          <w:p>
            <w:pPr>
              <w:spacing w:after="0"/>
              <w:rPr>
                <w:sz w:val="15"/>
                <w:szCs w:val="15"/>
                <w:color w:val="auto"/>
              </w:rPr>
            </w:pPr>
          </w:p>
        </w:tc>
      </w:tr>
      <w:tr>
        <w:trPr>
          <w:trHeight w:val="234"/>
        </w:trPr>
        <w:tc>
          <w:tcPr>
            <w:tcW w:w="1960" w:type="dxa"/>
            <w:vAlign w:val="bottom"/>
          </w:tcPr>
          <w:p>
            <w:pPr>
              <w:ind w:left="100"/>
              <w:spacing w:after="0"/>
              <w:rPr>
                <w:sz w:val="20"/>
                <w:szCs w:val="20"/>
                <w:color w:val="auto"/>
              </w:rPr>
            </w:pPr>
            <w:r>
              <w:rPr>
                <w:rFonts w:ascii="Arial" w:cs="Arial" w:eastAsia="Arial" w:hAnsi="Arial"/>
                <w:sz w:val="18"/>
                <w:szCs w:val="18"/>
                <w:b w:val="1"/>
                <w:bCs w:val="1"/>
                <w:color w:val="auto"/>
              </w:rPr>
              <w:t>phototherapy)</w:t>
            </w:r>
          </w:p>
        </w:tc>
        <w:tc>
          <w:tcPr>
            <w:tcW w:w="6960" w:type="dxa"/>
            <w:vAlign w:val="bottom"/>
          </w:tcPr>
          <w:p>
            <w:pPr>
              <w:spacing w:after="0"/>
              <w:rPr>
                <w:sz w:val="20"/>
                <w:szCs w:val="20"/>
                <w:color w:val="auto"/>
              </w:rPr>
            </w:pPr>
          </w:p>
        </w:tc>
      </w:tr>
      <w:tr>
        <w:trPr>
          <w:trHeight w:val="22"/>
        </w:trPr>
        <w:tc>
          <w:tcPr>
            <w:tcW w:w="1960" w:type="dxa"/>
            <w:vAlign w:val="bottom"/>
            <w:tcBorders>
              <w:bottom w:val="single" w:sz="8" w:color="auto"/>
            </w:tcBorders>
          </w:tcPr>
          <w:p>
            <w:pPr>
              <w:spacing w:after="0" w:line="20" w:lineRule="exact"/>
              <w:rPr>
                <w:sz w:val="1"/>
                <w:szCs w:val="1"/>
                <w:color w:val="auto"/>
              </w:rPr>
            </w:pPr>
          </w:p>
        </w:tc>
        <w:tc>
          <w:tcPr>
            <w:tcW w:w="6960" w:type="dxa"/>
            <w:vAlign w:val="bottom"/>
            <w:tcBorders>
              <w:bottom w:val="single" w:sz="8" w:color="auto"/>
            </w:tcBorders>
          </w:tcPr>
          <w:p>
            <w:pPr>
              <w:spacing w:after="0" w:line="20" w:lineRule="exact"/>
              <w:rPr>
                <w:sz w:val="1"/>
                <w:szCs w:val="1"/>
                <w:color w:val="auto"/>
              </w:rPr>
            </w:pPr>
          </w:p>
        </w:tc>
      </w:tr>
      <w:tr>
        <w:trPr>
          <w:trHeight w:val="182"/>
        </w:trPr>
        <w:tc>
          <w:tcPr>
            <w:tcW w:w="196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b w:val="1"/>
                <w:bCs w:val="1"/>
                <w:color w:val="auto"/>
              </w:rPr>
              <w:t>INCB54707 (JAK1)</w:t>
            </w:r>
          </w:p>
        </w:tc>
        <w:tc>
          <w:tcPr>
            <w:tcW w:w="6960" w:type="dxa"/>
            <w:vAlign w:val="bottom"/>
            <w:shd w:val="clear" w:color="auto" w:fill="CCEEFF"/>
          </w:tcPr>
          <w:p>
            <w:pPr>
              <w:ind w:left="260"/>
              <w:spacing w:after="0" w:line="182" w:lineRule="exact"/>
              <w:rPr>
                <w:sz w:val="20"/>
                <w:szCs w:val="20"/>
                <w:color w:val="auto"/>
              </w:rPr>
            </w:pPr>
            <w:r>
              <w:rPr>
                <w:rFonts w:ascii="Arial" w:cs="Arial" w:eastAsia="Arial" w:hAnsi="Arial"/>
                <w:sz w:val="18"/>
                <w:szCs w:val="18"/>
                <w:color w:val="auto"/>
              </w:rPr>
              <w:t>Hidradenitis suppurativa: Phase II</w:t>
            </w:r>
          </w:p>
        </w:tc>
      </w:tr>
      <w:tr>
        <w:trPr>
          <w:trHeight w:val="203"/>
        </w:trPr>
        <w:tc>
          <w:tcPr>
            <w:tcW w:w="1960" w:type="dxa"/>
            <w:vAlign w:val="bottom"/>
            <w:shd w:val="clear" w:color="auto" w:fill="CCEEFF"/>
          </w:tcPr>
          <w:p>
            <w:pPr>
              <w:spacing w:after="0"/>
              <w:rPr>
                <w:sz w:val="17"/>
                <w:szCs w:val="17"/>
                <w:color w:val="auto"/>
              </w:rPr>
            </w:pPr>
          </w:p>
        </w:tc>
        <w:tc>
          <w:tcPr>
            <w:tcW w:w="69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Vitiligo: Phase II</w:t>
            </w:r>
          </w:p>
        </w:tc>
      </w:tr>
      <w:tr>
        <w:trPr>
          <w:trHeight w:val="230"/>
        </w:trPr>
        <w:tc>
          <w:tcPr>
            <w:tcW w:w="1960" w:type="dxa"/>
            <w:vAlign w:val="bottom"/>
            <w:shd w:val="clear" w:color="auto" w:fill="CCEEFF"/>
          </w:tcPr>
          <w:p>
            <w:pPr>
              <w:spacing w:after="0"/>
              <w:rPr>
                <w:sz w:val="20"/>
                <w:szCs w:val="20"/>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Prurigo nodularis: Phase II</w:t>
            </w:r>
          </w:p>
        </w:tc>
      </w:tr>
      <w:tr>
        <w:trPr>
          <w:trHeight w:val="229"/>
        </w:trPr>
        <w:tc>
          <w:tcPr>
            <w:tcW w:w="1960" w:type="dxa"/>
            <w:vAlign w:val="bottom"/>
            <w:tcBorders>
              <w:bottom w:val="single" w:sz="8" w:color="auto"/>
            </w:tcBorders>
            <w:shd w:val="clear" w:color="auto" w:fill="CCEEFF"/>
          </w:tcPr>
          <w:p>
            <w:pPr>
              <w:spacing w:after="0"/>
              <w:rPr>
                <w:sz w:val="19"/>
                <w:szCs w:val="19"/>
                <w:color w:val="auto"/>
              </w:rPr>
            </w:pPr>
          </w:p>
        </w:tc>
        <w:tc>
          <w:tcPr>
            <w:tcW w:w="6960" w:type="dxa"/>
            <w:vAlign w:val="bottom"/>
            <w:tcBorders>
              <w:bottom w:val="single" w:sz="8" w:color="auto"/>
            </w:tcBorders>
            <w:shd w:val="clear" w:color="auto" w:fill="CCEEFF"/>
          </w:tcPr>
          <w:p>
            <w:pPr>
              <w:spacing w:after="0"/>
              <w:rPr>
                <w:sz w:val="19"/>
                <w:szCs w:val="19"/>
                <w:color w:val="auto"/>
              </w:rPr>
            </w:pPr>
          </w:p>
        </w:tc>
      </w:tr>
    </w:tbl>
    <w:p>
      <w:pPr>
        <w:spacing w:after="0" w:line="94" w:lineRule="exact"/>
        <w:rPr>
          <w:sz w:val="20"/>
          <w:szCs w:val="20"/>
          <w:color w:val="auto"/>
        </w:rPr>
      </w:pPr>
    </w:p>
    <w:p>
      <w:pPr>
        <w:ind w:left="40" w:right="59" w:firstLine="4"/>
        <w:spacing w:after="0" w:line="207" w:lineRule="auto"/>
        <w:tabs>
          <w:tab w:leader="none" w:pos="227"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 Phase II trial of INCB00928 is in preparation for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18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57" w:lineRule="exact"/>
        <w:rPr>
          <w:sz w:val="20"/>
          <w:szCs w:val="20"/>
          <w:color w:val="auto"/>
        </w:rPr>
      </w:pPr>
    </w:p>
    <w:p>
      <w:pPr>
        <w:ind w:left="140"/>
        <w:spacing w:after="0"/>
        <w:tabs>
          <w:tab w:leader="none" w:pos="2180" w:val="left"/>
        </w:tabs>
        <w:rPr>
          <w:sz w:val="20"/>
          <w:szCs w:val="20"/>
          <w:color w:val="auto"/>
        </w:rPr>
      </w:pPr>
      <w:r>
        <w:rPr>
          <w:rFonts w:ascii="Arial" w:cs="Arial" w:eastAsia="Arial" w:hAnsi="Arial"/>
          <w:sz w:val="18"/>
          <w:szCs w:val="18"/>
          <w:b w:val="1"/>
          <w:bCs w:val="1"/>
          <w:color w:val="auto"/>
        </w:rPr>
        <w:t>INCB00928 (ALK2)</w:t>
      </w:r>
      <w:r>
        <w:rPr>
          <w:sz w:val="20"/>
          <w:szCs w:val="20"/>
          <w:color w:val="auto"/>
        </w:rPr>
        <w:tab/>
      </w:r>
      <w:r>
        <w:rPr>
          <w:rFonts w:ascii="Arial" w:cs="Arial" w:eastAsia="Arial" w:hAnsi="Arial"/>
          <w:sz w:val="16"/>
          <w:szCs w:val="16"/>
          <w:color w:val="auto"/>
        </w:rPr>
        <w:t>Fibrodysplasia ossificans progressiva: Phase II in preparation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248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4892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these approaches to treatment is curative; therefore, there remains an unmet need for new safe and effective treatment options for these patients. Rheumatoid arthritis is estimated to affect about 1% of the world’s population.</w:t>
      </w:r>
    </w:p>
    <w:p>
      <w:pPr>
        <w:spacing w:after="0" w:line="14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7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Lilly has conducted a Phase IIa trial and a Phase III program to evaluate the safety and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An sNDA for baricitinib has been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17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Systemic Lupus Erythematosus. </w:t>
      </w:r>
      <w:r>
        <w:rPr>
          <w:rFonts w:ascii="Arial" w:cs="Arial" w:eastAsia="Arial" w:hAnsi="Arial"/>
          <w:sz w:val="17"/>
          <w:szCs w:val="17"/>
          <w:color w:val="auto"/>
        </w:rPr>
        <w:t>Systemic lupus erythematosus (SLE) is a chronic disease that causes</w:t>
      </w:r>
      <w:r>
        <w:rPr>
          <w:rFonts w:ascii="Arial" w:cs="Arial" w:eastAsia="Arial" w:hAnsi="Arial"/>
          <w:sz w:val="17"/>
          <w:szCs w:val="17"/>
          <w:i w:val="1"/>
          <w:iCs w:val="1"/>
          <w:color w:val="auto"/>
        </w:rPr>
        <w:t xml:space="preserve"> </w:t>
      </w:r>
      <w:r>
        <w:rPr>
          <w:rFonts w:ascii="Arial" w:cs="Arial" w:eastAsia="Arial" w:hAnsi="Arial"/>
          <w:sz w:val="17"/>
          <w:szCs w:val="17"/>
          <w:color w:val="auto"/>
        </w:rPr>
        <w:t>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78"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January 2022, Lilly announced the discontinuation of the Phase III development program for baricitinib in SLE based on top-line efficacy results from two pivotal Phase III trials (SLE-BRAVE-I and –II). The primary endpoint of SRI-</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4 response was reached in SLE-BRAVE-I but was not reached in SLE-BRAVE-II and key secondary endpoints were not met in either study.</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Alopecia Areata</w:t>
      </w:r>
      <w:r>
        <w:rPr>
          <w:rFonts w:ascii="Arial" w:cs="Arial" w:eastAsia="Arial" w:hAnsi="Arial"/>
          <w:sz w:val="17"/>
          <w:szCs w:val="17"/>
          <w:color w:val="auto"/>
        </w:rPr>
        <w:t>. Alopecia areata is an autoimmune disorder in which the immune system attacks the hair follicles,</w:t>
      </w:r>
      <w:r>
        <w:rPr>
          <w:rFonts w:ascii="Arial" w:cs="Arial" w:eastAsia="Arial" w:hAnsi="Arial"/>
          <w:sz w:val="17"/>
          <w:szCs w:val="17"/>
          <w:i w:val="1"/>
          <w:iCs w:val="1"/>
          <w:color w:val="auto"/>
        </w:rPr>
        <w:t xml:space="preserve"> </w:t>
      </w:r>
      <w:r>
        <w:rPr>
          <w:rFonts w:ascii="Arial" w:cs="Arial" w:eastAsia="Arial" w:hAnsi="Arial"/>
          <w:sz w:val="17"/>
          <w:szCs w:val="17"/>
          <w:color w:val="auto"/>
        </w:rPr>
        <w:t>causing hair loss in patches. In 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Regulatory applications for baricitinib as a treatment for alopecia areata have been submitted in the U.S., Europe and Japan.</w:t>
      </w:r>
    </w:p>
    <w:p>
      <w:pPr>
        <w:spacing w:after="0" w:line="17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COVID-19. </w:t>
      </w:r>
      <w:r>
        <w:rPr>
          <w:rFonts w:ascii="Arial" w:cs="Arial" w:eastAsia="Arial" w:hAnsi="Arial"/>
          <w:sz w:val="17"/>
          <w:szCs w:val="17"/>
          <w:color w:val="auto"/>
        </w:rPr>
        <w:t>In May 2020, we amended our agreement with Lilly to enable Lilly to commercialize baricitinib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treatment of COVID-19. 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June 2020, we and Novartis announced that the MHLW approved TABRECTA for METex14 mutation-positive advanced and/or recurrent unresectable NSCLC. In April 2022, we and Novartis announced a positive opinion from the CHMP based on data from the Phase II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Ruxolitinib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In March 2022, we and Novartis announced a positive opinion from the CHMP for</w:t>
      </w:r>
      <w:r>
        <w:rPr>
          <w:rFonts w:ascii="Arial" w:cs="Arial" w:eastAsia="Arial" w:hAnsi="Arial"/>
          <w:sz w:val="18"/>
          <w:szCs w:val="18"/>
          <w:i w:val="1"/>
          <w:iCs w:val="1"/>
          <w:color w:val="auto"/>
        </w:rPr>
        <w:t xml:space="preserve"> </w:t>
      </w:r>
      <w:r>
        <w:rPr>
          <w:rFonts w:ascii="Arial" w:cs="Arial" w:eastAsia="Arial" w:hAnsi="Arial"/>
          <w:sz w:val="18"/>
          <w:szCs w:val="18"/>
          <w:color w:val="auto"/>
        </w:rPr>
        <w:t>ruxolitinib in acute and chronic GVHD, based on data from the Phase III REACH2 and REACH3 trials. GVHD is a life-threatening complication of stem cell transplants, with no established standard of care in Europe for patients who do not adequately respond to first-line steroid treatment.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20" w:type="dxa"/>
            <w:vAlign w:val="bottom"/>
            <w:tcBorders>
              <w:top w:val="single" w:sz="8" w:color="auto"/>
            </w:tcBorders>
          </w:tcPr>
          <w:p>
            <w:pPr>
              <w:spacing w:after="0"/>
              <w:rPr>
                <w:sz w:val="22"/>
                <w:szCs w:val="22"/>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63"/>
        </w:trPr>
        <w:tc>
          <w:tcPr>
            <w:tcW w:w="172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r>
        <w:trPr>
          <w:trHeight w:val="182"/>
        </w:trPr>
        <w:tc>
          <w:tcPr>
            <w:tcW w:w="172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b w:val="1"/>
                <w:bCs w:val="1"/>
                <w:color w:val="auto"/>
              </w:rPr>
              <w:t>baricitinib</w:t>
            </w:r>
          </w:p>
        </w:tc>
        <w:tc>
          <w:tcPr>
            <w:tcW w:w="720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Atopic dermatitis: Phase III (BREEZE-AD); approved in European Union and Japan</w:t>
            </w:r>
          </w:p>
        </w:tc>
      </w:tr>
      <w:tr>
        <w:trPr>
          <w:trHeight w:val="190"/>
        </w:trPr>
        <w:tc>
          <w:tcPr>
            <w:tcW w:w="1720" w:type="dxa"/>
            <w:vAlign w:val="bottom"/>
            <w:shd w:val="clear" w:color="auto" w:fill="CCEEFF"/>
          </w:tcPr>
          <w:p>
            <w:pPr>
              <w:ind w:left="100"/>
              <w:spacing w:after="0" w:line="190" w:lineRule="exact"/>
              <w:rPr>
                <w:sz w:val="20"/>
                <w:szCs w:val="20"/>
                <w:color w:val="auto"/>
              </w:rPr>
            </w:pPr>
            <w:r>
              <w:rPr>
                <w:rFonts w:ascii="Arial" w:cs="Arial" w:eastAsia="Arial" w:hAnsi="Arial"/>
                <w:sz w:val="16"/>
                <w:szCs w:val="16"/>
                <w:b w:val="1"/>
                <w:bCs w:val="1"/>
                <w:color w:val="auto"/>
              </w:rPr>
              <w:t>(JAK1/JAK2)</w:t>
            </w:r>
            <w:r>
              <w:rPr>
                <w:rFonts w:ascii="Arial" w:cs="Arial" w:eastAsia="Arial" w:hAnsi="Arial"/>
                <w:sz w:val="22"/>
                <w:szCs w:val="22"/>
                <w:b w:val="1"/>
                <w:bCs w:val="1"/>
                <w:color w:val="auto"/>
                <w:vertAlign w:val="superscript"/>
              </w:rPr>
              <w:t>1</w:t>
            </w:r>
          </w:p>
        </w:tc>
        <w:tc>
          <w:tcPr>
            <w:tcW w:w="7200" w:type="dxa"/>
            <w:vAlign w:val="bottom"/>
            <w:shd w:val="clear" w:color="auto" w:fill="CCEEFF"/>
          </w:tcPr>
          <w:p>
            <w:pPr>
              <w:ind w:left="120"/>
              <w:spacing w:after="0" w:line="190" w:lineRule="exact"/>
              <w:rPr>
                <w:sz w:val="20"/>
                <w:szCs w:val="20"/>
                <w:color w:val="auto"/>
              </w:rPr>
            </w:pPr>
            <w:r>
              <w:rPr>
                <w:rFonts w:ascii="Arial" w:cs="Arial" w:eastAsia="Arial" w:hAnsi="Arial"/>
                <w:sz w:val="18"/>
                <w:szCs w:val="18"/>
                <w:color w:val="auto"/>
                <w:w w:val="95"/>
              </w:rPr>
              <w:t>Severe alopecia areata: Phase III (BRAVE-AA1, BRAVE-AA2); submissions in U.S., EU, and</w:t>
            </w:r>
          </w:p>
        </w:tc>
      </w:tr>
      <w:tr>
        <w:trPr>
          <w:trHeight w:val="216"/>
        </w:trPr>
        <w:tc>
          <w:tcPr>
            <w:tcW w:w="172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r>
      <w:tr>
        <w:trPr>
          <w:trHeight w:val="162"/>
        </w:trPr>
        <w:tc>
          <w:tcPr>
            <w:tcW w:w="1720" w:type="dxa"/>
            <w:vAlign w:val="bottom"/>
          </w:tcPr>
          <w:p>
            <w:pPr>
              <w:ind w:left="100"/>
              <w:spacing w:after="0" w:line="162" w:lineRule="exact"/>
              <w:rPr>
                <w:sz w:val="20"/>
                <w:szCs w:val="20"/>
                <w:color w:val="auto"/>
              </w:rPr>
            </w:pPr>
            <w:r>
              <w:rPr>
                <w:rFonts w:ascii="Arial" w:cs="Arial" w:eastAsia="Arial" w:hAnsi="Arial"/>
                <w:sz w:val="13"/>
                <w:szCs w:val="13"/>
                <w:b w:val="1"/>
                <w:bCs w:val="1"/>
                <w:color w:val="auto"/>
              </w:rPr>
              <w:t>capmatinib (MET)</w:t>
            </w:r>
            <w:r>
              <w:rPr>
                <w:rFonts w:ascii="Arial" w:cs="Arial" w:eastAsia="Arial" w:hAnsi="Arial"/>
                <w:sz w:val="18"/>
                <w:szCs w:val="18"/>
                <w:b w:val="1"/>
                <w:bCs w:val="1"/>
                <w:color w:val="auto"/>
                <w:vertAlign w:val="superscript"/>
              </w:rPr>
              <w:t>2</w:t>
            </w:r>
          </w:p>
        </w:tc>
        <w:tc>
          <w:tcPr>
            <w:tcW w:w="7200" w:type="dxa"/>
            <w:vAlign w:val="bottom"/>
          </w:tcPr>
          <w:p>
            <w:pPr>
              <w:ind w:left="120"/>
              <w:spacing w:after="0" w:line="162" w:lineRule="exact"/>
              <w:rPr>
                <w:sz w:val="20"/>
                <w:szCs w:val="20"/>
                <w:color w:val="auto"/>
              </w:rPr>
            </w:pPr>
            <w:r>
              <w:rPr>
                <w:rFonts w:ascii="Arial" w:cs="Arial" w:eastAsia="Arial" w:hAnsi="Arial"/>
                <w:sz w:val="18"/>
                <w:szCs w:val="18"/>
                <w:color w:val="auto"/>
                <w:w w:val="96"/>
              </w:rPr>
              <w:t>NSCLC (with MET exon 14 skipping mutations): approved in United States and Japan; MAA</w:t>
            </w:r>
          </w:p>
        </w:tc>
      </w:tr>
      <w:tr>
        <w:trPr>
          <w:trHeight w:val="230"/>
        </w:trPr>
        <w:tc>
          <w:tcPr>
            <w:tcW w:w="1720" w:type="dxa"/>
            <w:vAlign w:val="bottom"/>
          </w:tcPr>
          <w:p>
            <w:pPr>
              <w:spacing w:after="0"/>
              <w:rPr>
                <w:sz w:val="20"/>
                <w:szCs w:val="20"/>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under review; positive CHMP opinion received</w:t>
            </w:r>
          </w:p>
        </w:tc>
      </w:tr>
      <w:tr>
        <w:trPr>
          <w:trHeight w:val="202"/>
        </w:trPr>
        <w:tc>
          <w:tcPr>
            <w:tcW w:w="1720" w:type="dxa"/>
            <w:vAlign w:val="bottom"/>
          </w:tcPr>
          <w:p>
            <w:pPr>
              <w:spacing w:after="0"/>
              <w:rPr>
                <w:sz w:val="17"/>
                <w:szCs w:val="17"/>
                <w:color w:val="auto"/>
              </w:rPr>
            </w:pPr>
          </w:p>
        </w:tc>
        <w:tc>
          <w:tcPr>
            <w:tcW w:w="7200" w:type="dxa"/>
            <w:vAlign w:val="bottom"/>
          </w:tcPr>
          <w:p>
            <w:pPr>
              <w:spacing w:after="0"/>
              <w:rPr>
                <w:sz w:val="17"/>
                <w:szCs w:val="17"/>
                <w:color w:val="auto"/>
              </w:rPr>
            </w:pPr>
          </w:p>
        </w:tc>
      </w:tr>
      <w:tr>
        <w:trPr>
          <w:trHeight w:val="190"/>
        </w:trPr>
        <w:tc>
          <w:tcPr>
            <w:tcW w:w="17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ruxolitinib</w:t>
            </w:r>
          </w:p>
        </w:tc>
        <w:tc>
          <w:tcPr>
            <w:tcW w:w="72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8"/>
              </w:rPr>
              <w:t>Acute and chronic GVHD: MAA and J-NDA under review; positive CHMP opinion received</w:t>
            </w:r>
          </w:p>
        </w:tc>
      </w:tr>
      <w:tr>
        <w:trPr>
          <w:trHeight w:val="242"/>
        </w:trPr>
        <w:tc>
          <w:tcPr>
            <w:tcW w:w="1720" w:type="dxa"/>
            <w:vAlign w:val="bottom"/>
            <w:tcBorders>
              <w:bottom w:val="single" w:sz="8" w:color="auto"/>
            </w:tcBorders>
            <w:shd w:val="clear" w:color="auto" w:fill="CCEEFF"/>
          </w:tcPr>
          <w:p>
            <w:pPr>
              <w:ind w:left="100"/>
              <w:spacing w:after="0" w:line="242" w:lineRule="exact"/>
              <w:rPr>
                <w:sz w:val="20"/>
                <w:szCs w:val="20"/>
                <w:color w:val="auto"/>
              </w:rPr>
            </w:pPr>
            <w:r>
              <w:rPr>
                <w:rFonts w:ascii="Arial" w:cs="Arial" w:eastAsia="Arial" w:hAnsi="Arial"/>
                <w:sz w:val="18"/>
                <w:szCs w:val="18"/>
                <w:b w:val="1"/>
                <w:bCs w:val="1"/>
                <w:color w:val="auto"/>
              </w:rPr>
              <w:t>(JAK1/JAK2)</w:t>
            </w:r>
            <w:r>
              <w:rPr>
                <w:rFonts w:ascii="Arial" w:cs="Arial" w:eastAsia="Arial" w:hAnsi="Arial"/>
                <w:sz w:val="26"/>
                <w:szCs w:val="26"/>
                <w:b w:val="1"/>
                <w:bCs w:val="1"/>
                <w:color w:val="auto"/>
                <w:vertAlign w:val="superscript"/>
              </w:rPr>
              <w:t>3</w:t>
            </w:r>
          </w:p>
        </w:tc>
        <w:tc>
          <w:tcPr>
            <w:tcW w:w="7200" w:type="dxa"/>
            <w:vAlign w:val="bottom"/>
            <w:tcBorders>
              <w:bottom w:val="single" w:sz="8" w:color="auto"/>
            </w:tcBorders>
            <w:shd w:val="clear" w:color="auto" w:fill="CCEEFF"/>
          </w:tcPr>
          <w:p>
            <w:pPr>
              <w:spacing w:after="0"/>
              <w:rPr>
                <w:sz w:val="21"/>
                <w:szCs w:val="21"/>
                <w:color w:val="auto"/>
              </w:rPr>
            </w:pPr>
          </w:p>
        </w:tc>
      </w:tr>
    </w:tbl>
    <w:p>
      <w:pPr>
        <w:spacing w:after="0" w:line="14" w:lineRule="exact"/>
        <w:rPr>
          <w:sz w:val="20"/>
          <w:szCs w:val="20"/>
          <w:color w:val="auto"/>
        </w:rPr>
      </w:pPr>
    </w:p>
    <w:p>
      <w:pPr>
        <w:ind w:left="200" w:hanging="156"/>
        <w:spacing w:after="0"/>
        <w:tabs>
          <w:tab w:leader="none" w:pos="20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ruxolitinib licensed to Novartis ex-US for use in hematology and oncology excluding topical administration.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7 of notes to the condensed consolidated financial statements.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indications in mainland China, Hong Kong, Macau and Taiwan.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Lab’s subsidiary received development and exclusive commercialization rights to retifanlimab in hematology and oncology in mainland China, Hong Kong, Macau and Taiwan. We retained an option to assist in the promotion of retifanlimab in Zai Lab’s licensed territories.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Under the terms of this agreement, as amended in February 2017,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two of which were removed from the collaboration under the February 2017 amendments.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license to develop and commercialize ICLUSIG in Europe and other select countries. ARIAD was subsequently acquired by Takeda Pharmaceutical Company Limited in 2017.</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II clinical trials, for multiple myeloma.</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 MorphoSys and we have co-commercialization rights in the United States, with respect to tafasitamab.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Syndax</w:t>
      </w:r>
    </w:p>
    <w:p>
      <w:pPr>
        <w:spacing w:after="0" w:line="252" w:lineRule="exact"/>
        <w:rPr>
          <w:sz w:val="20"/>
          <w:szCs w:val="20"/>
          <w:color w:val="auto"/>
        </w:rPr>
      </w:pPr>
    </w:p>
    <w:p>
      <w:pPr>
        <w:jc w:val="both"/>
        <w:ind w:left="40" w:right="59" w:firstLine="648"/>
        <w:spacing w:after="0" w:line="300" w:lineRule="auto"/>
        <w:rPr>
          <w:sz w:val="20"/>
          <w:szCs w:val="20"/>
          <w:color w:val="auto"/>
        </w:rPr>
      </w:pPr>
      <w:r>
        <w:rPr>
          <w:rFonts w:ascii="Arial" w:cs="Arial" w:eastAsia="Arial" w:hAnsi="Arial"/>
          <w:sz w:val="16"/>
          <w:szCs w:val="16"/>
          <w:color w:val="auto"/>
        </w:rPr>
        <w:t>In September 2021, we entered into a Collaboration and License Agreement with Syndax covering the worldwide development and commercialization of SNDX-6352 (axatilimab), Syndax’s anti-CSF-1R monoclonal antibody. In March 2021, axatilimab was granted Orphan Drug Designation by the FDA for the treatment of chronic GVHD and a second designation in April 2021 for treatment of idiopathic pulmonary fibrosis. The Agreement became effective in December 2021. Under the terms of this agreement, we received exclusive commercialization rights outside of the United States, and Syndax has co-commercialization rights in the United States with respect to axatilimab.</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We and our collaboration partners Lilly and Novartis initiated a number of clinical trials to address COVID-19.</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We sponsored this collaborative study in the United States and our collaboration partner Novartis International Pharmaceutical Ltd. sponsored the study outside of the United States.</w:t>
      </w:r>
    </w:p>
    <w:p>
      <w:pPr>
        <w:spacing w:after="0" w:line="157"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In December 2020, we announced initial results from RUXCOVID, where treatment with ruxolitinib plus SoC did not prevent complications compared to SoC treatment alone in patients with COVID-19 associated cytokine storm.</w:t>
      </w:r>
    </w:p>
    <w:p>
      <w:pPr>
        <w:spacing w:after="0" w:line="14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March 2021, results from a second Phase III clinical trial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were announced. Ruxolitinib failed to reduce mortality due to any cause through Day 29 although in the U.S. study population (91% of total study patients), there was a clinically and statistically significant improvement in mortality in each of the 5mg and 15mg ruxolitinib arms.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Lilly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pacing w:after="0" w:line="18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w:t>
      </w:r>
    </w:p>
    <w:p>
      <w:pPr>
        <w:spacing w:after="0" w:line="181"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April 2021, we and Lilly announced that the primary endpoint was not met in COV-BARRIER, the Phase III randomized, double-blind, placebo–controlled study to evaluate the efficacy and safety of baricitinib in hospitalized adults not on mechanical ventilation and who have COVID-19. There was, however, a 38% reduction in mortality by Day 28 in patients treated with baricitinib in addition to SoC. In August 2021, we and Lilly announced new data from an additional cohort of 101 adult patients from the COV-BARRIER trial. In this sub-study, patients with COVID-19 on mechanical ventilation or extracorporeal membrane oxygenation (ECMO) who received baricitinib plus standard of care were 46% less likely to die by Day 28 compared to patients who received placebo plus standard of care.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For a discussion of our critical accounting policies, refer to “Item 7. Management’s Discussion and Analysis of Financial Condition and Results of Operations” in our 2021 Form 10-K. There have been no significant changes to our critical accounting policies during the three months ended March 31, 2022.</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2021, which could have a significant effect on our condensed consolidated financial statements.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recorded net income of $38.0 million and basic and diluted net income per share of $0.17 for the three months ended March 31, 2022, as compared to net income of $53.5 million and basic and diluted net income per share of $0.24 in the corresponding period in 2021.</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For the Three Months Ended,</w:t>
      </w:r>
    </w:p>
    <w:p>
      <w:pPr>
        <w:jc w:val="center"/>
        <w:ind w:left="53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r>
      <w:tr>
        <w:trPr>
          <w:trHeight w:val="129"/>
        </w:trPr>
        <w:tc>
          <w:tcPr>
            <w:tcW w:w="4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4"/>
          </w:tcPr>
          <w:p>
            <w:pPr>
              <w:jc w:val="right"/>
              <w:ind w:right="109"/>
              <w:spacing w:after="0" w:line="12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230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ICLUSIG revenues, net</w:t>
            </w: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MINJUVI revenues, net</w:t>
            </w: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OPZELURA revenues, net</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418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1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2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13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r>
      <w:tr>
        <w:trPr>
          <w:trHeight w:val="210"/>
        </w:trPr>
        <w:tc>
          <w:tcPr>
            <w:tcW w:w="418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418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13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2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increase in JAKAFI product revenues for the three months ended March 31, 2022 as compared to the corresponding period in 2021 was comprised of a volume increase of $43.3 million and a price increase of $35.5 million. Additionally,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Discounts and</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Co-Pay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Assistance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2022</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Rebates and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Fees</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Chargebacks</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Discounts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Returns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Allowances for current period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146,381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81,273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Credits/payments for current period sales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(14,145)</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(79,795)</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(63,932)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(157,872)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(45,308)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(65,752)</w:t>
            </w:r>
          </w:p>
        </w:tc>
        <w:tc>
          <w:tcPr>
            <w:tcW w:w="0" w:type="dxa"/>
            <w:vAlign w:val="bottom"/>
          </w:tcPr>
          <w:p>
            <w:pPr>
              <w:spacing w:after="0"/>
              <w:rPr>
                <w:sz w:val="1"/>
                <w:szCs w:val="1"/>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8"/>
                <w:szCs w:val="18"/>
                <w:color w:val="auto"/>
              </w:rPr>
              <w:t>Balance at March 31, 2022</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14,946</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117,198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The increase in OLUMIANT product royalty revenues for the three months ended March 31, 2022 as compared to the corresponding period in 2021 reflects an increase in net product sales as a result of the use of OLUMIANT for the treatment of COVID-19.</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For the Three Months Ended,</w:t>
      </w:r>
    </w:p>
    <w:p>
      <w:pPr>
        <w:jc w:val="center"/>
        <w:ind w:left="5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r>
      <w:tr>
        <w:trPr>
          <w:trHeight w:val="128"/>
        </w:trPr>
        <w:tc>
          <w:tcPr>
            <w:tcW w:w="4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gridSpan w:val="4"/>
          </w:tcPr>
          <w:p>
            <w:pPr>
              <w:jc w:val="right"/>
              <w:ind w:right="87"/>
              <w:spacing w:after="0" w:line="12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040" w:type="dxa"/>
            <w:vAlign w:val="bottom"/>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Royalty expense</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0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r>
      <w:tr>
        <w:trPr>
          <w:trHeight w:val="210"/>
        </w:trPr>
        <w:tc>
          <w:tcPr>
            <w:tcW w:w="448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060" w:type="dxa"/>
            <w:vAlign w:val="bottom"/>
          </w:tcPr>
          <w:p>
            <w:pPr>
              <w:spacing w:after="0"/>
              <w:rPr>
                <w:sz w:val="18"/>
                <w:szCs w:val="18"/>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Cost of product revenues includes all product related costs, employee personnel costs, including stock compensation, for those employees dedicated to the production of our commercial products, royalties under our collaborative agreements and amortization of our licensed intellectual property rights for ICLUSIG. The increase in cost of product revenues for the three months ended March 31, 2022 as compared to the same period in 2021 was primarily due to product related costs for our commercial products including OPZELURA.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For the 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3"/>
              </w:rPr>
              <w:t>2021</w:t>
            </w:r>
          </w:p>
        </w:tc>
        <w:tc>
          <w:tcPr>
            <w:tcW w:w="200" w:type="dxa"/>
            <w:vAlign w:val="bottom"/>
          </w:tcPr>
          <w:p>
            <w:pPr>
              <w:spacing w:after="0"/>
              <w:rPr>
                <w:sz w:val="12"/>
                <w:szCs w:val="12"/>
                <w:color w:val="auto"/>
              </w:rPr>
            </w:pPr>
          </w:p>
        </w:tc>
      </w:tr>
      <w:tr>
        <w:trPr>
          <w:trHeight w:val="128"/>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CEEFF"/>
            </w:tcBorders>
          </w:tcPr>
          <w:p>
            <w:pPr>
              <w:spacing w:after="0"/>
              <w:rPr>
                <w:sz w:val="18"/>
                <w:szCs w:val="18"/>
                <w:color w:val="auto"/>
              </w:rPr>
            </w:pPr>
          </w:p>
        </w:tc>
      </w:tr>
      <w:tr>
        <w:trPr>
          <w:trHeight w:val="209"/>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r>
              <w:rPr>
                <w:rFonts w:ascii="Arial" w:cs="Arial" w:eastAsia="Arial" w:hAnsi="Arial"/>
                <w:sz w:val="18"/>
                <w:szCs w:val="18"/>
                <w:u w:val="single" w:color="auto"/>
                <w:color w:val="auto"/>
              </w:rPr>
              <w:t>4</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r>
              <w:rPr>
                <w:rFonts w:ascii="Arial" w:cs="Arial" w:eastAsia="Arial" w:hAnsi="Arial"/>
                <w:sz w:val="18"/>
                <w:szCs w:val="18"/>
                <w:u w:val="single" w:color="auto"/>
                <w:color w:val="auto"/>
              </w:rPr>
              <w:t>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account for research and development costs by natural expense line and not costs by project. The increase in salary and benefits related expense for the three months ended March 31, 2022 as compared to the corresponding period in 2021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6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increase in clinical research and outside services expense for the three months ended March 31, 2022 as compared to the corresponding period in 2021 was primarily due continued investment in our late stage development assets. Research and development expenses include upfront and milestone expenses related to our collaborative agreements of $20.0 million and $11.5 million, respectively, for the three months ended March 31, 2022 and 2021. Research and development expenses for the three months ended March 31, 2022 and 2021 were net of $10.3 million and $3.6 million, respectively, of costs reimbursed by our collaborative partners.</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For the 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3"/>
              </w:rPr>
              <w:t>2021</w:t>
            </w:r>
          </w:p>
        </w:tc>
        <w:tc>
          <w:tcPr>
            <w:tcW w:w="200" w:type="dxa"/>
            <w:vAlign w:val="bottom"/>
          </w:tcPr>
          <w:p>
            <w:pPr>
              <w:spacing w:after="0"/>
              <w:rPr>
                <w:sz w:val="12"/>
                <w:szCs w:val="12"/>
                <w:color w:val="auto"/>
              </w:rPr>
            </w:pPr>
          </w:p>
        </w:tc>
      </w:tr>
      <w:tr>
        <w:trPr>
          <w:trHeight w:val="128"/>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r>
              <w:rPr>
                <w:rFonts w:ascii="Arial" w:cs="Arial" w:eastAsia="Arial" w:hAnsi="Arial"/>
                <w:sz w:val="18"/>
                <w:szCs w:val="18"/>
                <w:u w:val="single" w:color="auto"/>
                <w:color w:val="auto"/>
              </w:rPr>
              <w:t>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u w:val="single" w:color="auto"/>
                <w:color w:val="auto"/>
              </w:rPr>
              <w:t>8</w:t>
            </w:r>
          </w:p>
        </w:tc>
        <w:tc>
          <w:tcPr>
            <w:tcW w:w="2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increase in salary and benefits related expense for the three months ended March 31, 2022 as compared to the corresponding period in 2021 was due primarily to increased headcount. This increased headcount was due primarily to the establishment of our dermatology commercial organization and activities to support the launch of OPZELURA for the treatment of atopic dermatitis.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was primarily due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expenses related to our dermatology commercial organization and activities to support the launch of OPZELURA for the treatment of atopic dermatitis.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months ended March 31, 2022 and 2021 was $6.4 million and $5.5 million, respectively, which is recorded in change in fair value of acquisition-related contingent consideration on the condensed consolidated statements of operations. The change in fair value for the three months ended March 31, 2022 and 2021 was due primarily to the passage of time as there were no other significant changes in the key assumptions during the periods.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the collaboration and license agreement with MorphoSys, which was executed in March 2020, we and MorphoSys are both responsible for the commercialization efforts of tafasitamab in the United States and share equally the profits and losses from the co-commercialization efforts. For the three months ended March 31, 2022 and 2021, our 50% share of the costs for tafasitamab was $4.7 million and $10.5 million, respectively, as recorded in collaboration loss sharing on the condensed consolidated statement of operations.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from period to period, based on the change in fair value of the securities we hold in our publicly held collaboration partners. The following table provides a summary of those unrealized gains and (losses):</w:t>
      </w:r>
    </w:p>
    <w:p>
      <w:pPr>
        <w:spacing w:after="0" w:line="189"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For the Three Months Ended,</w:t>
      </w:r>
    </w:p>
    <w:p>
      <w:pPr>
        <w:jc w:val="center"/>
        <w:ind w:left="5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r>
      <w:tr>
        <w:trPr>
          <w:trHeight w:val="129"/>
        </w:trPr>
        <w:tc>
          <w:tcPr>
            <w:tcW w:w="4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jc w:val="right"/>
              <w:ind w:right="67"/>
              <w:spacing w:after="0" w:line="129" w:lineRule="exact"/>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210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Calithera</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MorphoSys</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Syndax</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Syros</w:t>
            </w:r>
          </w:p>
        </w:tc>
        <w:tc>
          <w:tcPr>
            <w:tcW w:w="12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8"/>
                <w:szCs w:val="18"/>
                <w:color w:val="auto"/>
              </w:rPr>
            </w:pP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unrealized loss on long term investments</w:t>
            </w:r>
          </w:p>
        </w:tc>
        <w:tc>
          <w:tcPr>
            <w:tcW w:w="1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(46.6)</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three months ended March 31, 2022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was $32.5 million and $15.8 million, respectively. The provision for income taxes increased as compared to that for the prior year period due to the release of our valuation allowance against a majority of our U.S. research and development tax credit carryforwards and other deferred tax assets at December 31, 2021.</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Due to historical net losses, we had an accumulated deficit of $0.7 billion as of March 31, 2022. We have funded our research and development operations through cash received from customers, sales of equity securities, the issuance of convertible notes, and collaborative arrangements. At March 31, 2022, we had available cash, cash equivalents and marketable securities of $2.5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Net cash provided by operating activities for the three months ended March 31, 2022 and 2021 was $215.7 million and $206.1 million, respectively. The increase in cash provided by operating activities was due primarily to changes in working capital.</w:t>
      </w:r>
    </w:p>
    <w:p>
      <w:pPr>
        <w:spacing w:after="0" w:line="18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investing activities, other than purchases, sales and maturities of marketable securities, have consisted predominantly of capital expenditures and purchases of long term investments. Net cash used in investing activities was $16.7 million for the three months ended March 31, 2022, which represented capital expenditures of $17.0 million, offset by the sale and maturity of marketable securities of $0.3 million. Net cash used in investing activities was $59.8 million for the three months ended March 31, 2021, which represented purchases of marketable securities of $39.3 million, capital expenditures of $48.1 million, and purchase of long term equity investment of $8.7 million, offset in part by the sale and maturity of marketable securities of $35.2 million and the sale of long term investment of $1.1 million. In the future, net cash used by investing activities may fluctuate significantly from period to period due to the timing of strategic equity investments, acquisitions, capital expenditures and maturities/sales and purchases of marketable securities.</w:t>
      </w:r>
    </w:p>
    <w:p>
      <w:pPr>
        <w:spacing w:after="0" w:line="16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Net cash provided by financing activities was $0.1 million and $12.8 million, respectively, for the three months ended March 31, 2022 and 2021, primarily representing proceeds from the issuance of common stock under our stock plans, offset in part by cash paid to ARIAD/Takeda for contingent consideration.</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capital expenditures for construction activities are discussed in Note 8 of notes to our condensed consolidated financial statements. In addition, 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March 31, 2022, we had no outstanding borrowings and were in compliance with all covenants under this facility.</w:t>
      </w:r>
    </w:p>
    <w:p>
      <w:pPr>
        <w:spacing w:after="0" w:line="17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condensed consolidated financial statements.</w:t>
      </w:r>
    </w:p>
    <w:p>
      <w:pPr>
        <w:spacing w:after="0" w:line="16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March 31, 2022, marketable securities were $287.4 million. Due to the nature of these investments, if market interest rates were to increase immediately and uniformly by 10% from levels as of March 31, 2022, the decline in fair value would not be material.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color w:val="auto"/>
        </w:rPr>
        <w:t>. There were no changes in our internal control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reporting (as defined in Rules 13a-15(f) and 15d-15(f) under the Exchange Act) for the three months ended March 31, 2022, that materially affected or are reasonably likely to materially affect our internal control over financial reporting.</w:t>
      </w:r>
    </w:p>
    <w:p>
      <w:pPr>
        <w:spacing w:after="0" w:line="145"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in May 2019 for the treatment of steroid-refractory acute graft-versus-host disease in adult and pediatric patients 12 years and older and in September 2021 for the treatment of steroid-refractory chronic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MONJUVI in the United States and MINJUVI in the European Union for the treatment of certain lymphoma indications, and OPZELURA in the Unites States for the treatment of certain indications of atopic dermatitis, and our exclusive licensees sell OLUMIANT (baricitinib) for the treatment of specified rheumatoid arthritis and atopic dermatitis indications and TABRECTA for the treatment of a certain type of non small-cell lung cancer, we anticipate that JAKAFI product sales will continue to contribute a significant percentage of our total revenues over the next several years.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commercial success of JAKAFI and our ability to maintain and continue to increase revenues from the sale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JAKAFI will depend on a number of factors,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21"/>
        <w:spacing w:after="0" w:line="26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5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94"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addition, revenues from our other products and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88"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6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unavailable or limited in scope or amount. The costs of JAKAFI, ICLUSIG, PEMAZYRE, MONJUVI/MINJUVI and OPZELURA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70" w:lineRule="exact"/>
        <w:rPr>
          <w:sz w:val="20"/>
          <w:szCs w:val="20"/>
          <w:color w:val="auto"/>
        </w:rPr>
      </w:pPr>
    </w:p>
    <w:p>
      <w:pPr>
        <w:ind w:left="1040" w:right="79" w:hanging="321"/>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of federal, state and foreign governments and other third-party payors to implement or modify laws, regulations or policies addressing payment and reimbursement for drugs;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 or moderate cost increases, as well as continued public scrutiny of the price of drugs and other healthcare costs; and</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84" w:lineRule="exact"/>
        <w:rPr>
          <w:sz w:val="20"/>
          <w:szCs w:val="20"/>
          <w:color w:val="auto"/>
        </w:rPr>
      </w:pPr>
    </w:p>
    <w:p>
      <w:pPr>
        <w:jc w:val="both"/>
        <w:ind w:left="40" w:right="59" w:firstLine="445"/>
        <w:spacing w:after="0" w:line="269" w:lineRule="auto"/>
        <w:rPr>
          <w:sz w:val="20"/>
          <w:szCs w:val="20"/>
          <w:color w:val="auto"/>
        </w:rPr>
      </w:pPr>
      <w:r>
        <w:rPr>
          <w:rFonts w:ascii="Arial" w:cs="Arial" w:eastAsia="Arial" w:hAnsi="Arial"/>
          <w:sz w:val="17"/>
          <w:szCs w:val="17"/>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85" w:lineRule="exact"/>
        <w:rPr>
          <w:sz w:val="20"/>
          <w:szCs w:val="20"/>
          <w:color w:val="auto"/>
        </w:rPr>
      </w:pPr>
    </w:p>
    <w:p>
      <w:pPr>
        <w:jc w:val="both"/>
        <w:ind w:left="40" w:right="59" w:firstLine="445"/>
        <w:spacing w:after="0" w:line="284"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we are in the process of negotiating agreements with PBMs and payor accounts to provide rebates to those entities related to formulary coverage for OPZELURA, but we cannot guarantee that we will be able to agree to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9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1"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49"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dermatology indications requires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9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approved a labeling update for JAKAFI, adding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testing of JAKAFI, ICLUSIG, PEMAZYRE, MONJUVI/MINJUVI and OPZELURA, the manufacturing, marketing and sale of JAKAFI, PEMAZYRE and OPZELURA and the marketing and sale of ICLUSIG and MONJUVI/MINJUVI expose us to product liability and other risks. Side effects and other problems experienced by patients from the use of our products could:</w:t>
      </w:r>
    </w:p>
    <w:p>
      <w:pPr>
        <w:spacing w:after="0" w:line="187" w:lineRule="exact"/>
        <w:rPr>
          <w:sz w:val="20"/>
          <w:szCs w:val="20"/>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and OPZELURA.</w:t>
      </w:r>
    </w:p>
    <w:p>
      <w:pPr>
        <w:spacing w:after="0" w:line="17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1"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OPZELURA and our collaborator MorphoSys’s marketing of MONJUVI.</w:t>
      </w:r>
    </w:p>
    <w:p>
      <w:pPr>
        <w:spacing w:after="0" w:line="18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this Annual Report on Form 10-K for additional information regarding the effects of competition. If we are unable to compete successfully, our commercial opportunities will be reduced and our business, results of operations and financial conditions may be materially harmed.</w:t>
      </w:r>
    </w:p>
    <w:p>
      <w:pPr>
        <w:spacing w:after="0" w:line="171"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1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include major pharmaceutical and biotechnology companies, as well as specialty pharmaceutical firms. Competitors for OPZELURA include existing over-the-counter topical treatments, prescription topical treatments, including generic versions, such as tacrolimus, pimecrolimus, topical steroids, and EUCRISA (crisaborole) from Pfizer Inc., as well as oral and injectable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therapies such as prednisone and other oral steroids and injectable DUPIXENT (dupilimab) from Sanofi and Regeneron Pharmaceuticals,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70"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global operations expose us to risks associated with public health epidemics and pandemics, such as the COVID-19 pandemic that has spread globally.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7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As a result of the COVID-19 pandemic, we have experienced and may in the future experience disruptions that could severely impact our business, results of operations and financial condition, including the following:</w:t>
      </w:r>
    </w:p>
    <w:p>
      <w:pPr>
        <w:spacing w:after="0" w:line="146" w:lineRule="exact"/>
        <w:rPr>
          <w:sz w:val="20"/>
          <w:szCs w:val="20"/>
          <w:color w:val="auto"/>
        </w:rPr>
      </w:pPr>
    </w:p>
    <w:p>
      <w:pPr>
        <w:jc w:val="both"/>
        <w:ind w:left="720" w:right="59" w:hanging="325"/>
        <w:spacing w:after="0" w:line="26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When the COVID-19 pandemic commenced, to protect the health of our employees and their families, and our communities, in accordance with – and in some cases in advance of – direction from state and local government authorities, we limited access to our facilities and a significant percentage of our personnel worked remotely. In the event that governmental authorities were to re-establish workplace restrictions, our employees conducting research and development activities may not be able to access our laboratory space or access may be limited,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78" w:lineRule="exact"/>
        <w:rPr>
          <w:rFonts w:ascii="Arial" w:cs="Arial" w:eastAsia="Arial" w:hAnsi="Arial"/>
          <w:sz w:val="17"/>
          <w:szCs w:val="17"/>
          <w:color w:val="auto"/>
        </w:rPr>
      </w:pPr>
    </w:p>
    <w:p>
      <w:pPr>
        <w:jc w:val="both"/>
        <w:ind w:left="720" w:right="59" w:hanging="325"/>
        <w:spacing w:after="0" w:line="290"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government or employer imposed work from home orders and travel and workplace visitor restrictions resulting from measures to address the COVID-19 pandemic, as well as employee-initiated remote work and travel limitations resulting from, among other things, the spread of the COVID-19 variants.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or travel restrictions.</w:t>
      </w:r>
    </w:p>
    <w:p>
      <w:pPr>
        <w:spacing w:after="0" w:line="381" w:lineRule="exact"/>
        <w:rPr>
          <w:rFonts w:ascii="Arial" w:cs="Arial" w:eastAsia="Arial" w:hAnsi="Arial"/>
          <w:sz w:val="16"/>
          <w:szCs w:val="16"/>
          <w:color w:val="auto"/>
        </w:rPr>
      </w:pPr>
    </w:p>
    <w:p>
      <w:pPr>
        <w:jc w:val="both"/>
        <w:ind w:left="720" w:right="59" w:hanging="325"/>
        <w:spacing w:after="0" w:line="26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clinical trials have been and will likely continue to be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In addition, some patients may be unable to comply with clinical trial protocols if quarantines or travel restrictions impede patient movement or interrupt health services, we may be unable to obtain blood samples for testing, and we may not be able to provide the trial drug candidate to patients. Also, we rely on independent clinical investigators, contract research organizations and other third-party service providers to assist us in managing, monitoring and otherwise carrying out our preclinical studies and clinical trials, and the COVID-19 pandemic has affected and may continue to affect their ability to devote sufficient time and resources to our programs or to travel to sites to perform work for us.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25"/>
        <w:spacing w:after="0" w:line="273"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77" w:lineRule="exact"/>
        <w:rPr>
          <w:rFonts w:ascii="Arial" w:cs="Arial" w:eastAsia="Arial" w:hAnsi="Arial"/>
          <w:sz w:val="17"/>
          <w:szCs w:val="17"/>
          <w:color w:val="auto"/>
        </w:rPr>
      </w:pPr>
    </w:p>
    <w:p>
      <w:pPr>
        <w:jc w:val="both"/>
        <w:ind w:left="720" w:right="59" w:hanging="325"/>
        <w:spacing w:after="0" w:line="287"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71" w:lineRule="exact"/>
        <w:rPr>
          <w:rFonts w:ascii="Arial" w:cs="Arial" w:eastAsia="Arial" w:hAnsi="Arial"/>
          <w:sz w:val="16"/>
          <w:szCs w:val="16"/>
          <w:color w:val="auto"/>
        </w:rPr>
      </w:pPr>
    </w:p>
    <w:p>
      <w:pPr>
        <w:jc w:val="both"/>
        <w:ind w:left="720" w:right="79" w:hanging="325"/>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products internally or license or acquire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pacing w:after="0" w:line="248" w:lineRule="exact"/>
        <w:rPr>
          <w:rFonts w:ascii="Arial" w:cs="Arial" w:eastAsia="Arial" w:hAnsi="Arial"/>
          <w:sz w:val="16"/>
          <w:szCs w:val="16"/>
          <w:color w:val="auto"/>
        </w:rPr>
      </w:pPr>
    </w:p>
    <w:p>
      <w:pPr>
        <w:ind w:left="1040" w:right="79" w:hanging="321"/>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invested significant resources in the development of our most advanced drug candidates. We have a number of drug candidates in Phase III clinical trials as monotherapies or in combination with other drugs and drug candidates, including itacitinib, parsaclisib, pemigatinib, ruxolitinib, ruxolitinib cream and tafasitamab.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8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6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of clinical trials may be delayed, and existing clinical trials with our or our collaborators’ drug candidates may be stopped, due to many potential factors, including:</w:t>
      </w:r>
    </w:p>
    <w:p>
      <w:pPr>
        <w:spacing w:after="0" w:line="170" w:lineRule="exact"/>
        <w:rPr>
          <w:sz w:val="20"/>
          <w:szCs w:val="20"/>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w:t>
      </w:r>
    </w:p>
    <w:p>
      <w:pPr>
        <w:spacing w:after="0" w:line="17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8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approved products, and we cannot predict the scope of any future changes or the impact that those changes would have on our operations.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8"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Innovent, Zai Lab and InnoCare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92"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Zai Lab and InnoCare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6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Calithera Biosciences, Inc., MacroGenics, Inc., Merus N.V., MorphoSys, Syros Pharmaceuticals, Inc.,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If we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200" w:lineRule="exact"/>
        <w:rPr>
          <w:sz w:val="20"/>
          <w:szCs w:val="20"/>
          <w:color w:val="auto"/>
        </w:rPr>
      </w:pPr>
    </w:p>
    <w:p>
      <w:pPr>
        <w:spacing w:after="0" w:line="20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Even if we or our collaborators are successful in gaining regulatory approval of any of our or our collaborators’ drug candidates in addition to JAKAFI, OLUMIANT, PEMAZYRE, MONJUVI/MINJUVI and OPZELURA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reasons, including the reimbursement policies of government and other third-party payors and the effectiveness of our or our collaborators’ competitors in marketing their products.</w:t>
      </w:r>
    </w:p>
    <w:p>
      <w:pPr>
        <w:spacing w:after="0" w:line="170" w:lineRule="exact"/>
        <w:rPr>
          <w:sz w:val="20"/>
          <w:szCs w:val="20"/>
          <w:color w:val="auto"/>
        </w:rPr>
      </w:pPr>
    </w:p>
    <w:p>
      <w:pPr>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40" w:right="79" w:hanging="321"/>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6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OPZELURA and our other drug candidates or for ICLUSIG or MONJUVI/MINJUVI. We currently hire third parties to manufacture the raw materials, API and finished drug product of JAKAFI, ICLUSIG, PEMAZYRE, OPZELURA and our other drug candidates for clinical trials and our collaborator MorphoSys is currently responsible for sourcing manufacturing of MONJUVI/MINJUVI.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PEMAZYRE and OPZELURA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84"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are experienced, we could encounter difficulties in supplying sufficient product to meet demand or incur additional costs to remedy the problems or to recall defective products. Any such recall could also harm our sales efforts and our reputation. To the extent our supply chain involves parties in China or materials originating in areas of China that are or could be affected by disease outbreaks such as the COVID-19 pandemic or geopolitical events such as the Russian invasion of Ukraine,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as well as the effects resulting from the Russian invasion of Ukraine and related sanctions and other actions,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even after we finalize the qualification of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once completed.</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left="40" w:right="59" w:firstLine="648"/>
        <w:spacing w:after="0" w:line="283"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for the year ended December 31, 2021 and the three months ended March 31, 2022, we recorded unrealized losses related to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6" w:lineRule="exact"/>
        <w:rPr>
          <w:sz w:val="20"/>
          <w:szCs w:val="20"/>
          <w:color w:val="auto"/>
        </w:rPr>
      </w:pPr>
    </w:p>
    <w:p>
      <w:pPr>
        <w:jc w:val="both"/>
        <w:ind w:left="1040" w:right="79" w:hanging="321"/>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79" w:hanging="321"/>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terrorism and political unrest, geopolitical events such as the Russian invasion of Ukraine, curtailment of trade and other business restrictions, and uncertainties associated with the implementation of the relationship between the United Kingdom and the European Union;</w:t>
      </w:r>
    </w:p>
    <w:p>
      <w:pPr>
        <w:spacing w:after="0" w:line="186" w:lineRule="exact"/>
        <w:rPr>
          <w:rFonts w:ascii="Arial" w:cs="Arial" w:eastAsia="Arial" w:hAnsi="Arial"/>
          <w:sz w:val="18"/>
          <w:szCs w:val="18"/>
          <w:color w:val="auto"/>
        </w:rPr>
      </w:pPr>
    </w:p>
    <w:p>
      <w:pPr>
        <w:jc w:val="both"/>
        <w:ind w:left="1040" w:right="59" w:hanging="321"/>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health risks, such as the effects of the COVID-19 pandemic, and related effects on new patient starts, clinical trial activity, regulatory agency response times, supply chain, travel and employee health and availability; and</w:t>
      </w:r>
    </w:p>
    <w:p>
      <w:pPr>
        <w:spacing w:after="0" w:line="183"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operations, future revenues and financial condition and increase our costs and expenses.</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who are participating in these clinical trials. We may also be unable to ship additional clinical drug and other supplies necessary to complete the clinical trials in Ukraine.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706"/>
        <w:spacing w:after="0" w:line="273" w:lineRule="auto"/>
        <w:rPr>
          <w:sz w:val="20"/>
          <w:szCs w:val="20"/>
          <w:color w:val="auto"/>
        </w:rPr>
      </w:pPr>
      <w:r>
        <w:rPr>
          <w:rFonts w:ascii="Arial" w:cs="Arial" w:eastAsia="Arial" w:hAnsi="Arial"/>
          <w:sz w:val="17"/>
          <w:szCs w:val="17"/>
          <w:color w:val="auto"/>
        </w:rPr>
        <w:t>Due to historical net losses, we had an accumulated deficit of $0.7 billion as of March 31, 2022.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and OPZELURA, for several years, if ever.</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and OPZELURA, we may incur losses if our drug products do not generate significant revenues.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right="79" w:hanging="321"/>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invest our cash in accordance with an established internal policy and customarily in instruments, money market funds, U.S. government backed-funds and Treasury assets, which historically have been highly liquid and carried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relatively low risk. In recent periods, similar types of investments and money market funds have experienced losses in value or liquidity issues that differ from their historical pattern.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6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results of operations, business and financial condition.</w:t>
      </w:r>
    </w:p>
    <w:p>
      <w:pPr>
        <w:spacing w:after="0" w:line="24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The Administration and Congress are considering significant changes to existing U.S. tax law, including an increase in the corporate tax rate and the effective tax rate on foreign earnings. These changes could substantially increase U.S. taxation of our operations. In addition, the Organisation for Economic Co-Operation and Development (OECD) in October 2021 announced an agreement on an outline for new tax rules that would align countries on a minimum corporate tax rate and an expansion of the taxing rights of market countries. If enacted by member countries, this agreement could result in tax increases in both the United States and many foreign jurisdictions where we operate or have a presence. These initiatives not only could significantly increase our tax provision, cash tax liabilities, and effective tax rate, but could also significantly increase tax uncertainty due to differing interpretations and increased audit scrutiny.</w:t>
      </w:r>
    </w:p>
    <w:p>
      <w:pPr>
        <w:spacing w:after="0" w:line="192"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derived a substantial portion of our revenues for the year ended December 31, 2021 and the three months ended March 31, 2022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6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1"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81"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CCPA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760" w:type="dxa"/>
            <w:vAlign w:val="bottom"/>
            <w:gridSpan w:val="3"/>
            <w:vMerge w:val="restart"/>
          </w:tcPr>
          <w:p>
            <w:pPr>
              <w:ind w:left="2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7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40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Rule 13a-14(a) Certification of Chief Executive Officer</w:t>
              </w:r>
            </w:hyperlink>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39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Rule 13a-14(a) Certification of Chief Financial Officer</w:t>
              </w:r>
            </w:hyperlink>
          </w:p>
        </w:tc>
        <w:tc>
          <w:tcPr>
            <w:tcW w:w="38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gridSpan w:val="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gridSpan w:val="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999" w:firstLine="9"/>
        <w:spacing w:after="0" w:line="508" w:lineRule="auto"/>
        <w:tabs>
          <w:tab w:leader="none" w:pos="11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jc w:val="both"/>
        <w:ind w:left="300" w:right="79" w:hanging="256"/>
        <w:spacing w:after="0" w:line="25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-909320</wp:posOffset>
            </wp:positionV>
            <wp:extent cx="14141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INCYTE CORPORATION</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Dated: May 3, 2022</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  /s/ HERVÉ HOPPENOT</w:t>
            </w:r>
          </w:p>
        </w:tc>
      </w:tr>
      <w:tr>
        <w:trPr>
          <w:trHeight w:val="195"/>
        </w:trPr>
        <w:tc>
          <w:tcPr>
            <w:tcW w:w="2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Dated: May 3, 2022</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  /s/ CHRISTIANA STAMOULIS</w:t>
            </w:r>
          </w:p>
        </w:tc>
      </w:tr>
      <w:tr>
        <w:trPr>
          <w:trHeight w:val="195"/>
        </w:trPr>
        <w:tc>
          <w:tcPr>
            <w:tcW w:w="2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Christiana Stamoulis</w:t>
            </w:r>
          </w:p>
        </w:tc>
      </w:tr>
      <w:tr>
        <w:trPr>
          <w:trHeight w:val="216"/>
        </w:trPr>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Hervé Hoppenot, certify that:</w:t>
      </w:r>
    </w:p>
    <w:p>
      <w:pPr>
        <w:spacing w:after="0" w:line="198" w:lineRule="exact"/>
        <w:rPr>
          <w:sz w:val="20"/>
          <w:szCs w:val="20"/>
          <w:color w:val="auto"/>
        </w:rPr>
      </w:pPr>
    </w:p>
    <w:p>
      <w:pPr>
        <w:ind w:left="560" w:hanging="510"/>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3, 2022</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Hervé Hoppenot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4" w:name="page85"/>
    <w:bookmarkEnd w:id="8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Christiana Stamoulis, certify that:</w:t>
      </w:r>
    </w:p>
    <w:p>
      <w:pPr>
        <w:spacing w:after="0" w:line="198" w:lineRule="exact"/>
        <w:rPr>
          <w:sz w:val="20"/>
          <w:szCs w:val="20"/>
          <w:color w:val="auto"/>
        </w:rPr>
      </w:pPr>
    </w:p>
    <w:p>
      <w:pPr>
        <w:ind w:left="560" w:hanging="510"/>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3, 2022</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March 31, 2022,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Hervé Hoppenot</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ind w:left="4500"/>
        <w:spacing w:after="0"/>
        <w:rPr>
          <w:sz w:val="20"/>
          <w:szCs w:val="20"/>
          <w:color w:val="auto"/>
        </w:rPr>
      </w:pPr>
      <w:r>
        <w:rPr>
          <w:rFonts w:ascii="Arial" w:cs="Arial" w:eastAsia="Arial" w:hAnsi="Arial"/>
          <w:sz w:val="18"/>
          <w:szCs w:val="18"/>
          <w:color w:val="auto"/>
        </w:rPr>
        <w:t>May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6" w:name="page87"/>
    <w:bookmarkEnd w:id="8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37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March 31, 2022,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ind w:left="4500"/>
        <w:spacing w:after="0"/>
        <w:rPr>
          <w:sz w:val="20"/>
          <w:szCs w:val="20"/>
          <w:color w:val="auto"/>
        </w:rPr>
      </w:pPr>
      <w:r>
        <w:rPr>
          <w:rFonts w:ascii="Arial" w:cs="Arial" w:eastAsia="Arial" w:hAnsi="Arial"/>
          <w:sz w:val="18"/>
          <w:szCs w:val="18"/>
          <w:color w:val="auto"/>
        </w:rPr>
        <w:t>May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
      <w:numFmt w:val="bullet"/>
      <w:start w:val="1"/>
    </w:lvl>
    <w:lvl w:ilvl="1">
      <w:lvlJc w:val="left"/>
      <w:lvlText w:val="%2"/>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2022-05-03T15:33:15Z</dcterms:created>
  <dcterms:modified xsi:type="dcterms:W3CDTF">2022-05-03T15:33:15Z</dcterms:modified>
</cp:coreProperties>
</file>