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-286385</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-286385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58"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9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34"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14" w:lineRule="exact"/>
        <w:rPr>
          <w:sz w:val="24"/>
          <w:szCs w:val="24"/>
          <w:color w:val="auto"/>
        </w:rPr>
      </w:pPr>
    </w:p>
    <w:p>
      <w:pPr>
        <w:ind w:left="6740"/>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ectPr>
          <w:pgSz w:w="11900" w:h="16838" w:orient="portrait"/>
          <w:cols w:equalWidth="0" w:num="1">
            <w:col w:w="10220"/>
          </w:cols>
          <w:pgMar w:left="840" w:top="665" w:right="839" w:bottom="1440" w:gutter="0" w:footer="0" w:header="0"/>
          <w:type w:val="continuous"/>
        </w:sectPr>
      </w:pPr>
    </w:p>
    <w:p>
      <w:pPr>
        <w:spacing w:after="0" w:line="16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The number of outstanding shares of the registrant’s Common Stock, $.001 par value, was 218,699,085 as of July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133350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175895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260" w:type="dxa"/>
            <w:vAlign w:val="bottom"/>
          </w:tcPr>
          <w:p>
            <w:pPr>
              <w:ind w:left="2720"/>
              <w:spacing w:after="0"/>
              <w:rPr>
                <w:sz w:val="20"/>
                <w:szCs w:val="20"/>
                <w:color w:val="auto"/>
              </w:rPr>
            </w:pPr>
            <w:r>
              <w:rPr>
                <w:rFonts w:ascii="Arial" w:cs="Arial" w:eastAsia="Arial" w:hAnsi="Arial"/>
                <w:sz w:val="18"/>
                <w:szCs w:val="18"/>
                <w:b w:val="1"/>
                <w:bCs w:val="1"/>
                <w:color w:val="auto"/>
              </w:rPr>
              <w:t>INCYTE CORPORATION</w:t>
            </w:r>
          </w:p>
        </w:tc>
        <w:tc>
          <w:tcPr>
            <w:tcW w:w="960" w:type="dxa"/>
            <w:vAlign w:val="bottom"/>
          </w:tcPr>
          <w:p>
            <w:pPr>
              <w:spacing w:after="0"/>
              <w:rPr>
                <w:sz w:val="20"/>
                <w:szCs w:val="20"/>
                <w:color w:val="auto"/>
              </w:rPr>
            </w:pPr>
          </w:p>
        </w:tc>
      </w:tr>
      <w:tr>
        <w:trPr>
          <w:trHeight w:val="351"/>
        </w:trPr>
        <w:tc>
          <w:tcPr>
            <w:tcW w:w="700" w:type="dxa"/>
            <w:vAlign w:val="bottom"/>
          </w:tcPr>
          <w:p>
            <w:pPr>
              <w:spacing w:after="0"/>
              <w:rPr>
                <w:sz w:val="24"/>
                <w:szCs w:val="24"/>
                <w:color w:val="auto"/>
              </w:rPr>
            </w:pPr>
          </w:p>
        </w:tc>
        <w:tc>
          <w:tcPr>
            <w:tcW w:w="7260" w:type="dxa"/>
            <w:vAlign w:val="bottom"/>
          </w:tcPr>
          <w:p>
            <w:pPr>
              <w:ind w:left="34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r>
      <w:tr>
        <w:trPr>
          <w:trHeight w:val="378"/>
        </w:trPr>
        <w:tc>
          <w:tcPr>
            <w:tcW w:w="79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u w:val="single" w:color="auto"/>
                  <w:color w:val="0000EE"/>
                </w:rPr>
                <w:t>FINANCIAL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w:t>
              </w:r>
            </w:hyperlink>
          </w:p>
        </w:tc>
        <w:tc>
          <w:tcPr>
            <w:tcW w:w="726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Condensed Consolidated Statements of Comprehensive Income</w:t>
              </w:r>
              <w:r>
                <w:rPr>
                  <w:rFonts w:ascii="Arial" w:cs="Arial" w:eastAsia="Arial" w:hAnsi="Arial"/>
                  <w:sz w:val="18"/>
                  <w:szCs w:val="18"/>
                  <w:color w:val="0000EE"/>
                </w:rPr>
                <w:t xml:space="preserve"> </w:t>
              </w:r>
            </w:hyperlink>
            <w:r>
              <w:rPr>
                <w:rFonts w:ascii="Arial" w:cs="Arial" w:eastAsia="Arial" w:hAnsi="Arial"/>
                <w:sz w:val="18"/>
                <w:szCs w:val="18"/>
                <w:color w:val="000000"/>
              </w:rPr>
              <w:t>(Loss)</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2.</w:t>
              </w:r>
            </w:hyperlink>
          </w:p>
        </w:tc>
        <w:tc>
          <w:tcPr>
            <w:tcW w:w="7260" w:type="dxa"/>
            <w:vAlign w:val="bottom"/>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Item 3.</w:t>
              </w:r>
            </w:hyperlink>
          </w:p>
        </w:tc>
        <w:tc>
          <w:tcPr>
            <w:tcW w:w="7260" w:type="dxa"/>
            <w:vAlign w:val="bottom"/>
          </w:tcPr>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Quantitative and Qualitative Disclosures about Market Risk</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Item 4.</w:t>
              </w:r>
            </w:hyperlink>
          </w:p>
        </w:tc>
        <w:tc>
          <w:tcPr>
            <w:tcW w:w="7260" w:type="dxa"/>
            <w:vAlign w:val="bottom"/>
          </w:tcPr>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7960" w:type="dxa"/>
            <w:vAlign w:val="bottom"/>
            <w:gridSpan w:val="2"/>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9">
              <w:r>
                <w:rPr>
                  <w:rFonts w:ascii="Arial" w:cs="Arial" w:eastAsia="Arial" w:hAnsi="Arial"/>
                  <w:sz w:val="18"/>
                  <w:szCs w:val="18"/>
                  <w:b w:val="1"/>
                  <w:bCs w:val="1"/>
                  <w:u w:val="single" w:color="auto"/>
                  <w:color w:val="0000EE"/>
                </w:rPr>
                <w:t>OTHER INFORMATION</w:t>
              </w:r>
            </w:hyperlink>
          </w:p>
        </w:tc>
        <w:tc>
          <w:tcPr>
            <w:tcW w:w="960" w:type="dxa"/>
            <w:vAlign w:val="bottom"/>
          </w:tcPr>
          <w:p>
            <w:pPr>
              <w:spacing w:after="0"/>
              <w:rPr>
                <w:sz w:val="24"/>
                <w:szCs w:val="24"/>
                <w:color w:val="auto"/>
              </w:rPr>
            </w:pPr>
          </w:p>
        </w:tc>
      </w:tr>
      <w:tr>
        <w:trPr>
          <w:trHeight w:val="432"/>
        </w:trPr>
        <w:tc>
          <w:tcPr>
            <w:tcW w:w="700" w:type="dxa"/>
            <w:vAlign w:val="bottom"/>
          </w:tcPr>
          <w:p>
            <w:pPr>
              <w:spacing w:after="0"/>
              <w:rPr>
                <w:rFonts w:ascii="Arial" w:cs="Arial" w:eastAsia="Arial" w:hAnsi="Arial"/>
                <w:sz w:val="18"/>
                <w:szCs w:val="18"/>
                <w:b w:val="1"/>
                <w:bCs w:val="1"/>
                <w:u w:val="single" w:color="auto"/>
                <w:color w:val="0000EE"/>
                <w:w w:val="97"/>
              </w:rPr>
            </w:pPr>
            <w:hyperlink w:anchor="page69">
              <w:r>
                <w:rPr>
                  <w:rFonts w:ascii="Arial" w:cs="Arial" w:eastAsia="Arial" w:hAnsi="Arial"/>
                  <w:sz w:val="18"/>
                  <w:szCs w:val="18"/>
                  <w:b w:val="1"/>
                  <w:bCs w:val="1"/>
                  <w:u w:val="single" w:color="auto"/>
                  <w:color w:val="0000EE"/>
                  <w:w w:val="97"/>
                </w:rPr>
                <w:t>Item 1A.</w:t>
              </w:r>
            </w:hyperlink>
          </w:p>
        </w:tc>
        <w:tc>
          <w:tcPr>
            <w:tcW w:w="726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Risk Factors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Item 6.</w:t>
              </w:r>
            </w:hyperlink>
          </w:p>
        </w:tc>
        <w:tc>
          <w:tcPr>
            <w:tcW w:w="7260" w:type="dxa"/>
            <w:vAlign w:val="bottom"/>
          </w:tcPr>
          <w:p>
            <w:pPr>
              <w:ind w:left="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Signatures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620" w:type="dxa"/>
            <w:vAlign w:val="bottom"/>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20" w:type="dxa"/>
            <w:vAlign w:val="bottom"/>
          </w:tcPr>
          <w:p>
            <w:pPr>
              <w:jc w:val="center"/>
              <w:ind w:left="1790"/>
              <w:spacing w:after="0" w:line="198" w:lineRule="exact"/>
              <w:rPr>
                <w:sz w:val="20"/>
                <w:szCs w:val="20"/>
                <w:color w:val="auto"/>
              </w:rPr>
            </w:pPr>
            <w:r>
              <w:rPr>
                <w:rFonts w:ascii="Arial" w:cs="Arial" w:eastAsia="Arial" w:hAnsi="Arial"/>
                <w:sz w:val="18"/>
                <w:szCs w:val="18"/>
                <w:b w:val="1"/>
                <w:bCs w:val="1"/>
                <w:color w:val="auto"/>
              </w:rPr>
              <w:t>INCYTE CORPORATION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40" w:type="dxa"/>
            <w:vAlign w:val="bottom"/>
            <w:gridSpan w:val="3"/>
          </w:tcPr>
          <w:p>
            <w:pPr>
              <w:jc w:val="center"/>
              <w:ind w:left="1450"/>
              <w:spacing w:after="0" w:line="184" w:lineRule="exact"/>
              <w:rPr>
                <w:sz w:val="20"/>
                <w:szCs w:val="20"/>
                <w:color w:val="auto"/>
              </w:rPr>
            </w:pPr>
            <w:r>
              <w:rPr>
                <w:rFonts w:ascii="Arial" w:cs="Arial" w:eastAsia="Arial" w:hAnsi="Arial"/>
                <w:sz w:val="18"/>
                <w:szCs w:val="18"/>
                <w:b w:val="1"/>
                <w:bCs w:val="1"/>
                <w:color w:val="auto"/>
                <w:w w:val="98"/>
              </w:rPr>
              <w:t>CONDENSED CONSOLIDATED BALANCE SHEETS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40" w:type="dxa"/>
            <w:vAlign w:val="bottom"/>
            <w:gridSpan w:val="3"/>
          </w:tcPr>
          <w:p>
            <w:pPr>
              <w:jc w:val="center"/>
              <w:ind w:left="1450"/>
              <w:spacing w:after="0"/>
              <w:rPr>
                <w:sz w:val="20"/>
                <w:szCs w:val="20"/>
                <w:color w:val="auto"/>
              </w:rPr>
            </w:pPr>
            <w:r>
              <w:rPr>
                <w:rFonts w:ascii="Arial" w:cs="Arial" w:eastAsia="Arial" w:hAnsi="Arial"/>
                <w:sz w:val="18"/>
                <w:szCs w:val="18"/>
                <w:b w:val="1"/>
                <w:bCs w:val="1"/>
                <w:color w:val="auto"/>
                <w:w w:val="88"/>
              </w:rPr>
              <w:t>(in thousands, except number of shares and par value)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ASSETS</w:t>
            </w: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1,326,730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Marketable securities—available-for-sale (amortized cost $262,556; allowance for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credit losses $0)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262,756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284,870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2,077,625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2,481,488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9"/>
              </w:rPr>
              <w:t>Inventory</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Finance lease right-of-use assets,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5"/>
              </w:rPr>
              <w:t>Goodwill</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155,593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3,212,321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3,426,750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90,909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senior notes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867,717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$0.001 par value; 5,000,000 shares authorized; none issued or</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as of June 30, 2020 and December 31, 2019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1"/>
              </w:rPr>
              <w:t>Common stock, $0.001 par value; 400,000,000 shares authorized; 218,069,218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w w:val="91"/>
              </w:rPr>
              <w:t>216,177,830 shares issued and outstanding as of June 30, 2020 and 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2019,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4,217,911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(1,861,102)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2,344,604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2,598,406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3,212,321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3,426,750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60" w:hanging="210"/>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December 31, 2019 has been derived from the audited financial statements at that date.</w:t>
      </w:r>
    </w:p>
    <w:p>
      <w:pPr>
        <w:spacing w:after="0" w:line="42" w:lineRule="exact"/>
        <w:rPr>
          <w:rFonts w:ascii="Arial" w:cs="Arial" w:eastAsia="Arial" w:hAnsi="Arial"/>
          <w:sz w:val="14"/>
          <w:szCs w:val="14"/>
          <w:color w:val="auto"/>
        </w:rPr>
      </w:pPr>
    </w:p>
    <w:p>
      <w:pPr>
        <w:ind w:left="3680"/>
        <w:spacing w:after="0"/>
        <w:rPr>
          <w:rFonts w:ascii="Arial" w:cs="Arial" w:eastAsia="Arial" w:hAnsi="Arial"/>
          <w:sz w:val="14"/>
          <w:szCs w:val="14"/>
          <w:color w:val="auto"/>
        </w:rPr>
      </w:pPr>
      <w:r>
        <w:rPr>
          <w:rFonts w:ascii="Arial" w:cs="Arial" w:eastAsia="Arial" w:hAnsi="Arial"/>
          <w:sz w:val="16"/>
          <w:szCs w:val="16"/>
          <w:color w:val="auto"/>
        </w:rPr>
        <w:t>See accompanying notes</w:t>
      </w:r>
      <w:r>
        <w:rPr>
          <w:rFonts w:ascii="Arial" w:cs="Arial" w:eastAsia="Arial" w:hAnsi="Arial"/>
          <w:sz w:val="17"/>
          <w:szCs w:val="17"/>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9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9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500,290</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433,897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987,017</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830,146</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137,643</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Milestone and contract revenues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40" w:type="dxa"/>
            <w:vAlign w:val="bottom"/>
            <w:tcBorders>
              <w:bottom w:val="single" w:sz="8" w:color="CCEEFF"/>
            </w:tcBorders>
          </w:tcPr>
          <w:p>
            <w:pPr>
              <w:spacing w:after="0"/>
              <w:rPr>
                <w:sz w:val="18"/>
                <w:szCs w:val="18"/>
                <w:color w:val="auto"/>
              </w:rPr>
            </w:pPr>
          </w:p>
        </w:tc>
      </w:tr>
      <w:tr>
        <w:trPr>
          <w:trHeight w:val="210"/>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688,043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529,932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1,256,550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1,027,789</w:t>
            </w:r>
          </w:p>
        </w:tc>
        <w:tc>
          <w:tcPr>
            <w:tcW w:w="40" w:type="dxa"/>
            <w:vAlign w:val="bottom"/>
            <w:tcBorders>
              <w:bottom w:val="single" w:sz="8" w:color="CCEEFF"/>
            </w:tcBorders>
          </w:tcPr>
          <w:p>
            <w:pPr>
              <w:spacing w:after="0"/>
              <w:rPr>
                <w:sz w:val="18"/>
                <w:szCs w:val="18"/>
                <w:color w:val="auto"/>
              </w:rPr>
            </w:pPr>
          </w:p>
        </w:tc>
      </w:tr>
      <w:tr>
        <w:trPr>
          <w:trHeight w:val="209"/>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product revenues (including definite-lived intangible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40" w:type="dxa"/>
            <w:vAlign w:val="bottom"/>
            <w:shd w:val="clear" w:color="auto" w:fill="CCEEFF"/>
          </w:tcPr>
          <w:p>
            <w:pPr>
              <w:spacing w:after="0"/>
              <w:rPr>
                <w:sz w:val="20"/>
                <w:szCs w:val="20"/>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286,601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289,363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1,371,888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559,908</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117,998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105,943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229,926</w:t>
            </w:r>
          </w:p>
        </w:tc>
        <w:tc>
          <w:tcPr>
            <w:tcW w:w="40" w:type="dxa"/>
            <w:vAlign w:val="bottom"/>
            <w:shd w:val="clear" w:color="auto" w:fill="CCEEFF"/>
          </w:tcPr>
          <w:p>
            <w:pPr>
              <w:spacing w:after="0"/>
              <w:rPr>
                <w:sz w:val="18"/>
                <w:szCs w:val="18"/>
                <w:color w:val="auto"/>
              </w:rPr>
            </w:pPr>
          </w:p>
        </w:tc>
      </w:tr>
      <w:tr>
        <w:trPr>
          <w:trHeight w:val="202"/>
        </w:trPr>
        <w:tc>
          <w:tcPr>
            <w:tcW w:w="5040" w:type="dxa"/>
            <w:vAlign w:val="bottom"/>
          </w:tcPr>
          <w:p>
            <w:pPr>
              <w:ind w:left="22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040" w:type="dxa"/>
            <w:vAlign w:val="bottom"/>
          </w:tcPr>
          <w:p>
            <w:pPr>
              <w:ind w:left="220"/>
              <w:spacing w:after="0"/>
              <w:rPr>
                <w:sz w:val="20"/>
                <w:szCs w:val="20"/>
                <w:color w:val="auto"/>
              </w:rPr>
            </w:pPr>
            <w:r>
              <w:rPr>
                <w:rFonts w:ascii="Arial" w:cs="Arial" w:eastAsia="Arial" w:hAnsi="Arial"/>
                <w:sz w:val="18"/>
                <w:szCs w:val="18"/>
                <w:color w:val="auto"/>
              </w:rPr>
              <w:t>consideration</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6,054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13,279</w:t>
            </w:r>
          </w:p>
        </w:tc>
        <w:tc>
          <w:tcPr>
            <w:tcW w:w="40" w:type="dxa"/>
            <w:vAlign w:val="bottom"/>
          </w:tcPr>
          <w:p>
            <w:pPr>
              <w:spacing w:after="0"/>
              <w:rPr>
                <w:sz w:val="20"/>
                <w:szCs w:val="20"/>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457,270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431,320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1,689,781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855,107</w:t>
            </w:r>
          </w:p>
        </w:tc>
        <w:tc>
          <w:tcPr>
            <w:tcW w:w="40" w:type="dxa"/>
            <w:vAlign w:val="bottom"/>
            <w:shd w:val="clear" w:color="auto" w:fill="CCEEFF"/>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230,773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(433,231)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172,682</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24,373</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16,364</w:t>
            </w:r>
          </w:p>
        </w:tc>
        <w:tc>
          <w:tcPr>
            <w:tcW w:w="40" w:type="dxa"/>
            <w:vAlign w:val="bottom"/>
          </w:tcPr>
          <w:p>
            <w:pPr>
              <w:spacing w:after="0"/>
              <w:rPr>
                <w:sz w:val="18"/>
                <w:szCs w:val="18"/>
                <w:color w:val="auto"/>
              </w:rPr>
            </w:pPr>
          </w:p>
        </w:tc>
      </w:tr>
      <w:tr>
        <w:trPr>
          <w:trHeight w:val="209"/>
        </w:trPr>
        <w:tc>
          <w:tcPr>
            <w:tcW w:w="5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307,264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108,671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(396,812)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212,768</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40" w:type="dxa"/>
            <w:vAlign w:val="bottom"/>
            <w:tcBorders>
              <w:bottom w:val="single" w:sz="8" w:color="CCEEFF"/>
            </w:tcBorders>
          </w:tcPr>
          <w:p>
            <w:pPr>
              <w:spacing w:after="0"/>
              <w:rPr>
                <w:sz w:val="18"/>
                <w:szCs w:val="18"/>
                <w:color w:val="auto"/>
              </w:rPr>
            </w:pPr>
          </w:p>
        </w:tc>
      </w:tr>
      <w:tr>
        <w:trPr>
          <w:trHeight w:val="210"/>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50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290,298</w:t>
            </w:r>
          </w:p>
        </w:tc>
        <w:tc>
          <w:tcPr>
            <w:tcW w:w="6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105,318</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(430,344)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207,630</w:t>
            </w:r>
          </w:p>
        </w:tc>
        <w:tc>
          <w:tcPr>
            <w:tcW w:w="40" w:type="dxa"/>
            <w:vAlign w:val="bottom"/>
          </w:tcPr>
          <w:p>
            <w:pPr>
              <w:spacing w:after="0"/>
              <w:rPr>
                <w:sz w:val="22"/>
                <w:szCs w:val="22"/>
                <w:color w:val="auto"/>
              </w:rPr>
            </w:pPr>
          </w:p>
        </w:tc>
      </w:tr>
      <w:tr>
        <w:trPr>
          <w:trHeight w:val="196"/>
        </w:trPr>
        <w:tc>
          <w:tcPr>
            <w:tcW w:w="5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Shares used in computing net income (loss) per 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217,549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214,342</w:t>
            </w:r>
          </w:p>
        </w:tc>
        <w:tc>
          <w:tcPr>
            <w:tcW w:w="40" w:type="dxa"/>
            <w:vAlign w:val="bottom"/>
            <w:shd w:val="clear" w:color="auto" w:fill="CCEEFF"/>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220,434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217,483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217,135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217,274</w:t>
            </w:r>
          </w:p>
        </w:tc>
        <w:tc>
          <w:tcPr>
            <w:tcW w:w="4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$ 290,298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$ 105,318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(430,344)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$ 207,630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(284)</w:t>
            </w:r>
          </w:p>
        </w:tc>
        <w:tc>
          <w:tcPr>
            <w:tcW w:w="860" w:type="dxa"/>
            <w:vAlign w:val="bottom"/>
          </w:tcPr>
          <w:p>
            <w:pPr>
              <w:jc w:val="right"/>
              <w:spacing w:after="0"/>
              <w:rPr>
                <w:sz w:val="20"/>
                <w:szCs w:val="20"/>
                <w:color w:val="auto"/>
              </w:rPr>
            </w:pPr>
            <w:r>
              <w:rPr>
                <w:rFonts w:ascii="Arial" w:cs="Arial" w:eastAsia="Arial" w:hAnsi="Arial"/>
                <w:sz w:val="18"/>
                <w:szCs w:val="18"/>
                <w:color w:val="auto"/>
              </w:rPr>
              <w:t>2,553</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Unrealized (loss) gain on marketable securities, net of tax</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r>
      <w:tr>
        <w:trPr>
          <w:trHeight w:val="209"/>
        </w:trPr>
        <w:tc>
          <w:tcPr>
            <w:tcW w:w="4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$ 290,982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$ 105,600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(427,225)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$ 208,830</w:t>
            </w:r>
          </w:p>
        </w:tc>
        <w:tc>
          <w:tcPr>
            <w:tcW w:w="60" w:type="dxa"/>
            <w:vAlign w:val="bottom"/>
            <w:shd w:val="clear" w:color="auto" w:fill="CCEEFF"/>
          </w:tcPr>
          <w:p>
            <w:pPr>
              <w:spacing w:after="0"/>
              <w:rPr>
                <w:sz w:val="18"/>
                <w:szCs w:val="18"/>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359"/>
        </w:trPr>
        <w:tc>
          <w:tcPr>
            <w:tcW w:w="6080" w:type="dxa"/>
            <w:vAlign w:val="bottom"/>
            <w:gridSpan w:val="4"/>
          </w:tcPr>
          <w:p>
            <w:pPr>
              <w:jc w:val="center"/>
              <w:ind w:left="2770"/>
              <w:spacing w:after="0"/>
              <w:rPr>
                <w:sz w:val="20"/>
                <w:szCs w:val="20"/>
                <w:color w:val="auto"/>
              </w:rPr>
            </w:pPr>
            <w:r>
              <w:rPr>
                <w:rFonts w:ascii="Arial" w:cs="Arial" w:eastAsia="Arial" w:hAnsi="Arial"/>
                <w:sz w:val="18"/>
                <w:szCs w:val="18"/>
                <w:color w:val="auto"/>
                <w:w w:val="87"/>
              </w:rPr>
              <w:t>See accompanying notes.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96"/>
        </w:trPr>
        <w:tc>
          <w:tcPr>
            <w:tcW w:w="44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5</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4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2"/>
          </w:tcPr>
          <w:p>
            <w:pPr>
              <w:jc w:val="right"/>
              <w:ind w:right="380"/>
              <w:spacing w:after="0"/>
              <w:rPr>
                <w:sz w:val="20"/>
                <w:szCs w:val="20"/>
                <w:color w:val="auto"/>
              </w:rPr>
            </w:pPr>
            <w:r>
              <w:rPr>
                <w:rFonts w:ascii="Arial" w:cs="Arial" w:eastAsia="Arial" w:hAnsi="Arial"/>
                <w:sz w:val="14"/>
                <w:szCs w:val="14"/>
                <w:b w:val="1"/>
                <w:bCs w:val="1"/>
                <w:color w:val="auto"/>
              </w:rPr>
              <w:t>For the Six Months Ended June 30, 2020</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4"/>
                <w:szCs w:val="14"/>
                <w:color w:val="auto"/>
              </w:rPr>
            </w:pPr>
          </w:p>
        </w:tc>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4"/>
                <w:szCs w:val="14"/>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4,044,490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(1,430,758)</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2,598,406</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w w:val="99"/>
              </w:rPr>
              <w:t>Issuance of 772,538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14,619</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1,957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(720,642)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(720,642)</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4,102,011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2"/>
              </w:rPr>
              <w:t>(2,151,400)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1,937,721</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w w:val="99"/>
              </w:rPr>
              <w:t>Issuance of 936,688 shares of Common Stock upon</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restricted stock units and 175,615 shares of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Stock under the ESPP</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69,193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69,194</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1,403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rPr>
              <w:t>Issuance of 3,187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conversion of Convertible Senior Notes due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46,406</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290,298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290,298</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Balances at June 30, 2020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4,217,911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2"/>
              </w:rPr>
              <w:t>(1,861,102)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2,344,604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jc w:val="right"/>
              <w:ind w:right="380"/>
              <w:spacing w:after="0"/>
              <w:rPr>
                <w:sz w:val="20"/>
                <w:szCs w:val="20"/>
                <w:color w:val="auto"/>
              </w:rPr>
            </w:pPr>
            <w:r>
              <w:rPr>
                <w:rFonts w:ascii="Arial" w:cs="Arial" w:eastAsia="Arial" w:hAnsi="Arial"/>
                <w:sz w:val="14"/>
                <w:szCs w:val="14"/>
                <w:b w:val="1"/>
                <w:bCs w:val="1"/>
                <w:color w:val="auto"/>
              </w:rPr>
              <w:t>For the Six Months Ended June 30, 2019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Paid-in 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3,813,678</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(10,165)</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 (1,877,759)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1,925,967</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w w:val="96"/>
              </w:rPr>
              <w:t>Issuance of 1,044,745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15,481</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1,200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40,690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40,690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Adoption of ASU No. 2016-02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102,312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102,312</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Balances at March 31, 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3,869,952</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(9,247)</w:t>
            </w:r>
          </w:p>
        </w:tc>
        <w:tc>
          <w:tcPr>
            <w:tcW w:w="120" w:type="dxa"/>
            <w:vAlign w:val="bottom"/>
            <w:tcBorders>
              <w:bottom w:val="single" w:sz="8" w:color="CCEEFF"/>
            </w:tcBorders>
            <w:gridSpan w:val="2"/>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0"/>
              </w:rPr>
              <w:t>$ (1,775,352)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2,085,567</w:t>
            </w:r>
          </w:p>
        </w:tc>
        <w:tc>
          <w:tcPr>
            <w:tcW w:w="0" w:type="dxa"/>
            <w:vAlign w:val="bottom"/>
          </w:tcPr>
          <w:p>
            <w:pPr>
              <w:spacing w:after="0"/>
              <w:rPr>
                <w:sz w:val="1"/>
                <w:szCs w:val="1"/>
                <w:color w:val="auto"/>
              </w:rPr>
            </w:pPr>
          </w:p>
        </w:tc>
      </w:tr>
      <w:tr>
        <w:trPr>
          <w:trHeight w:val="146"/>
        </w:trPr>
        <w:tc>
          <w:tcPr>
            <w:tcW w:w="3700" w:type="dxa"/>
            <w:vAlign w:val="bottom"/>
            <w:shd w:val="clear" w:color="auto" w:fill="CCEEFF"/>
          </w:tcPr>
          <w:p>
            <w:pPr>
              <w:spacing w:after="0" w:line="146" w:lineRule="exact"/>
              <w:rPr>
                <w:sz w:val="20"/>
                <w:szCs w:val="20"/>
                <w:color w:val="auto"/>
              </w:rPr>
            </w:pPr>
            <w:r>
              <w:rPr>
                <w:rFonts w:ascii="Arial" w:cs="Arial" w:eastAsia="Arial" w:hAnsi="Arial"/>
                <w:sz w:val="16"/>
                <w:szCs w:val="16"/>
                <w:color w:val="auto"/>
                <w:w w:val="99"/>
              </w:rPr>
              <w:t>Issuance of 400,292 shares of Common Stock upon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7"/>
              </w:rPr>
              <w:t>restricted stock units and 143,379 shares of Common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Stock under the ESPP</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15,191</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w w:val="92"/>
              </w:rPr>
              <w:t>Issuance of 1,444 shares of Common Stock for services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rendered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105,318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105,318</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Balances at June 30, 2019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3,925,975</w:t>
            </w: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(8,965)</w:t>
            </w:r>
          </w:p>
        </w:tc>
        <w:tc>
          <w:tcPr>
            <w:tcW w:w="120" w:type="dxa"/>
            <w:vAlign w:val="bottom"/>
            <w:gridSpan w:val="2"/>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0"/>
              </w:rPr>
              <w:t>$ (1,670,034)</w:t>
            </w: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2,247,191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80"/>
        <w:spacing w:after="0" w:line="222" w:lineRule="auto"/>
        <w:rPr>
          <w:sz w:val="20"/>
          <w:szCs w:val="20"/>
          <w:color w:val="auto"/>
        </w:rPr>
      </w:pPr>
      <w:r>
        <w:rPr>
          <w:rFonts w:ascii="Arial" w:cs="Arial" w:eastAsia="Arial" w:hAnsi="Arial"/>
          <w:sz w:val="14"/>
          <w:szCs w:val="14"/>
          <w:b w:val="1"/>
          <w:bCs w:val="1"/>
          <w:color w:val="auto"/>
        </w:rPr>
        <w:t>Six Months Ended</w:t>
      </w:r>
    </w:p>
    <w:p>
      <w:pPr>
        <w:jc w:val="center"/>
        <w:ind w:left="678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(430,344)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long term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(119,724)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(32,243)</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and other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 term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Sale of long term investment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(65,561)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(287,419)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(103,970)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(16,766)</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restricted cash and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(504,394)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1,833,707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1,164,986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1,329,313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1,417,238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taxes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24,165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to common stock and additional paid in capital in connection with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conversions of 1.25% convertible senior notes due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14,817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June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0" w:hanging="356"/>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and PEMAZYRE® (pemigatinib). Our operations are treated as one operating segment.</w:t>
      </w:r>
    </w:p>
    <w:p>
      <w:pPr>
        <w:spacing w:after="0" w:line="167" w:lineRule="exact"/>
        <w:rPr>
          <w:sz w:val="20"/>
          <w:szCs w:val="20"/>
          <w:color w:val="auto"/>
        </w:rPr>
      </w:pPr>
    </w:p>
    <w:p>
      <w:pPr>
        <w:ind w:left="700" w:right="5319" w:hanging="656"/>
        <w:spacing w:after="0" w:line="503" w:lineRule="auto"/>
        <w:tabs>
          <w:tab w:leader="none" w:pos="4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40" w:right="59"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2020, the condensed consolidated statements of operations, comprehensive income (loss), and stockholders’ equity for the three and six months ended June 30, 2020 and 2019, and the condensed consolidated statements of cash flows for the six months ended June 30, 2020 and 2019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2019 has been derived from our audited consolidated financial statements.</w:t>
      </w:r>
    </w:p>
    <w:p>
      <w:pPr>
        <w:spacing w:after="0" w:line="18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2019.</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 approximates the carrying value based on available market information. We primarily invest our excess available funds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debt securities and, by policy, limit the amount of credit exposure to any one issuer and to any one type of investment, other than securities issued or guaranteed by the U.S. government and money market funds that meet certain guidelines.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88"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Effective January 1, 2020, financial assets measured at amortized cost are</w:t>
      </w:r>
      <w:r>
        <w:rPr>
          <w:rFonts w:ascii="Arial" w:cs="Arial" w:eastAsia="Arial" w:hAnsi="Arial"/>
          <w:sz w:val="16"/>
          <w:szCs w:val="16"/>
          <w:i w:val="1"/>
          <w:iCs w:val="1"/>
          <w:color w:val="auto"/>
        </w:rPr>
        <w:t xml:space="preserve"> </w:t>
      </w:r>
      <w:r>
        <w:rPr>
          <w:rFonts w:ascii="Arial" w:cs="Arial" w:eastAsia="Arial" w:hAnsi="Arial"/>
          <w:sz w:val="16"/>
          <w:szCs w:val="16"/>
          <w:color w:val="auto"/>
        </w:rPr>
        <w:t>assessed for future expected credit losses under guidance within ASC 326, Financial Instruments – Credit Losses, to determine if application of an expected credit losses reserve is necessary. On a quarterly basis, receivables that resulted from revenue transactions within the scope of ASC 606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 These receivables are assessed for signs of credit deterioration and in the Company’s sales history and future expectations of economic conditions, there are minimal instances of bad debts or uncollected receivables.</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U.S.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June 30, 2020 and December 31, 2019, we had an immaterial allowance for doubtful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began capitalizing PEMAZYRE inventory after FDA approval in April 2020 as the related costs were expected to be recoverable through the commercialization of the product. Costs incurred prior to FDA approval have been recorded as research and development expense in our statements of operations. As a result, cost of product revenues for the next 48 months will reflect a lower average per unit cost of materials.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JAKAFI, ICLUSIG and PEMAZYRE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June 30, 2020, there were no entities in which we held a variable interest which we determined to be VIEs.</w:t>
      </w:r>
    </w:p>
    <w:p>
      <w:pPr>
        <w:spacing w:after="0" w:line="18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Long Term Investments. </w:t>
      </w:r>
      <w:r>
        <w:rPr>
          <w:rFonts w:ascii="Arial" w:cs="Arial" w:eastAsia="Arial" w:hAnsi="Arial"/>
          <w:sz w:val="16"/>
          <w:szCs w:val="16"/>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the condensed consolidated statements of operations as an unrealized gain (loss) on long term investments.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Accounting Standard Codification (“ASC”) 842, Leases, was adopted for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on January 1, 2019. 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condensed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calculated as the difference between the acquisition date fair value of the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2019 and determined that the carrying value of our goodwill was not impaired.</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June 30, 2020.</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the six months ended June 30, 2020, we have delayed certain payroll tax and estimated income tax payments that we are deferring to future periods. However, we do not expect the CARES Act to have a material impact on our overall financial results, our income tax provision or our liquidity. We have further described the expected impact and risks of COVID-19 on our business in the overview to Item 2. Management’s Discussion and Analysis of Financial Condition and Results of Operations and in Item 1A. Risk Factors.</w:t>
      </w:r>
    </w:p>
    <w:p>
      <w:pPr>
        <w:spacing w:after="0" w:line="16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Financing Costs Related to Long-term Debt. </w:t>
      </w:r>
      <w:r>
        <w:rPr>
          <w:rFonts w:ascii="Arial" w:cs="Arial" w:eastAsia="Arial" w:hAnsi="Arial"/>
          <w:sz w:val="18"/>
          <w:szCs w:val="18"/>
          <w:color w:val="auto"/>
        </w:rPr>
        <w:t>Costs associated with obtaining long-term debt are deferred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Net Income (Loss) Per Share. </w:t>
      </w:r>
      <w:r>
        <w:rPr>
          <w:rFonts w:ascii="Arial" w:cs="Arial" w:eastAsia="Arial" w:hAnsi="Arial"/>
          <w:sz w:val="16"/>
          <w:szCs w:val="16"/>
          <w:color w:val="auto"/>
        </w:rPr>
        <w:t>Our basic and diluted net income (loss) per share is calculated by dividing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5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Revenue-generating contracts are assessed under ASC 606, Revenue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identify distinct performance obligations, determine the transaction price of the contract and allocate the transaction price to each of the distinct performance obligations. Revenue is recognized when we have satisfied 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performance obligation through transferring control of the promised good or service to a customer. Control, in this instance, may mean the ability to prevent other entities from directing the use of, and receiving benefit from, a good or service. We determine at contract inception whether we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product revenues consist of U.S. sales of JAKAFI and PEMAZYRE and European sales of ICLUSIG. Product revenues are recognized once we satisfy the performance obligation at a point in time under the revenue recognition criteria as described above. We sell JAKAFI and PEMAZYRE to our customers in the U.S., which include specialty pharmacies and wholesalers. We sell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65" w:lineRule="auto"/>
        <w:rPr>
          <w:sz w:val="20"/>
          <w:szCs w:val="20"/>
          <w:color w:val="auto"/>
        </w:rPr>
      </w:pPr>
      <w:r>
        <w:rPr>
          <w:rFonts w:ascii="Arial" w:cs="Arial" w:eastAsia="Arial" w:hAnsi="Arial"/>
          <w:sz w:val="16"/>
          <w:szCs w:val="16"/>
          <w:color w:val="auto"/>
        </w:rPr>
        <w:t>Royalty revenues on commercial sales for ruxolitinib (marketed as JAKAVI</w:t>
      </w:r>
      <w:r>
        <w:rPr>
          <w:rFonts w:ascii="Arial" w:cs="Arial" w:eastAsia="Arial" w:hAnsi="Arial"/>
          <w:sz w:val="30"/>
          <w:szCs w:val="30"/>
          <w:color w:val="auto"/>
          <w:vertAlign w:val="superscript"/>
        </w:rPr>
        <w:t>®</w:t>
      </w:r>
      <w:r>
        <w:rPr>
          <w:rFonts w:ascii="Arial" w:cs="Arial" w:eastAsia="Arial" w:hAnsi="Arial"/>
          <w:sz w:val="16"/>
          <w:szCs w:val="16"/>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license agreements, which fall within the scope of ASC 606, Revenue from Contracts with Customers,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Some contracts form collaborative arrangements of various types with third-parties. We assess whether the nature of the arrangement is within the scope of ASC 808, Collaborative Arrangements, in conjunction with the revenue recognition guidance in ASC 606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and participate and govern contract activities through a joint steering committee.</w:t>
      </w:r>
    </w:p>
    <w:p>
      <w:pPr>
        <w:spacing w:after="0" w:line="19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7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Cost of product revenues includes all JAKAFI, ICLUSIG and PEMAZYRE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often 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68"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Collaboration loss sharing. </w:t>
      </w:r>
      <w:r>
        <w:rPr>
          <w:rFonts w:ascii="Arial" w:cs="Arial" w:eastAsia="Arial" w:hAnsi="Arial"/>
          <w:sz w:val="18"/>
          <w:szCs w:val="18"/>
          <w:color w:val="auto"/>
        </w:rPr>
        <w:t>Under collaboration and license agreements with shared commercialization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our share of the losses from the co-commercialization efforts in collaboration loss sharing on the condensed consolidated statement of operations. For the three and six months ended June 30, 2020, collaboration loss sharing represents our 50% share of the United States loss for commercialization of tafasitamab under our agreement with MorphoSys.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7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Upon adoption, we assessed each financial asset measured at amortized cost and each available-for-sale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4 to the condensed consolidated financial statements to comply with the standard.</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9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6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We adopted this guidance for the period beginning January 1, 2020 retrospectively to the date of our initial application of ASC 606, and noted that in assessment of our collaborative agreements, there was no material financial statement impact. Our collaborative arrangements and their associated accounting conclusions are described in detail within Note 9 to the condensed consolidated financial statements.</w:t>
      </w:r>
    </w:p>
    <w:p>
      <w:pPr>
        <w:spacing w:after="0" w:line="16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on the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hanging="356"/>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As discussed in Note 2, revenues are recognized under guidance within ASC 606 and ASC 808.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409,506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785,117</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ICLUSIG revenues,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45,029</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9"/>
        </w:trPr>
        <w:tc>
          <w:tcPr>
            <w:tcW w:w="3120" w:type="dxa"/>
            <w:vAlign w:val="bottom"/>
          </w:tcPr>
          <w:p>
            <w:pPr>
              <w:spacing w:after="0"/>
              <w:rPr>
                <w:sz w:val="20"/>
                <w:szCs w:val="20"/>
                <w:color w:val="auto"/>
              </w:rPr>
            </w:pPr>
            <w:r>
              <w:rPr>
                <w:rFonts w:ascii="Arial" w:cs="Arial" w:eastAsia="Arial" w:hAnsi="Arial"/>
                <w:sz w:val="18"/>
                <w:szCs w:val="18"/>
                <w:color w:val="auto"/>
              </w:rPr>
              <w:t>Total product revenues, net</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500,290</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433,897</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987,017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830,146</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102,466</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35,177</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9"/>
        </w:trPr>
        <w:tc>
          <w:tcPr>
            <w:tcW w:w="3120" w:type="dxa"/>
            <w:vAlign w:val="bottom"/>
          </w:tcPr>
          <w:p>
            <w:pPr>
              <w:spacing w:after="0"/>
              <w:rPr>
                <w:sz w:val="20"/>
                <w:szCs w:val="20"/>
                <w:color w:val="auto"/>
              </w:rPr>
            </w:pPr>
            <w:r>
              <w:rPr>
                <w:rFonts w:ascii="Arial" w:cs="Arial" w:eastAsia="Arial" w:hAnsi="Arial"/>
                <w:sz w:val="18"/>
                <w:szCs w:val="18"/>
                <w:color w:val="auto"/>
              </w:rPr>
              <w:t>Total product royalty revenues</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92,753</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76,035</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137,643</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18"/>
                <w:szCs w:val="18"/>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688,043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529,932</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1,256,550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1,027,789</w:t>
            </w:r>
          </w:p>
        </w:tc>
        <w:tc>
          <w:tcPr>
            <w:tcW w:w="2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further information on our revenue-generating contracts, refer to Note 9 to the condensed consolidated financial statements.</w:t>
      </w:r>
    </w:p>
    <w:p>
      <w:pPr>
        <w:spacing w:after="0" w:line="180" w:lineRule="exact"/>
        <w:rPr>
          <w:sz w:val="20"/>
          <w:szCs w:val="20"/>
          <w:color w:val="auto"/>
        </w:rPr>
      </w:pPr>
    </w:p>
    <w:p>
      <w:pPr>
        <w:ind w:left="400" w:hanging="356"/>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1—Valuations based on unadjusted quoted prices in active markets for identical assets or liabilities.</w:t>
      </w:r>
    </w:p>
    <w:p>
      <w:pPr>
        <w:spacing w:after="0" w:line="237"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June 30, 2020 and December 31, 2019,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six months ended June 30, 2020.</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0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20" w:type="dxa"/>
            <w:vAlign w:val="bottom"/>
            <w:gridSpan w:val="5"/>
          </w:tcPr>
          <w:p>
            <w:pPr>
              <w:jc w:val="center"/>
              <w:ind w:left="70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262,756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1,575,461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284,870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1,966,341</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284,870</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0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gridSpan w:val="13"/>
          </w:tcPr>
          <w:p>
            <w:pPr>
              <w:ind w:left="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4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60" w:type="dxa"/>
            <w:vAlign w:val="bottom"/>
            <w:gridSpan w:val="5"/>
          </w:tcPr>
          <w:p>
            <w:pPr>
              <w:ind w:left="28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274,000</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274,000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3"/>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277,000</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277,000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277,000</w:t>
            </w:r>
          </w:p>
        </w:tc>
        <w:tc>
          <w:tcPr>
            <w:tcW w:w="14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11"/>
          </w:tcPr>
          <w:p>
            <w:pPr>
              <w:ind w:left="66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6"/>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12,681</w:t>
            </w:r>
          </w:p>
        </w:tc>
        <w:tc>
          <w:tcPr>
            <w:tcW w:w="14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100" w:firstLine="648"/>
        <w:spacing w:after="0" w:line="255" w:lineRule="auto"/>
        <w:rPr>
          <w:sz w:val="20"/>
          <w:szCs w:val="20"/>
          <w:color w:val="auto"/>
        </w:rPr>
      </w:pPr>
      <w:r>
        <w:rPr>
          <w:rFonts w:ascii="Arial" w:cs="Arial" w:eastAsia="Arial" w:hAnsi="Arial"/>
          <w:sz w:val="18"/>
          <w:szCs w:val="18"/>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June 30, 2020 included a weighted</w:t>
      </w: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average cost of capital of 10% and updated projections of future ICLUSIG revenues in the European Union and other countries for the approved third line treatment. The change in fair value of the contingent consideration during the three and six months ended June 30, 2020 was due primarily to the passage of time as there were no other significant changes in the key assumptions during the period.</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At June 30, 2020 and December 31, 2019, contingent consideration earned but not yet paid was $7.1 million and $23.0 million, respectively, and was included in accrued and other current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Gains</w:t>
            </w:r>
          </w:p>
        </w:tc>
        <w:tc>
          <w:tcPr>
            <w:tcW w:w="2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2020</w:t>
            </w:r>
          </w:p>
        </w:tc>
        <w:tc>
          <w:tcPr>
            <w:tcW w:w="2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$ 262,556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$ 262,756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December 31, 2019</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$ 284,795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available-for-sale debt securities generally have contractual maturity dates of between 12 to 18 months. Debt security assets were assessed for risk of expected credit losses per our accounting policy as described in Note 2. As of June 30, 2020 and December 31, 2019, the available-for-sale debt securities were held in US-government backed funds and Treasury assets and were assessed on an individual security basis to have a de minimis risk of credit loss.</w:t>
      </w:r>
    </w:p>
    <w:p>
      <w:pPr>
        <w:spacing w:after="0" w:line="153" w:lineRule="exact"/>
        <w:rPr>
          <w:sz w:val="20"/>
          <w:szCs w:val="20"/>
          <w:color w:val="auto"/>
        </w:rPr>
      </w:pPr>
    </w:p>
    <w:p>
      <w:pPr>
        <w:ind w:left="400" w:hanging="356"/>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 and current expected credit losses</w:t>
      </w:r>
    </w:p>
    <w:p>
      <w:pPr>
        <w:spacing w:after="0" w:line="22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45% and 30% of the accounts receivable balance as of June 30, 2020 and December 31, 2019, respectively. For further information relating these collaboration and license agreements, refer to Note 9 to the condensed consolidated financial statements.</w:t>
      </w:r>
    </w:p>
    <w:p>
      <w:pPr>
        <w:spacing w:after="0" w:line="17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November 2011, we began commercialization and distribution of JAKAFI and in April 2020, we began commercialization and distribution of PEMAZYRE to a number of customers. Our product revenues are concentrated in a number of these customers. The concentration of credit risk related to our JAKAFI and PEMAZYRE product revenues is as follows:</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ind w:left="5280"/>
        <w:spacing w:after="0"/>
        <w:rPr>
          <w:sz w:val="20"/>
          <w:szCs w:val="20"/>
          <w:color w:val="auto"/>
        </w:rPr>
      </w:pPr>
      <w:r>
        <w:rPr>
          <w:rFonts w:ascii="Arial" w:cs="Arial" w:eastAsia="Arial" w:hAnsi="Arial"/>
          <w:sz w:val="13"/>
          <w:szCs w:val="13"/>
          <w:b w:val="1"/>
          <w:bCs w:val="1"/>
          <w:color w:val="auto"/>
        </w:rPr>
        <w:t>Percentage of Total Net</w:t>
      </w:r>
    </w:p>
    <w:p>
      <w:pPr>
        <w:spacing w:after="0" w:line="15" w:lineRule="exact"/>
        <w:rPr>
          <w:sz w:val="20"/>
          <w:szCs w:val="20"/>
          <w:color w:val="auto"/>
        </w:rPr>
      </w:pPr>
    </w:p>
    <w:p>
      <w:pPr>
        <w:jc w:val="center"/>
        <w:ind w:left="5280"/>
        <w:spacing w:after="0"/>
        <w:rPr>
          <w:sz w:val="20"/>
          <w:szCs w:val="20"/>
          <w:color w:val="auto"/>
        </w:rPr>
      </w:pPr>
      <w:r>
        <w:rPr>
          <w:rFonts w:ascii="Arial" w:cs="Arial" w:eastAsia="Arial" w:hAnsi="Arial"/>
          <w:sz w:val="12"/>
          <w:szCs w:val="12"/>
          <w:b w:val="1"/>
          <w:bCs w:val="1"/>
          <w:color w:val="auto"/>
        </w:rPr>
        <w:t>Product Revenues for the</w:t>
      </w:r>
    </w:p>
    <w:p>
      <w:pPr>
        <w:spacing w:after="0" w:line="11"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wp:posOffset>
            </wp:positionV>
            <wp:extent cx="11315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wp:posOffset>
            </wp:positionV>
            <wp:extent cx="11315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5340"/>
        <w:spacing w:after="0"/>
        <w:tabs>
          <w:tab w:leader="none" w:pos="6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19"/>
        <w:spacing w:after="0" w:line="254" w:lineRule="auto"/>
        <w:rPr>
          <w:sz w:val="20"/>
          <w:szCs w:val="20"/>
          <w:color w:val="auto"/>
        </w:rPr>
      </w:pPr>
      <w:r>
        <w:rPr>
          <w:rFonts w:ascii="Arial" w:cs="Arial" w:eastAsia="Arial" w:hAnsi="Arial"/>
          <w:sz w:val="13"/>
          <w:szCs w:val="13"/>
          <w:b w:val="1"/>
          <w:bCs w:val="1"/>
          <w:color w:val="auto"/>
        </w:rPr>
        <w:t>Percentage of Total Net Product Revenues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wp:posOffset>
            </wp:positionV>
            <wp:extent cx="11315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wp:posOffset>
            </wp:positionV>
            <wp:extent cx="1131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80"/>
        <w:spacing w:after="0"/>
        <w:tabs>
          <w:tab w:leader="none" w:pos="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p>
    <w:p>
      <w:pPr>
        <w:sectPr>
          <w:pgSz w:w="11900" w:h="16838" w:orient="portrait"/>
          <w:cols w:equalWidth="0" w:num="2">
            <w:col w:w="6840" w:space="400"/>
            <w:col w:w="17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5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90"/>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20 %</w:t>
            </w:r>
          </w:p>
        </w:tc>
        <w:tc>
          <w:tcPr>
            <w:tcW w:w="10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20 %</w:t>
            </w:r>
          </w:p>
        </w:tc>
        <w:tc>
          <w:tcPr>
            <w:tcW w:w="8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19 %</w:t>
            </w: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19 %</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Customer B</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16 %</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17 %</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16 %</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Customer D</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r>
    </w:tbl>
    <w:p>
      <w:pPr>
        <w:spacing w:after="0" w:line="14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and D comprised, in aggregate, 29% and 39% of the accounts receivable balance as of June 30, 2020 and December 31, 2019, respectively. The concentration of credit risk relating to ICLUSIG product revenues or accounts receivable is not significant.</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assessed our collaborative and customer receivable assets as of June 30, 2020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8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20" w:type="dxa"/>
            <w:vAlign w:val="bottom"/>
            <w:shd w:val="clear" w:color="auto" w:fill="CCEEFF"/>
          </w:tcPr>
          <w:p>
            <w:pPr>
              <w:spacing w:after="0"/>
              <w:rPr>
                <w:sz w:val="18"/>
                <w:szCs w:val="18"/>
                <w:color w:val="auto"/>
              </w:rPr>
            </w:pPr>
          </w:p>
        </w:tc>
      </w:tr>
      <w:tr>
        <w:trPr>
          <w:trHeight w:val="210"/>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16,505</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Inventories-noncurrent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June 30, 2020, $16.3 million of inventory was classified as current on the condensed consolidated balance sheet as we expect this inventory to be consumed for commercial use within the next twelve months. At June 30, 2020, $9.6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1"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70,510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499,437</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(121,870)</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377,567</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will serve as our new European headquarters and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In June 2019, we obtained control of the Morges building to begin our construction activity. At that time, we determined the lease to be a finance lease and recorded a lease liability of $31.1 million and a finance lease right-of-use asset of $29.1 million, net of a lease incentive from our landlord of $2.0 million. As of June 30, 2020 we have capitalized approximately $22.4 million in on site preparation, design and construction costs.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June 30, 2020, we have capitalized approximately $127.4 million in costs for construction, ground preparation and architectural and engineering studies. We currently anticipate the facility will be completed in the second half of 2020.</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 and are as follows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Noncurrent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120" w:type="dxa"/>
            <w:vAlign w:val="bottom"/>
            <w:tcBorders>
              <w:bottom w:val="single" w:sz="8" w:color="CCEEFF"/>
            </w:tcBorders>
          </w:tcPr>
          <w:p>
            <w:pPr>
              <w:spacing w:after="0"/>
              <w:rPr>
                <w:sz w:val="18"/>
                <w:szCs w:val="18"/>
                <w:color w:val="auto"/>
              </w:rPr>
            </w:pP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cash paid for amounts included in the measurement of our operating lease liabilities for the six months ended June 30, 2020 and 2019 was $5.9 million and $5.4 million, respectively, in operating cash flows. The cash paid for amounts included in the measurement of our finance lease liabilities for the six months ended June 30, 2020 and 2019 was $0.4 million, in financing cash flows.</w:t>
      </w:r>
    </w:p>
    <w:p>
      <w:pPr>
        <w:spacing w:after="0" w:line="18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As of June 30, 2020, our finance and operating leases had a weighted average lease term of approximately 15.2 and 5.3 years, respectively. The discount rate of our leases is an approximation of an estimated incremental borrowing rate and is dependent upon the term and economics of each agreement. The weighted average discount rate of our finance and operating leases is approximately 3.6% and 4.4%, respectively.</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For the three and six months ended June 30, 2020, we incurred approximately $2.9 million and $6.1 million, respectively, of expense related to our operating leases, approximately $0.7 million and $1.3 million, respectively, of amortization on our finance lease right-of-use assets and approximately $0.3 million and $0.6 million, respectively, of interest expense on our finance lease liabilities. For the three and six months ended June 30, 2019, we incurred approximately $3.6 million and $7.3 million, respectively, of expense related to our operating leases, approximately $0.2 million and $0.4 million, respectively, of amortization on our finance lease right-of-use assets and a de minimis amount of interest expense on our finance lease liabilities.</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Rent expense for the three and six months ended June 30, 2020 was $2.9 million and $6.4 million, respectively. Rent expense for the three and six months ended June 30, 2019 was $3.7 million and $7.0 million, respectively. For the three and six months ended June 30, 2020 and 2019, the cost of our short term leases with a term less than 12 months was de minimis.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Balance at June 30, 2020</w:t>
            </w:r>
          </w:p>
        </w:tc>
        <w:tc>
          <w:tcPr>
            <w:tcW w:w="160" w:type="dxa"/>
            <w:vAlign w:val="bottom"/>
          </w:tcPr>
          <w:p>
            <w:pPr>
              <w:spacing w:after="0"/>
              <w:rPr>
                <w:sz w:val="14"/>
                <w:szCs w:val="1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Balance at December 31, 2019</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jc w:val="center"/>
              <w:ind w:left="42"/>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Finite-lived intangible assets:</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  87,940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$ 183,060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rPr>
              <w:t>$  77,172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$ 193,828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changes to the carrying amount of goodwill for the six months ended June 30, 2020.</w:t>
      </w:r>
    </w:p>
    <w:p>
      <w:pPr>
        <w:spacing w:after="0" w:line="221" w:lineRule="exact"/>
        <w:rPr>
          <w:sz w:val="20"/>
          <w:szCs w:val="20"/>
          <w:color w:val="auto"/>
        </w:rPr>
      </w:pPr>
    </w:p>
    <w:p>
      <w:pPr>
        <w:ind w:left="400" w:hanging="311"/>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60"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66" w:lineRule="exact"/>
        <w:rPr>
          <w:sz w:val="20"/>
          <w:szCs w:val="20"/>
          <w:color w:val="auto"/>
        </w:rPr>
      </w:pPr>
    </w:p>
    <w:p>
      <w:pPr>
        <w:jc w:val="both"/>
        <w:ind w:left="40" w:right="60" w:firstLine="648"/>
        <w:spacing w:after="0" w:line="269" w:lineRule="auto"/>
        <w:rPr>
          <w:sz w:val="20"/>
          <w:szCs w:val="20"/>
          <w:color w:val="auto"/>
        </w:rPr>
      </w:pPr>
      <w:r>
        <w:rPr>
          <w:rFonts w:ascii="Arial" w:cs="Arial" w:eastAsia="Arial" w:hAnsi="Arial"/>
          <w:sz w:val="17"/>
          <w:szCs w:val="17"/>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sales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$120.0 million for the achievement of sales milestones through June 30, 2020.</w:t>
      </w:r>
    </w:p>
    <w:p>
      <w:pPr>
        <w:spacing w:after="0" w:line="182" w:lineRule="exact"/>
        <w:rPr>
          <w:sz w:val="20"/>
          <w:szCs w:val="20"/>
          <w:color w:val="auto"/>
        </w:rPr>
      </w:pPr>
    </w:p>
    <w:p>
      <w:pPr>
        <w:jc w:val="both"/>
        <w:ind w:left="40" w:right="60"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May 2020, we recognized a $25.0 million development milestone and a $45.0 million regulatory milestone for the FDA approval of capmatinib as TABRECTA for the treatment of adult patients with metastatic non-small cell lung cancer (NSCLC) whose tumors have a mutation that leads to MET exon 14 skipping (METex14) as detected by an FDA-approved test. In June 2020, we recognized a $20.0 million regulatory milestone for the Japanese Ministry of Health, Labour and Welfare approval of TABRECTA for METex14 mutation-positive advanced and/or recurrent unresectable non-small cell lung cancer.</w:t>
      </w:r>
    </w:p>
    <w:p>
      <w:pPr>
        <w:spacing w:after="0" w:line="192"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six months ended June 30, 2020, such royalties payable to Novartis on net sales within the United States totaled $23.2 million and $40.7 million, respectively, and are reflected in cost of product revenues on the condensed consolidated statements of operations. During the three and six months ended June 30, 2019, such royalties payable to Novartis on net sales within the United States totaled $20.1 million and $33.5 million, respectively, and are reflected in cost of product revenues on the condensed consolidated statements of operations. At June 30, 2020 and December 31, 2019, $70.7 million and $50.2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9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Reimbursable costs incurred after the effective date of the agreement with Novartis are recorded net against the related research and development expenses. Research and development expenses for the three and six months ended June 30, 2020 were net of $0.0 million and $0.3 million, respectively, of costs reimbursed by Novartis. Research and development expenses for the three and six months ended June 30, 2019 were net of $0.4 million and $1.0 million, respectively, of costs reimbursed by Novartis. At June 30, 2020 and December 31, 2019, $0.1 million and $0.4 million, respectively, of reimbursable costs were included in accounts receivable on the condensed consolidated balance sheets.</w:t>
      </w:r>
    </w:p>
    <w:p>
      <w:pPr>
        <w:spacing w:after="0" w:line="16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Milestone and contract revenue under the Novartis agreement for the three and six months ended June 30, 2020 was $90.0 million. Milestone and contract revenue under the Novartis agreement for the three and six months ended June 30, 2019 was $0.0 million. Product royalty revenue related to Novartis net sales of JAKAVI outside of the United States for the three and six months ended June 30, 2020 was $66.2 million and $122.6 million, respectively. Product royalty revenue related to Novartis net sales of JAKAVI outside of the United States for the three and six months ended June 30, 2019 was $56.9 million and $102.5 million, respectively. Product royalty revenue related to Novartis net sales of TABRECTA worldwide for the three and six months ended June 30, 2020 was $0.7 million.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achievement of development milestones, up to $365.0 million for the achievement of regulatory milestones and up to $150.0 million for the achievement of sales milestones. Exclusive of the upfront payment of $90.0 million received in 2009, we have recognized and received, in aggregate, $149.0 million for the achievement of development milestones and $235.0 million for the achievement of regulatory milestones through June 30, 2020.</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6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May 2020, we amended our agreement with Lilly to enable Lilly to commercialize baricitinib for the treatment of COVID-19.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Milestone and contract revenue under the Lilly agreement for the three and six months ended June 30, 2020 and 2019 was $0.0 million. Product royalty revenue related to Lilly global net sales of OLUMIANT for the three and six months ended June 30, 2020 was $25.8 million and $51.3 million, respectively. Product royalty revenue related to Lilly global net sales of OLUMIANT for the three and six months ended June 30, 2019 was $19.1 million and $35.2 million,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6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2017 under the Amended Agreement, we paid Agenus $20.0 million in accelerated milestones relating to the clinical development of the GITR and OX40 programs, which was recorded in research and development expense. Agenus was initially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2018, we paid Agenus a $5.0 million development milestone for the LAG-3 program and a $5.0 million development milestone for the TIM-3 program, which were recorded in research and development expense.</w:t>
      </w:r>
    </w:p>
    <w:p>
      <w:pPr>
        <w:spacing w:after="0" w:line="17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our stock purchase in Agenus Inc. and was recorded within long term investments and $20.5 million was allocated to research and development expense.</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concluded Agenus Inc. is not a VIE because it has sufficient equity to finance its activities without additional subordinated financial support and its at-risk equity holders have the characteristics of a controlling financial interest. After completion of our stock purchases from Agenus Inc., we held an approximate ownership interest of 18% and, under circumstances present at that time, concluded that we had the ability to exercise significant influence, but not control, over Agenus Inc., primarily due to the level of intra-entity transactions between us and Agenus related to development expenses, as well as other qualitative factors. In the second quarter of 2020, we sold an aggregate of approximately 1.2 million shares of Agenus Inc. common stock, reducing our ownership interest to approximately 9.8% as of June 30, 2020. The sales transactions were priced at market, with per share pricing ranging from $3.57 to $4.21, resulting in gross proceeds of approximately $4.5 million. While we believe that we continue to be the largest stockholder of Agenus Inc., as a result of having a less than 10% ownership interest and the recent diversification of Agenus Inc.’s development pipeline with other collaboration partners, we concluded that we no longer have significant influence over Agenus Inc. As such, as of June 30, 2020, we no longer account for our equity investment in Agenus Inc. as an equity method investment previously accounted for under the fair value option. We will account for our investment in Agenus Inc. at fair value, whereby the investment is marked to market through earnings in each reporting period. For the three and six months ended June 30, 2020, we recorded an unrealized gain of $26.2 million and an unrealized loss of $2.7 million, respectively, based on the change in fair market value of Agenus Inc.’s common stock during these periods. For the three and six months ended June 30, 2019, we recorded an unrealized gain of $0.5 million and $11.0 million, respectively, based on the change in fair market value of Agenus Inc.’s common stock during these periods. The fair market value of our long term investment in Agenus Inc. at June 30, 2020 and December 31, 2019 was $65.1 million and $72.3 million, respectively.</w:t>
      </w:r>
    </w:p>
    <w:p>
      <w:pPr>
        <w:spacing w:after="0" w:line="16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2020 also included $0.2 million and $0.3 million, respectively, of development costs incurred pursuant to the Agenus arrangement. Research and development expenses for the three and six months ended June 30, 2019 also included $0.5 million and $0.9 million, respectively, of development costs incurred pursuant to the Agenus arrangement. At June 30, 2020 and December 31, 2019, a total of $1.5 million and $1.6 million, respectively, of such costs were included in accrued and other liabilities on the condensed consolidated balance sheets.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at June 30, 2020 and December 31, 2019 was $51.5 million and $45.1 million, respectively.</w:t>
      </w:r>
    </w:p>
    <w:p>
      <w:pPr>
        <w:spacing w:after="0" w:line="16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concluded Merus is not a VIE because it has sufficient equity to finance its activities without additional subordinated financial support and its at-risk equity holders have the characteristics of a controlling financial interest. As of June 30, 2020, we owned approximately 11%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six months ended June 30, 2020, we recorded an unrealized gain of $12.7 million and $6.4 million, respectively, based on the change in fair market value of Merus’ common shares during these periods. For the three and six months ended June 30, 2019, we recorded an unrealized loss of $0.4 million and an unrealized gain of $2.1 million, respectively, based on the change in fair market value of Merus’ common shares during these periods.</w:t>
      </w:r>
    </w:p>
    <w:p>
      <w:pPr>
        <w:spacing w:after="0" w:line="16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For the three months ended March 31, 2020, Merus reported within its Form 10-Q total revenues of approximately $6.3 million and net loss of approximately $16.5 million within their condensed consolidated financial statements.</w:t>
      </w:r>
    </w:p>
    <w:p>
      <w:pPr>
        <w:spacing w:after="0" w:line="16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Research and development expenses for the three and six months ended June 30, 2020 included $1.9 million and $4.2 million, respectively, of additional development costs incurred pursuant to the Merus agreement. Research and development expenses for the three and six months ended June 30, 2019 included $1.7 million and $4.3 million, respectively, of additional development costs incurred pursuant to the Merus agreement. At June 30, 2020 and December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31, 2019, a total of $2.0 million and $1.6 million, respectively, of such costs were included in accrued and other liabilities on the condensed consolidated balance sheets.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8"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2017, we paid Calithera a $12.0 million milestone for the achievement of pharmacokinetic and pharmacodynamics goals for CB-1158 which was recorded in research and development expense.</w:t>
      </w:r>
    </w:p>
    <w:p>
      <w:pPr>
        <w:spacing w:after="0" w:line="157"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June 30, 2020 and December 31, 2019 was $9.1 million and $9.8 million, respectively.</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Calithera is not a VIE because it has sufficient equity to finance its activities without additional subordinated financial support and its at-risk equity holders have the characteristics of a controlling financial interest. As of June 30, 2020, we owned approximately 2%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2020 we recorded an unrealized gain of $1.5 million and an unrealized loss of $0.7 million, respectively, based on the change in fair market value of Calithera’s common</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stock during these periods. For the three and six months ended June 30, 2019 we recorded an unrealized loss of $4.9 million and $0.2 million, respectively, based on the change in fair market value of Calithera’s common stock during these periods.</w:t>
      </w:r>
    </w:p>
    <w:p>
      <w:pPr>
        <w:spacing w:after="0" w:line="22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six months ended June 30, 2020 also included $1.9 million and $4.4 million, respectively, of additional development costs incurred pursuant to the Calithera agreement. Research and development expenses for the three and six months ended June 30, 2019 also included $5.4 million and $10.0 million, respectively, of additional development costs incurred pursuant to the Calithera agreement. At June 30, 2020 and December 31, 2019, a total of $1.3 million and $1.1 million, respectively, of such costs were included in accrued and other liabilities on the condensed consolidated balance sheets.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which was recorded in research and development expense. MacroGenics was initially eligible to receive up to $420.0 million in future contingent development and regulatory milestones and up to $330.0 million in commercial milestones as well as tiered royalties ranging from 15% to 24% of global net sales. In 2018, we paid MacroGenics a $10.0 million and a $5.0 million milestone for the achievement of certain clinical milestones as part of our collaboration and license agreement, which were recorded in research and development expense.</w:t>
      </w:r>
    </w:p>
    <w:p>
      <w:pPr>
        <w:spacing w:after="0" w:line="17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six months ended June 30, 2020 also included $16.3 million and $32.7 million, respectively, of additional development costs incurred pursuant to the MacroGenics agreement. Research and development expenses for the three and six months ended June 30, 2019 also included $9.8 million and $19.2 million, respectively, of additional development costs incurred pursuant to the MacroGenics agreement. At June 30, 2020 and December 31, 2019, a total of $0.5 million and $1.0 million of such costs were included in accrued and other liabilities on the condensed consolidated balance sheets.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5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June 30, 2020 and December 31, 2019 was $10.0 million and $6.5 million, respectively.</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concluded Syros is not a VIE because it has sufficient equity to finance its activities without additional subordinated financial support and its at-risk equity holders have the characteristics of a controlling financial interest. As of June 30, 2020,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2020, we recorded an unrealized gain of $4.4 million and $3.5 million, respectively, based on the change in fair market value of Syros’ common stock during these periods. For the three and six months ended June 30, 2019, we recorded an unrealized gain of $0.2 million and $3.5 million, respectively, based on the change in fair market value of Syros’ common stock during these periods.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condensed consolidated statement of operations. The upfront milestone was recognized as revenue at a point in time upon our transfer of the licenses to Innovent for the right to use the functional intellectual property. In June 2019, we recognized the $20.0 million milestone for the first related IND filing in China, which was recorded in milestone and contract revenues. In addition, we were initially eligible to receive up to an additional $129.0 million in potential development and regulatory milestones. 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6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April 2020, we recognized a $5.0 million milestone for the FDA approval of pemigatinib as PEMAZYRE, which was recorded in milestone and contract revenues.</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Research and development expenses for the three and six months ended June 30, 2020 were net of $2.6 million of costs reimbursed by Innovent. Research and development expenses for the three and six months ended June 30, 2019 were net of $0.5 million of costs reimbursed by Innovent. At June 30, 2020 and December 31, 2019, $2.2 million and $3.0 million, respectively, of reimbursable costs were included in accounts receivable on the condensed consolidated balance sheets.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 upon our transfer of the functional intellectual property related to the licensed product candidate to Zai Lab, which was recorded in milestone and contract revenues. The upfront milestone was recognized as revenue at a point in time upon our transfer of the license to Zai Lab for the right to use the functional intellectual property.</w:t>
      </w:r>
    </w:p>
    <w:p>
      <w:pPr>
        <w:spacing w:after="0" w:line="16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and six months ended June 30, 2020 were net of $0.0 million and $0.2 million, respectively, of costs reimbursed by Zai Lab. At June 30, 2020 and December 31, 2019, $0.2 million and $0.5 million, respectively, of reimbursable costs were included in accounts receivable on the condensed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1"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territories outside of the United States. All development costs related to the collaboration are subject to a joint development plan.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March 2020, we paid MorphoSys an upfront non-refundable payment of $750.0 million which was recorded in research and development expense on the condensed consolidated statement of operations for the three months ended March 31, 2020.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June 30, 2020 was $113.1 million.</w:t>
      </w:r>
    </w:p>
    <w:p>
      <w:pPr>
        <w:spacing w:after="0" w:line="17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MorphoSys is not a VIE because it has sufficient equity to finance its activities without additional subordinated financial support and its at-risk equity holders have the characteristics of a controlling financial interest. As of June 30, 2020,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2020, we recorded an unrealized gain of $27.5 million and $17.6 million, respectively, based on the change in fair market value of MorphoSys’ common stock during these periods.</w:t>
      </w:r>
    </w:p>
    <w:p>
      <w:pPr>
        <w:spacing w:after="0" w:line="17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50% share of the United States loss for the commercialization of tafasitamab was $13.3 million and $15.4 million, respectively, for the three and six months ended June 30, 2020 and is recorded as collaboration loss sharing on the condensed consolidated statement of operations. Research and development expenses for the three and six months ended June 30, 2020, includes $15.7 million and $27.3 million related to our 55% share of the co-development costs for tafasitamab. At June 30, 2020, $37.5 million was included in accrued and other liabilities on the condensed consolidated balance sheet for amounts due to MorphoSys under the agreement.</w:t>
      </w:r>
    </w:p>
    <w:p>
      <w:pPr>
        <w:spacing w:after="0" w:line="174" w:lineRule="exact"/>
        <w:rPr>
          <w:sz w:val="20"/>
          <w:szCs w:val="20"/>
          <w:color w:val="auto"/>
        </w:rPr>
      </w:pPr>
    </w:p>
    <w:p>
      <w:pPr>
        <w:ind w:left="500" w:hanging="456"/>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We recorded $46.3 million and $88.8 million of stock compensation expense on our condensed consolidated statements of operations for the three and six months ended June 30, 2020, respectively. We recorded $40.6 million and $81.2 million of stock compensation expense on our condensed consolidated statements of operations for the three and six months ended June 30, 2019, respectively. Stock compensation expense included within our condensed consolidated statements of operations included research and development expense of $32.5 million, $61.2 million, $27.6 million and $55.0 million for the three and six months ended June 30, 2020 and 2019, respectively. Stock compensation expense included within our condensed consolidated statements of operations also included selling, general and administrative expense of $13.6 million, $27.1 million, $12.8 million and $25.8 million for the three and six months ended June 30, 2020</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and 2019, respectively. Stock compensation expense included within our condensed consolidated statements of operations also included cost of product revenues of $0.2 million, $0.5 million, $0.2 million and $0.4 million, respectively, for the three and six months ended June 30, 2020. For the three and six months ended June 30, 2020 and 2019, we capitalized $0.1 million, $0.3 million, $0.1 million and $0.2 million, respectively, of stock compensation expense as part of the cost of an asset.</w:t>
      </w:r>
    </w:p>
    <w:p>
      <w:pPr>
        <w:spacing w:after="0" w:line="18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Employee Stock Options</w:t>
      </w:r>
    </w:p>
    <w:p>
      <w:pPr>
        <w:spacing w:after="0" w:line="10" w:lineRule="exact"/>
        <w:rPr>
          <w:sz w:val="20"/>
          <w:szCs w:val="20"/>
          <w:color w:val="auto"/>
        </w:rPr>
      </w:pPr>
    </w:p>
    <w:tbl>
      <w:tblPr>
        <w:tblLayout w:type="fixed"/>
        <w:tblInd w:w="236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For the Three</w:t>
            </w:r>
          </w:p>
        </w:tc>
        <w:tc>
          <w:tcPr>
            <w:tcW w:w="8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411"/>
              <w:spacing w:after="0" w:line="119" w:lineRule="exact"/>
              <w:rPr>
                <w:sz w:val="20"/>
                <w:szCs w:val="20"/>
                <w:color w:val="auto"/>
              </w:rPr>
            </w:pPr>
            <w:r>
              <w:rPr>
                <w:rFonts w:ascii="Arial" w:cs="Arial" w:eastAsia="Arial" w:hAnsi="Arial"/>
                <w:sz w:val="13"/>
                <w:szCs w:val="13"/>
                <w:b w:val="1"/>
                <w:bCs w:val="1"/>
                <w:color w:val="auto"/>
              </w:rPr>
              <w:t>For the</w:t>
            </w:r>
          </w:p>
        </w:tc>
      </w:tr>
      <w:tr>
        <w:trPr>
          <w:trHeight w:val="171"/>
        </w:trPr>
        <w:tc>
          <w:tcPr>
            <w:tcW w:w="132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3"/>
              </w:rPr>
              <w:t>Months Ended</w:t>
            </w:r>
          </w:p>
        </w:tc>
        <w:tc>
          <w:tcPr>
            <w:tcW w:w="194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June 30,</w:t>
            </w:r>
          </w:p>
        </w:tc>
        <w:tc>
          <w:tcPr>
            <w:tcW w:w="114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Employee Stock Purchase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 the Three</w:t>
            </w:r>
          </w:p>
        </w:tc>
        <w:tc>
          <w:tcPr>
            <w:tcW w:w="1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For the</w:t>
            </w:r>
          </w:p>
        </w:tc>
      </w:tr>
      <w:tr>
        <w:trPr>
          <w:trHeight w:val="178"/>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Months Ended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2057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205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80"/>
        <w:spacing w:after="0"/>
        <w:tabs>
          <w:tab w:leader="none" w:pos="880" w:val="left"/>
          <w:tab w:leader="none" w:pos="1680" w:val="left"/>
          <w:tab w:leader="none" w:pos="25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p>
    <w:p>
      <w:pPr>
        <w:sectPr>
          <w:pgSz w:w="11900" w:h="16838" w:orient="portrait"/>
          <w:cols w:equalWidth="0" w:num="2">
            <w:col w:w="5620" w:space="60"/>
            <w:col w:w="333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3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89"/>
        </w:trPr>
        <w:tc>
          <w:tcPr>
            <w:tcW w:w="2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shd w:val="clear" w:color="auto" w:fill="CCEEFF"/>
              </w:rPr>
              <w:t>Average risk-free interest rates</w:t>
            </w:r>
          </w:p>
        </w:tc>
        <w:tc>
          <w:tcPr>
            <w:tcW w:w="8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shd w:val="clear" w:color="auto" w:fill="CCEEFF"/>
              </w:rPr>
              <w:t>0.33 %</w:t>
            </w: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shd w:val="clear" w:color="auto" w:fill="CCEEFF"/>
              </w:rPr>
              <w:t>2.26 %</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shd w:val="clear" w:color="auto" w:fill="CCEEFF"/>
              </w:rPr>
              <w:t>1.32 %</w:t>
            </w: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shd w:val="clear" w:color="auto" w:fill="CCEEFF"/>
              </w:rPr>
              <w:t>2.49 %</w:t>
            </w: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shd w:val="clear" w:color="auto" w:fill="CCEEFF"/>
              </w:rPr>
              <w:t>0.16 %</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shd w:val="clear" w:color="auto" w:fill="CCEEFF"/>
              </w:rPr>
              <w:t>1.75 %</w:t>
            </w: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shd w:val="clear" w:color="auto" w:fill="CCEEFF"/>
              </w:rPr>
              <w:t>0.19 %</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shd w:val="clear" w:color="auto" w:fill="CCEEFF"/>
              </w:rPr>
              <w:t>2.10 %</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Average expected life (in</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years)</w:t>
            </w:r>
          </w:p>
        </w:tc>
        <w:tc>
          <w:tcPr>
            <w:tcW w:w="460" w:type="dxa"/>
            <w:vAlign w:val="bottom"/>
          </w:tcPr>
          <w:p>
            <w:pPr>
              <w:jc w:val="right"/>
              <w:spacing w:after="0"/>
              <w:rPr>
                <w:sz w:val="20"/>
                <w:szCs w:val="20"/>
                <w:color w:val="auto"/>
              </w:rPr>
            </w:pPr>
            <w:r>
              <w:rPr>
                <w:rFonts w:ascii="Arial" w:cs="Arial" w:eastAsia="Arial" w:hAnsi="Arial"/>
                <w:sz w:val="18"/>
                <w:szCs w:val="18"/>
                <w:color w:val="auto"/>
              </w:rPr>
              <w:t>5.48</w:t>
            </w: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5.55</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5.34</w:t>
            </w:r>
          </w:p>
        </w:tc>
        <w:tc>
          <w:tcPr>
            <w:tcW w:w="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39 %</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39 %</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40 %</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45 %</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38 %</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37 %</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48 %</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34 %</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Weighted-average fair value</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 dollars)</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34.13</w:t>
            </w: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30.92</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29.49</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31.47</w:t>
            </w:r>
          </w:p>
        </w:tc>
        <w:tc>
          <w:tcPr>
            <w:tcW w:w="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19.50</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13.11</w:t>
            </w: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17.47</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13.69</w:t>
            </w:r>
          </w:p>
        </w:tc>
        <w:tc>
          <w:tcPr>
            <w:tcW w:w="340" w:type="dxa"/>
            <w:vAlign w:val="bottom"/>
          </w:tcPr>
          <w:p>
            <w:pPr>
              <w:spacing w:after="0"/>
              <w:rPr>
                <w:sz w:val="20"/>
                <w:szCs w:val="20"/>
                <w:color w:val="auto"/>
              </w:rPr>
            </w:pPr>
          </w:p>
        </w:tc>
      </w:tr>
    </w:tbl>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Option activity under our 2010 Amended and Restated Stock Incentive Plan (the “2010 Stock Plan”) was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12,632,657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1,123,442</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(1,602,004)</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(274,941)</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93.91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11,879,154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85.63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72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17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91"/>
              </w:rPr>
              <w:t>Outstanding Awards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2,602,376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415,017</w:t>
            </w:r>
          </w:p>
        </w:tc>
        <w:tc>
          <w:tcPr>
            <w:tcW w:w="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81.56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(92,818)</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85.93</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(62,956)</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80.10</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(142,250)</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68.79</w:t>
            </w:r>
          </w:p>
        </w:tc>
        <w:tc>
          <w:tcPr>
            <w:tcW w:w="10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2,719,369</w:t>
            </w:r>
          </w:p>
        </w:tc>
        <w:tc>
          <w:tcPr>
            <w:tcW w:w="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80.33</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 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and will cliff vest in June 2021.</w:t>
      </w:r>
    </w:p>
    <w:p>
      <w:pPr>
        <w:spacing w:after="0" w:line="16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Compensation expense for the performance-based awards is recorded over the estimated service period for each milestone when the performance conditions are deemed probable of achievement. For the period ended June 30, 2020, the stock compensation expense recorded during the period was for service-based awards and performance conditions deemed probable of achievement and/or achieved. For PSUs containing performance conditions which were not deemed probable of achievement at June 30, 2020, no stock compensation expense was recognized.</w:t>
      </w:r>
    </w:p>
    <w:p>
      <w:pPr>
        <w:spacing w:after="0" w:line="1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 These PSUs will continue to vest through July 2022.</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 These PSUs will continue to vest through July 2023.</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shares available for grant under the 2010 Stock Plan:</w:t>
      </w:r>
    </w:p>
    <w:p>
      <w:pPr>
        <w:spacing w:after="0" w:line="230"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Shares Available</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jc w:val="right"/>
        <w:ind w:right="259"/>
        <w:spacing w:after="0"/>
        <w:rPr>
          <w:sz w:val="20"/>
          <w:szCs w:val="20"/>
          <w:color w:val="auto"/>
        </w:rPr>
      </w:pPr>
      <w:r>
        <w:rPr>
          <w:rFonts w:ascii="Arial" w:cs="Arial" w:eastAsia="Arial" w:hAnsi="Arial"/>
          <w:sz w:val="17"/>
          <w:szCs w:val="17"/>
          <w:color w:val="auto"/>
        </w:rPr>
        <w:t>9,882,122</w:t>
      </w:r>
    </w:p>
    <w:p>
      <w:pPr>
        <w:spacing w:after="0" w:line="19"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(1,953,476)</w:t>
      </w:r>
    </w:p>
    <w:p>
      <w:pPr>
        <w:spacing w:after="0" w:line="3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506,744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5715</wp:posOffset>
            </wp:positionV>
            <wp:extent cx="866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color w:val="auto"/>
        </w:rPr>
        <w:t>8,435,390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21590</wp:posOffset>
            </wp:positionV>
            <wp:extent cx="866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38735</wp:posOffset>
            </wp:positionV>
            <wp:extent cx="866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240" w:space="720"/>
            <w:col w:w="105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June 30, 2020, was $79.9 million, which is expected to be recognized over the weighted average period of approximately 1.3 years. Total compensation cost of RSUs granted but not yet vested, as of June 30, 2020, was $77.9 million, which is expected to be recognized over the weighted average period of approximately 1.6 years. Total compensation cost of PSUs granted but not yet vested, as of June 30, 2020, was $21.4 million, which is expected to be recognized over the weighted average period of 1.5 years, should the underlying performance conditions be deemed probable of achievement.</w:t>
      </w:r>
    </w:p>
    <w:p>
      <w:pPr>
        <w:spacing w:after="0" w:line="201" w:lineRule="exact"/>
        <w:rPr>
          <w:sz w:val="20"/>
          <w:szCs w:val="20"/>
          <w:color w:val="auto"/>
        </w:rPr>
      </w:pPr>
    </w:p>
    <w:p>
      <w:pPr>
        <w:ind w:left="480" w:hanging="436"/>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95,172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88,710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12,732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71,957</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42,020</w:t>
            </w: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340,890</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285,950</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hanging="45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convertible senior notes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1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1100" w:type="dxa"/>
            <w:vAlign w:val="bottom"/>
            <w:gridSpan w:val="2"/>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Maturities</w:t>
            </w:r>
          </w:p>
        </w:tc>
        <w:tc>
          <w:tcPr>
            <w:tcW w:w="1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June 30,</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640" w:type="dxa"/>
            <w:vAlign w:val="bottom"/>
            <w:vMerge w:val="continue"/>
          </w:tcPr>
          <w:p>
            <w:pPr>
              <w:spacing w:after="0"/>
              <w:rPr>
                <w:sz w:val="14"/>
                <w:szCs w:val="14"/>
                <w:color w:val="auto"/>
              </w:rPr>
            </w:pPr>
          </w:p>
        </w:tc>
        <w:tc>
          <w:tcPr>
            <w:tcW w:w="86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$ 18,588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18,300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 and fair value of our convertible senior notes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$ 18,588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$ 38,298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$ 18,300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$ 32,511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fair value of the 1.25% Convertible Senior Notes due November 15, 2020 (the “2020 Notes”) is based on data from readily available pricing sources which utilize market observable inputs and other characteristics for similar types of instruments, and, therefore, is classified within Level 2 in the fair value hierarchy.</w:t>
      </w:r>
    </w:p>
    <w:p>
      <w:pPr>
        <w:sectPr>
          <w:pgSz w:w="11900" w:h="16838" w:orient="portrait"/>
          <w:cols w:equalWidth="0" w:num="1">
            <w:col w:w="9019"/>
          </w:cols>
          <w:pgMar w:left="1440" w:top="517" w:right="1440" w:bottom="144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Prior to May 14, 2014, the 2020 Notes were not convertible except in connection with a make-whole fundamental change, as defined in the indenture.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w:t>
      </w:r>
    </w:p>
    <w:p>
      <w:pPr>
        <w:spacing w:after="0" w:line="2" w:lineRule="exact"/>
        <w:rPr>
          <w:sz w:val="20"/>
          <w:szCs w:val="20"/>
          <w:color w:val="auto"/>
        </w:rPr>
      </w:pPr>
    </w:p>
    <w:p>
      <w:pPr>
        <w:jc w:val="both"/>
        <w:ind w:left="40" w:right="59" w:firstLine="4"/>
        <w:spacing w:after="0" w:line="288" w:lineRule="auto"/>
        <w:tabs>
          <w:tab w:leader="none" w:pos="3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w:t>
      </w:r>
    </w:p>
    <w:p>
      <w:pPr>
        <w:spacing w:after="0" w:line="168"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2020 Notes are reflected in current liabilities on the condensed consolidated balance sheet as of June 30, 2020 due to their maturity date of November 15, 2020, unless earlier purchased or converted.</w:t>
      </w:r>
    </w:p>
    <w:p>
      <w:pPr>
        <w:spacing w:after="0" w:line="166" w:lineRule="exact"/>
        <w:rPr>
          <w:sz w:val="20"/>
          <w:szCs w:val="20"/>
          <w:color w:val="auto"/>
        </w:rPr>
      </w:pPr>
    </w:p>
    <w:p>
      <w:pPr>
        <w:ind w:left="500" w:hanging="456"/>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2020 was $3.3 million and $6.6 million, respectively. Defined contribution expense for the three and six months ended June 30, 2019 was $3.1 million and $6.0 million, respectively.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$4.0 million to the pension plans in 2020 inclusive of the amounts contributed to the plan during the current period. As of June 30, 2020 and December 31, 2019, $25.2 million and $24.1 million, respectively, of accrued pension obligation is recorded in other long term liabilities on the condensed consolidated balance sheets.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6"/>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Company is subject to U.S. federal, state and foreign income taxes. For the three and six months ended June 30, 2020, we recorded income tax expense of approximately $17.0 million and $33.5 million, respectively. For the three and six months ended June 30, 2019, we recorded income tax expense of approximately $3.4 million and $5.1 million, respectively. The change in tax expense for the three and six months ended June 30, 2020 was primarily driven by increased federal and state tax liabilities that are not fully sheltered by net operating losses or research and development tax credit carryforwards. The increase was also driven by reduced tax benefits for stock-based compensation in the current period.</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of June 30, 2020, a full valuation allowance continues to be recorded against our U.S. and Swiss net deferred tax assets. Based upon our analysis of our historical operating results, as well as projections of our future taxable income (losses) during the periods in which the temporary differences will be recoverable, we believe the uncertainty regarding the realization of our U.S. and Swiss net deferred tax assets requires a full valuation allowance against such net assets as of June 30, 2020. When performing our assessment on projections of future taxable income (losses), we consider factors such as the likelihood of regulatory approval and commercial success of products currently under development, among other factors.</w:t>
      </w:r>
    </w:p>
    <w:p>
      <w:pPr>
        <w:spacing w:after="0" w:line="19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balance of our unrecognized tax benefits (including penalties and interest) increased by approximately $0.8 million during the six months ended June 30, 2020. The overall net increase is primarily driven by unrecognized tax benefits related to current year operations and research and development tax credits offset by audit settlements in Wisconsin and Italy. After considering valuation allowance impacts, the change in unrecognized tax benefits resulted in a $0.2 million decrease to noncurrent other liabilities on the condensed consolidated balance sheet.</w:t>
      </w:r>
    </w:p>
    <w:p>
      <w:pPr>
        <w:spacing w:after="0" w:line="172" w:lineRule="exact"/>
        <w:rPr>
          <w:sz w:val="20"/>
          <w:szCs w:val="20"/>
          <w:color w:val="auto"/>
        </w:rPr>
      </w:pPr>
    </w:p>
    <w:p>
      <w:pPr>
        <w:ind w:left="440" w:hanging="396"/>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Basic Net Income (Loss) Per Share</w:t>
            </w:r>
          </w:p>
        </w:tc>
        <w:tc>
          <w:tcPr>
            <w:tcW w:w="230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290,298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105,318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(430,344)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207,630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214,342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Diluted Net Income (Loss) Per Share</w:t>
            </w:r>
          </w:p>
        </w:tc>
        <w:tc>
          <w:tcPr>
            <w:tcW w:w="2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Diluted net income (loss)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290,298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105,318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(430,344)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207,630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214,342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stock options and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4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shares used to compute diluted net income (loss)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share</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220,434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217,483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217,274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4"/>
            <w:vMerge w:val="restart"/>
          </w:tcPr>
          <w:p>
            <w:pPr>
              <w:jc w:val="right"/>
              <w:ind w:right="520"/>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potential common shares that were excluded from the diluted net income (loss) per share computation are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4,970,884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9,165,776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14,598,523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9,221,941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5"/>
              </w:rPr>
              <w:t>Common shares issuable upon conversion of the 2020</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365,752</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365,752</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Total potential common shares excluded from diluted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5,336,636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9,534,715</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14,964,275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9,590,880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computation</w:t>
            </w: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40" w:hanging="396"/>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underlying the DOJ inquiry was unsealed (“Complaint”), at which time we learned that a former employee whom we had terminated had made certain allegations relating to the programs described above. We then became aware that the DOJ had not intervened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and, to our knowledge, the DOJ has not intervened to date. We filed an answer to the Complaint on January 22, 2020, and the action is proceeding. We cannot predict the outcome or the timing of the ultimate resolution of the investigation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or reasonably estimate the possible range of loss, if any, that may result from these matters. Accordingly, no reserve has been made with respect to these matters as of June 30, 2020.</w:t>
      </w:r>
    </w:p>
    <w:p>
      <w:pPr>
        <w:spacing w:after="0" w:line="21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45" w:lineRule="exact"/>
        <w:rPr>
          <w:sz w:val="20"/>
          <w:szCs w:val="20"/>
          <w:color w:val="auto"/>
        </w:rPr>
      </w:pPr>
    </w:p>
    <w:p>
      <w:pPr>
        <w:ind w:left="440" w:hanging="396"/>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2020, we and our collaboration partner MorphoSys AG announced that the FDA approved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MONJUVI was approved under accelerated approval based on overall response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and six months ended June 30, 2020 should be read in conjunction with the unaudited condensed consolidated financial statements and notes to those statements included elsewhere in this Quarterly Report on Form 10-Q and our audited consolidated financial statements as of and for the year ended December 31, 2019 included in our Annual Report on Form 10-K for the year ended December 31, 2019 previously filed with the SEC.</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19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/JAKAVI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(ruxolitinib), PEMAZYRE </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(ponatinib) and MONJUVI® (tafasitamab);</w:t>
      </w:r>
    </w:p>
    <w:p>
      <w:pPr>
        <w:spacing w:after="0" w:line="123"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15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JAKAFI, PEMAZYRE, ICLUSIG and MONJUVI;</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40" w:right="59" w:hanging="321"/>
        <w:spacing w:after="0" w:line="235"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161"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157"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expectations relating to our new European headquarters, including construction activities, and the anticipated completion date for our large molecule production facility;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225"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ICLUSIG, PEMAZYRE and MONJUVI;</w:t>
      </w:r>
    </w:p>
    <w:p>
      <w:pPr>
        <w:spacing w:after="0" w:line="211"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21"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44"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21"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44"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34"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new European headquarters and large molecule production facility;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We also refer to trademarks of other corporations and organizations in this Quarterly Report on Form 10-Q.</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Effects of the COVID-19 Pandemic on Our Business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2019, coronavirus disease of 2019, or COVID-19, was first reported in Wuhan, China. In March 2020, the World Health Organization declared COVID-19 a pandemic (“the COVID-19 Pandemic”) and certain governments, including the State of Delaware where our primary offices and laboratory spaces are located, enacted stay-at-home orders and sweeping restrictions to travel and business activity were initiated by corporations and governments.</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took aggressive, proactive actions early on to protect the health of our employees, and their families, including voluntarily requiring almost all personnel across our global enterprise to work remotely and restricting access to our sites to personnel who were required to perform critical business continuity activities. In May 2020, we initiated a return to full laboratory work at our facilities in Wilmington, Delaware, as well as a gradual return to office-based working, where allowed under local guidelines, at our offices in North America, Europe and Japan.</w:t>
      </w:r>
    </w:p>
    <w:p>
      <w:pPr>
        <w:spacing w:after="0" w:line="17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While we currently believe we are well-positioned to function in a hybrid on-site and virtual or remote fashion, the extent of the COVID-19 Pandemic’s effect on our operational and financial performance will depend on future developments, including the duration, spread and intensity of the pandemic, protective measures, and the reimposition of protective measures, implemented by governmental authorities or by us to protect our employees, and effects of the pandemic and such protective measures on our suppliers, collaborators, services providers and healthcare organizations serving patients, all of which are uncertain and difficult to predict considering the rapidly evolving landscape. As a result, it is not currently possible to ascertain or predict the overall long-term impact of the COVID-19 Pandemic on our business.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To date, we have not seen a material effect on the results of our commercial operations, or our manufacturing supply chain, and we have increased manufacturing efforts of ruxolitinib to respond to the COVID-19 Pandemic and to pre-clinical and clinical study requests. New patient starts for JAKAFI treatment decreased as a result of shelter in place and other protective measures, and if decreases in new patient starts continue, our revenues in future periods could be adversely affected. We continue to anticipate that short-term effects may continue to emerge across different aspects of our global clinical trial programs. For example, while we expect ongoing monitoring of already-enrolled patients to continue, difficulties in monitoring may result as a consequence of shelter in place orders and other protective measures implemented by governmental authorities or clinical trial sites. In addition, new patient recruitment in certain clinical trials has been and may in the future be impacted, in particular with respect to our earlier stage clinical trials. We also expect the conduct of clinical trials may continue to vary by disease state and by severity of disease, as well as by geography, as some regions are more adversely impacted. Until our return to full laboratory work, our discovery laboratories were staffed by essential personnel, and hence certain discovery programs experienced delays. Still, we caution that the duration and severity of the continuing COVID-19 Pandemic remains uncertain and we may not yet be able to assess its consequences accurately or fully at this time.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Trials to Address COVID-19</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the initiation of a Phase III clinical trial (RUXCOVID) to evaluate the efficacy and safety of ruxolitinib plus standard-of-care (SoC), compared to SoC therapy alone, in patients with COVID-19 associated cytokine storm. The SoC therapy is currently evolving and could be subject to change. We sponsor this collaborative study in the United States and our collaboration partner Novartis International Pharmaceutical Ltd. sponsors the study outside of the United States.</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have also opened a second Phase III clinical trial in the United States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The SoC therapy is currently evolving and could be subject to change.</w:t>
      </w:r>
    </w:p>
    <w:p>
      <w:pPr>
        <w:spacing w:after="0" w:line="17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have launched an Expanded Access Program in the United States to allow eligible patients with COVID-19 associated cytokine storm to receive ruxolitinib.</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our collaboration partner Eli Lilly and Company announced that it has entered into an agreement with the National Institute of Allergy and Infectious Diseases (NIAID), part of the National Institutes of Health, to study baricitinib as an arm in NIAID's Adaptive COVID-19 Treatment Trial. The study is investigating the efficacy and safety of baricitinib as a potential treatment for hospitalized patients diagnosed with COVID-19 in the US, and Lilly is also planning an expansion to include Europe and Asia.</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addition, in June 2020, Lilly announced that the first patient had been enrolled in a Phase III randomized, double-blind, placebo–controlled study to evaluate the efficacy and safety of baricitinib in hospitalized adults with COVID-19.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in December 2014 for the treatment of adults with polycythemia vera who have had an inadequate response to or are intolerant of hydroxyurea and in May 2019 for the treatment of steroid-refractory acute graft-versus-host disease (GVHD)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Novartis, Novartis received exclusive development and commercialization rights to ruxolitinib outside of the United States for all hematologic and oncologic indications and sells ruxolitinib outside of the United States under the name JAKAVI.</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ET, acute lymphoblastic leukemia (ALL) and GVHD.</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 meets certain eligibility criteria and is prescribed JAKAFI has access to the product regardless of ability to pay and has access to ongoing support and educational resources during treatment.</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PEMAZYRE (pemigatinib)</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inhibitor,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U.S., Europe and Japan.</w:t>
      </w:r>
    </w:p>
    <w:p>
      <w:pPr>
        <w:spacing w:after="0" w:line="14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Warnings and precautions included in the PEMAZYRE prescribing information include potential for eye problems such as dry or inflamed eyes, inflamed cornea, increased tears and a disorder of the retina; high levels of phosphate in the blood; and, for women who are pregnant, a risk of harm to the unborn baby or loss of pregnancy. FIGHT-302, a Phase III trial of pemigatinib for the first-line treatment of patients with cholangiocarcinoma and FGFR2 fusions or rearrangements, is ongoing.</w:t>
      </w:r>
    </w:p>
    <w:p>
      <w:pPr>
        <w:spacing w:after="0" w:line="17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MONJUVI (tafasitamab)</w:t>
      </w:r>
    </w:p>
    <w:p>
      <w:pPr>
        <w:spacing w:after="0" w:line="229"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July 2020, we and our collaboration partner MorphoSys AG announced that the FDA approved MONJUVI (tafasitamab-cxix), a CD19-directed cytolytic antibody that is indicated in combination with lenalidomide for the treatment of adult patients with relapsed or refractory diffuse large B-cell lymphoma (DLBCL) not otherwise specified, including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DLBCL arising from low grade lymphoma, and who are not eligible for autologous stem cell transplant (ASCT).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MONJUVI was approved under accelerated approval based on overall response rate.</w:t>
      </w:r>
    </w:p>
    <w:p>
      <w:pPr>
        <w:spacing w:after="0" w:line="21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30-40% of patients not responding to initial therapy or relapsing thereafter. We estimate that there are ~10.000 patients diagnosed in the U.S. each year with relapsed or refractory diffuse large B-cell lymphoma (r/r DLBCL) who are not eligible for ASCT.</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approval of MONJUVI was based on data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January 2020, we entered into a collaboration and licensing agreement with MorphoSys to further develop and commercialize MONJUVI globally. We will co-commercialize MONJUVI with MorphoSys in the United States, and we have exclusive commercialization rights outside the United States.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Based on positive Phase II data, we are preparing a pivotal trial program of ruxolitinib in combination with parsaclisib (PI3Kδ) as both first-line therapy for MF patients and in MF patients with an inadequate response to ruxolitinib monotherapy. Additional Phase II trials combining ruxolitinib with investigational agents from our portfolio such as INCB57643 (BET) and INCB00928 (ALK2) in patients with MF are in preparation. Development of the combination of ruxolitinib and INCB53914 (PIM) has been discontinued. There are currently no plans for the further development of INCB53914.</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development efforts to evaluate JAK inhibition in GVHD, the REACH clinical program is evaluating ruxolitinib in patients with steroid-refractory GVHD and includes REACH2, a Novartis-sponsored Phase III trial in steroid-refractory acute GVHD, and REACH3, a Phase III trial in steroid-refractory chronic GVHD that is co-sponsored by Incyte and Novartis.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In April 2020, we and Novartis announced that data from REACH2 were published in The New England Journal of Medicine.</w:t>
      </w:r>
    </w:p>
    <w:p>
      <w:pPr>
        <w:spacing w:after="0" w:line="15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July 2020, we and Novartis announced that REACH3 met its primary endpoint of superior ORR at Month 6 with ruxolitinib treatment compared to best available therapy, as well as both key secondary endpoints, significantly improving patient-reported symptoms and failure-free survival. No new safety signals were observed, and the ruxolitinib safety profile in REACH3 was consistent with that seen in previously reported studies in steroid-refractory chronic GVHD.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 second JAK inhibitor in development is itacitinib, which is a selective JAK1 inhibitor. Itacitinib is being evaluated in GRAVITAS-309, a pivotal Phase III trial of itacitinib in patients with steroid-naïve chronic GVHD. The FDA has granted itacitinib orphan drug status for GVHD.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FGFR Inhibition</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including FIGHT-205, which is evaluating pemigatinib plus pembrolizumab versus pemigatinib alone versus standard of care for metastatic or unresectable urothelial carcinoma in cisplatin-ineligible patients whose tumors express FGFR3 mutation or rearrangement, and FIGHT-207 which is a solid tumor-agnostic trial evaluating pemigatinib in patients with driver-alterations of FGF/FGFR.</w:t>
      </w:r>
    </w:p>
    <w:p>
      <w:pPr>
        <w:spacing w:after="0" w:line="19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April 2020, we announced the FDA approval of pemigatinib as PEMAZYRE for the treatment of adults with previously treated, unresectable locally advanced or metastatic cholangiocarcinoma with an FGFR2 fusion or other rearrangement as detected by an FDA-approved test. Pemigatinib was previously granted Breakthrough Therapy designation by the FDA as a treatment for patients with previously treated, advanced/metastatic or unresectable FGFR2 translocated cholangiocarcinoma and has Breakthrough Therapy designation as a treatment for patients with myeloid/lymphoid neoplasms with FGFR1 rearrangement (8p11 MPN) who have relapsed or are refractory to initial chemotherapy. In January 2020, we announced that the Marketing Authorization Application (MAA) for pemigatinib as a treatment of adults with locally advanced or metastatic cholangiocarcinoma with an FGFR2 fusion or rearrangement that is relapsed or refractory after at least one line of systemic therapy had been validated by the European Medicines Agency (EMA).</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CD19 antagonism</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we and MorphoSys announced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U.S. with MorphoSys, and we have exclusive development and commercialization rights outside of the U.S.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Tafasitamab is being investigated as a therapeutic option in B cell malignancies in a number of ongoing combination trials. An open-label Phase II combination trial (L-MIND) is investigating the safety and efficacy of tafasitamab in combination with lenalidomide in patients with relapsed or refractory diffuse large B cell lymphoma (r/r DLBCL), and the ongoing Phase III B-MIND trial is assessing the combination of tafasitamab and bendamustine versus rituximab and bendamustine in r/r DLBCL. First-MIND is a Phase Ib safety trial of tafasitamab as a first-line therapy for patients with DLBCL.</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PI3K-delta pathway mediates oncogenic signaling in B cell malignancies. Parsaclisib is a PI3K-delta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squamous cell carcinoma of the anal canal (SCAC), microsatellite instability-high (MSI-H) endometrial cancer and Merkel cell carcinoma are ongoing.</w:t>
      </w:r>
    </w:p>
    <w:p>
      <w:pPr>
        <w:spacing w:after="0" w:line="178"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Preparations are ongoing to initiate both the Phase III POD1UM-304 trial of retifanlimab in combination with platinum-based chemotherapy as a first-line treatment for patients with non-small cell lung cancer (NSCLC) and the Phase</w:t>
      </w:r>
    </w:p>
    <w:p>
      <w:pPr>
        <w:ind w:left="40" w:right="59" w:firstLine="4"/>
        <w:spacing w:after="0" w:line="260" w:lineRule="auto"/>
        <w:tabs>
          <w:tab w:leader="none" w:pos="2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POD1UM-303 trial of retifanlimab in combination with platinum-based chemotherapy as a first-line treatment for patients with SCAC.</w:t>
      </w:r>
    </w:p>
    <w:p>
      <w:pPr>
        <w:spacing w:after="0" w:line="18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Retifanlimab has been granted Fast Track designation for the treatment of certain patients with advanced or metastatic MSI-H or DNA mismatch repair (dMMR) endometrial cancer and for the treatment of certain patients with locally advanced or metastatic SCAC. The FDA has granted orphan drug designation to retifanlimab as a treatment for patients with locally advanced or metastatic SCAC.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80" w:type="dxa"/>
            <w:vAlign w:val="bottom"/>
            <w:tcBorders>
              <w:top w:val="single" w:sz="8" w:color="auto"/>
            </w:tcBorders>
          </w:tcPr>
          <w:p>
            <w:pPr>
              <w:spacing w:after="0"/>
              <w:rPr>
                <w:sz w:val="21"/>
                <w:szCs w:val="21"/>
                <w:color w:val="auto"/>
              </w:rPr>
            </w:pPr>
          </w:p>
        </w:tc>
        <w:tc>
          <w:tcPr>
            <w:tcW w:w="6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r>
      <w:tr>
        <w:trPr>
          <w:trHeight w:val="142"/>
        </w:trPr>
        <w:tc>
          <w:tcPr>
            <w:tcW w:w="198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ruxolitinib</w:t>
            </w:r>
          </w:p>
        </w:tc>
        <w:tc>
          <w:tcPr>
            <w:tcW w:w="6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color w:val="auto"/>
              </w:rPr>
              <w:t>Steroid-refractory chronic GVHD: Phase III (REACH3)</w:t>
            </w:r>
            <w:r>
              <w:rPr>
                <w:rFonts w:ascii="Arial" w:cs="Arial" w:eastAsia="Arial" w:hAnsi="Arial"/>
                <w:sz w:val="16"/>
                <w:szCs w:val="16"/>
                <w:color w:val="auto"/>
                <w:vertAlign w:val="superscript"/>
              </w:rPr>
              <w:t>1</w:t>
            </w:r>
            <w:r>
              <w:rPr>
                <w:rFonts w:ascii="Arial" w:cs="Arial" w:eastAsia="Arial" w:hAnsi="Arial"/>
                <w:sz w:val="12"/>
                <w:szCs w:val="12"/>
                <w:color w:val="auto"/>
              </w:rPr>
              <w:t xml:space="preserve"> Primary endpoint met</w:t>
            </w:r>
          </w:p>
        </w:tc>
      </w:tr>
      <w:tr>
        <w:trPr>
          <w:trHeight w:val="216"/>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Refractory myelofibrosis: Phase III with parsaclisib (PI3Kδ) in preparation; Phase II with</w:t>
            </w:r>
          </w:p>
        </w:tc>
      </w:tr>
      <w:tr>
        <w:trPr>
          <w:trHeight w:val="202"/>
        </w:trPr>
        <w:tc>
          <w:tcPr>
            <w:tcW w:w="1980" w:type="dxa"/>
            <w:vAlign w:val="bottom"/>
            <w:shd w:val="clear" w:color="auto" w:fill="CCEEFF"/>
          </w:tcPr>
          <w:p>
            <w:pPr>
              <w:spacing w:after="0"/>
              <w:rPr>
                <w:sz w:val="17"/>
                <w:szCs w:val="17"/>
                <w:color w:val="auto"/>
              </w:rPr>
            </w:pPr>
          </w:p>
        </w:tc>
        <w:tc>
          <w:tcPr>
            <w:tcW w:w="6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INCB57643 (BET) in preparation</w:t>
            </w:r>
          </w:p>
        </w:tc>
      </w:tr>
      <w:tr>
        <w:trPr>
          <w:trHeight w:val="230"/>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Myelofibrosis: Phase II with INCB00928 (ALK2) in preparation</w:t>
            </w:r>
          </w:p>
        </w:tc>
      </w:tr>
      <w:tr>
        <w:trPr>
          <w:trHeight w:val="229"/>
        </w:trPr>
        <w:tc>
          <w:tcPr>
            <w:tcW w:w="1980" w:type="dxa"/>
            <w:vAlign w:val="bottom"/>
            <w:shd w:val="clear" w:color="auto" w:fill="CCEEFF"/>
          </w:tcPr>
          <w:p>
            <w:pPr>
              <w:spacing w:after="0"/>
              <w:rPr>
                <w:sz w:val="19"/>
                <w:szCs w:val="19"/>
                <w:color w:val="auto"/>
              </w:rPr>
            </w:pPr>
          </w:p>
        </w:tc>
        <w:tc>
          <w:tcPr>
            <w:tcW w:w="6940" w:type="dxa"/>
            <w:vAlign w:val="bottom"/>
            <w:shd w:val="clear" w:color="auto" w:fill="CCEEFF"/>
          </w:tcPr>
          <w:p>
            <w:pPr>
              <w:spacing w:after="0"/>
              <w:rPr>
                <w:sz w:val="19"/>
                <w:szCs w:val="19"/>
                <w:color w:val="auto"/>
              </w:rPr>
            </w:pPr>
          </w:p>
        </w:tc>
      </w:tr>
      <w:tr>
        <w:trPr>
          <w:trHeight w:val="149"/>
        </w:trPr>
        <w:tc>
          <w:tcPr>
            <w:tcW w:w="198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Once-a-day ruxolitinib</w:t>
            </w:r>
          </w:p>
        </w:tc>
        <w:tc>
          <w:tcPr>
            <w:tcW w:w="6940" w:type="dxa"/>
            <w:vAlign w:val="bottom"/>
          </w:tcPr>
          <w:p>
            <w:pPr>
              <w:ind w:left="100"/>
              <w:spacing w:after="0" w:line="149" w:lineRule="exact"/>
              <w:rPr>
                <w:sz w:val="20"/>
                <w:szCs w:val="20"/>
                <w:color w:val="auto"/>
              </w:rPr>
            </w:pPr>
            <w:r>
              <w:rPr>
                <w:rFonts w:ascii="Arial" w:cs="Arial" w:eastAsia="Arial" w:hAnsi="Arial"/>
                <w:sz w:val="17"/>
                <w:szCs w:val="17"/>
                <w:color w:val="auto"/>
              </w:rPr>
              <w:t>Myelofibrosis and polycythemia vera: clinical pharmacology studies</w:t>
            </w:r>
          </w:p>
        </w:tc>
      </w:tr>
      <w:tr>
        <w:trPr>
          <w:trHeight w:val="234"/>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(JAK1/JAK2)</w:t>
            </w:r>
          </w:p>
        </w:tc>
        <w:tc>
          <w:tcPr>
            <w:tcW w:w="6940" w:type="dxa"/>
            <w:vAlign w:val="bottom"/>
          </w:tcPr>
          <w:p>
            <w:pPr>
              <w:spacing w:after="0"/>
              <w:rPr>
                <w:sz w:val="20"/>
                <w:szCs w:val="20"/>
                <w:color w:val="auto"/>
              </w:rPr>
            </w:pPr>
          </w:p>
        </w:tc>
      </w:tr>
      <w:tr>
        <w:trPr>
          <w:trHeight w:val="144"/>
        </w:trPr>
        <w:tc>
          <w:tcPr>
            <w:tcW w:w="1980" w:type="dxa"/>
            <w:vAlign w:val="bottom"/>
          </w:tcPr>
          <w:p>
            <w:pPr>
              <w:spacing w:after="0"/>
              <w:rPr>
                <w:sz w:val="12"/>
                <w:szCs w:val="12"/>
                <w:color w:val="auto"/>
              </w:rPr>
            </w:pPr>
          </w:p>
        </w:tc>
        <w:tc>
          <w:tcPr>
            <w:tcW w:w="6940" w:type="dxa"/>
            <w:vAlign w:val="bottom"/>
          </w:tcPr>
          <w:p>
            <w:pPr>
              <w:spacing w:after="0"/>
              <w:rPr>
                <w:sz w:val="12"/>
                <w:szCs w:val="12"/>
                <w:color w:val="auto"/>
              </w:rPr>
            </w:pPr>
          </w:p>
        </w:tc>
      </w:tr>
      <w:tr>
        <w:trPr>
          <w:trHeight w:val="234"/>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itacitinib (JAK1)</w:t>
            </w: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Treatment-naïve chronic GVHD: Phase III (GRAVITAS-309)</w:t>
            </w:r>
          </w:p>
        </w:tc>
      </w:tr>
      <w:tr>
        <w:trPr>
          <w:trHeight w:val="279"/>
        </w:trPr>
        <w:tc>
          <w:tcPr>
            <w:tcW w:w="198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r>
      <w:tr>
        <w:trPr>
          <w:trHeight w:val="148"/>
        </w:trPr>
        <w:tc>
          <w:tcPr>
            <w:tcW w:w="198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pemigatinib</w:t>
            </w:r>
          </w:p>
        </w:tc>
        <w:tc>
          <w:tcPr>
            <w:tcW w:w="6940" w:type="dxa"/>
            <w:vAlign w:val="bottom"/>
          </w:tcPr>
          <w:p>
            <w:pPr>
              <w:ind w:left="100"/>
              <w:spacing w:after="0" w:line="149" w:lineRule="exact"/>
              <w:rPr>
                <w:sz w:val="20"/>
                <w:szCs w:val="20"/>
                <w:color w:val="auto"/>
              </w:rPr>
            </w:pPr>
            <w:r>
              <w:rPr>
                <w:rFonts w:ascii="Arial" w:cs="Arial" w:eastAsia="Arial" w:hAnsi="Arial"/>
                <w:sz w:val="17"/>
                <w:szCs w:val="17"/>
                <w:color w:val="auto"/>
              </w:rPr>
              <w:t>Cholangiocarcinoma: Phase II (FIGHT-202), Phase III (FIGHT-302); MAA under review</w:t>
            </w:r>
          </w:p>
        </w:tc>
      </w:tr>
      <w:tr>
        <w:trPr>
          <w:trHeight w:val="242"/>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(FGFR)</w:t>
            </w:r>
          </w:p>
        </w:tc>
        <w:tc>
          <w:tcPr>
            <w:tcW w:w="6940" w:type="dxa"/>
            <w:vAlign w:val="bottom"/>
          </w:tcPr>
          <w:p>
            <w:pPr>
              <w:ind w:left="100"/>
              <w:spacing w:after="0"/>
              <w:rPr>
                <w:sz w:val="20"/>
                <w:szCs w:val="20"/>
                <w:color w:val="auto"/>
              </w:rPr>
            </w:pPr>
            <w:r>
              <w:rPr>
                <w:rFonts w:ascii="Arial" w:cs="Arial" w:eastAsia="Arial" w:hAnsi="Arial"/>
                <w:sz w:val="18"/>
                <w:szCs w:val="18"/>
                <w:color w:val="auto"/>
              </w:rPr>
              <w:t>Bladder cancer: Phase II (FIGHT-201, FIGHT-205)</w:t>
            </w:r>
          </w:p>
        </w:tc>
      </w:tr>
      <w:tr>
        <w:trPr>
          <w:trHeight w:val="216"/>
        </w:trPr>
        <w:tc>
          <w:tcPr>
            <w:tcW w:w="19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8p11 MPN: Phase II (FIGHT-203)</w:t>
            </w:r>
          </w:p>
        </w:tc>
      </w:tr>
      <w:tr>
        <w:trPr>
          <w:trHeight w:val="230"/>
        </w:trPr>
        <w:tc>
          <w:tcPr>
            <w:tcW w:w="19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Tumor agnostic: Phase II (FIGHT-207)</w:t>
            </w:r>
          </w:p>
        </w:tc>
      </w:tr>
      <w:tr>
        <w:trPr>
          <w:trHeight w:val="216"/>
        </w:trPr>
        <w:tc>
          <w:tcPr>
            <w:tcW w:w="198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188"/>
        </w:trPr>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b w:val="1"/>
                <w:bCs w:val="1"/>
                <w:color w:val="auto"/>
              </w:rPr>
              <w:t>tafasitamab (CD19)</w:t>
            </w:r>
            <w:r>
              <w:rPr>
                <w:rFonts w:ascii="Arial" w:cs="Arial" w:eastAsia="Arial" w:hAnsi="Arial"/>
                <w:sz w:val="21"/>
                <w:szCs w:val="21"/>
                <w:b w:val="1"/>
                <w:bCs w:val="1"/>
                <w:color w:val="auto"/>
                <w:vertAlign w:val="superscript"/>
              </w:rPr>
              <w:t>2</w:t>
            </w:r>
          </w:p>
        </w:tc>
        <w:tc>
          <w:tcPr>
            <w:tcW w:w="69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r/r DLBCL: Phase II (L-MIND); Phase III (B-MIND); MAA under review</w:t>
            </w:r>
          </w:p>
        </w:tc>
      </w:tr>
      <w:tr>
        <w:trPr>
          <w:trHeight w:val="230"/>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1L DLBCL: Phase Ib (First-MIND)</w:t>
            </w:r>
          </w:p>
        </w:tc>
      </w:tr>
      <w:tr>
        <w:trPr>
          <w:trHeight w:val="175"/>
        </w:trPr>
        <w:tc>
          <w:tcPr>
            <w:tcW w:w="1980" w:type="dxa"/>
            <w:vAlign w:val="bottom"/>
            <w:shd w:val="clear" w:color="auto" w:fill="CCEEFF"/>
          </w:tcPr>
          <w:p>
            <w:pPr>
              <w:spacing w:after="0"/>
              <w:rPr>
                <w:sz w:val="15"/>
                <w:szCs w:val="15"/>
                <w:color w:val="auto"/>
              </w:rPr>
            </w:pPr>
          </w:p>
        </w:tc>
        <w:tc>
          <w:tcPr>
            <w:tcW w:w="6940" w:type="dxa"/>
            <w:vAlign w:val="bottom"/>
            <w:shd w:val="clear" w:color="auto" w:fill="CCEEFF"/>
          </w:tcPr>
          <w:p>
            <w:pPr>
              <w:spacing w:after="0"/>
              <w:rPr>
                <w:sz w:val="15"/>
                <w:szCs w:val="15"/>
                <w:color w:val="auto"/>
              </w:rPr>
            </w:pPr>
          </w:p>
        </w:tc>
      </w:tr>
      <w:tr>
        <w:trPr>
          <w:trHeight w:val="188"/>
        </w:trPr>
        <w:tc>
          <w:tcPr>
            <w:tcW w:w="198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parsaclisib (PI3Kδ)</w:t>
            </w:r>
          </w:p>
        </w:tc>
        <w:tc>
          <w:tcPr>
            <w:tcW w:w="6940" w:type="dxa"/>
            <w:vAlign w:val="bottom"/>
          </w:tcPr>
          <w:p>
            <w:pPr>
              <w:ind w:left="100"/>
              <w:spacing w:after="0" w:line="189" w:lineRule="exact"/>
              <w:rPr>
                <w:sz w:val="20"/>
                <w:szCs w:val="20"/>
                <w:color w:val="auto"/>
              </w:rPr>
            </w:pPr>
            <w:r>
              <w:rPr>
                <w:rFonts w:ascii="Arial" w:cs="Arial" w:eastAsia="Arial" w:hAnsi="Arial"/>
                <w:sz w:val="18"/>
                <w:szCs w:val="18"/>
                <w:color w:val="auto"/>
              </w:rPr>
              <w:t>Follicular lymphoma: Phase II (CITADEL-203)</w:t>
            </w:r>
          </w:p>
        </w:tc>
      </w:tr>
      <w:tr>
        <w:trPr>
          <w:trHeight w:val="203"/>
        </w:trPr>
        <w:tc>
          <w:tcPr>
            <w:tcW w:w="1980" w:type="dxa"/>
            <w:vAlign w:val="bottom"/>
          </w:tcPr>
          <w:p>
            <w:pPr>
              <w:spacing w:after="0"/>
              <w:rPr>
                <w:sz w:val="17"/>
                <w:szCs w:val="17"/>
                <w:color w:val="auto"/>
              </w:rPr>
            </w:pPr>
          </w:p>
        </w:tc>
        <w:tc>
          <w:tcPr>
            <w:tcW w:w="6940" w:type="dxa"/>
            <w:vAlign w:val="bottom"/>
          </w:tcPr>
          <w:p>
            <w:pPr>
              <w:ind w:left="100"/>
              <w:spacing w:after="0" w:line="202" w:lineRule="exact"/>
              <w:rPr>
                <w:sz w:val="20"/>
                <w:szCs w:val="20"/>
                <w:color w:val="auto"/>
              </w:rPr>
            </w:pPr>
            <w:r>
              <w:rPr>
                <w:rFonts w:ascii="Arial" w:cs="Arial" w:eastAsia="Arial" w:hAnsi="Arial"/>
                <w:sz w:val="18"/>
                <w:szCs w:val="18"/>
                <w:color w:val="auto"/>
              </w:rPr>
              <w:t>Marginal zone lymphoma: Phase II (CITADEL-204)</w:t>
            </w:r>
          </w:p>
        </w:tc>
      </w:tr>
      <w:tr>
        <w:trPr>
          <w:trHeight w:val="230"/>
        </w:trPr>
        <w:tc>
          <w:tcPr>
            <w:tcW w:w="19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Mantle cell lymphoma: Phase II (CITADEL-205)</w:t>
            </w:r>
          </w:p>
        </w:tc>
      </w:tr>
      <w:tr>
        <w:trPr>
          <w:trHeight w:val="229"/>
        </w:trPr>
        <w:tc>
          <w:tcPr>
            <w:tcW w:w="19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188"/>
        </w:trPr>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b w:val="1"/>
                <w:bCs w:val="1"/>
                <w:color w:val="auto"/>
              </w:rPr>
              <w:t>retifanlimab (PD-1)</w:t>
            </w:r>
            <w:r>
              <w:rPr>
                <w:rFonts w:ascii="Arial" w:cs="Arial" w:eastAsia="Arial" w:hAnsi="Arial"/>
                <w:sz w:val="21"/>
                <w:szCs w:val="21"/>
                <w:b w:val="1"/>
                <w:bCs w:val="1"/>
                <w:color w:val="auto"/>
                <w:vertAlign w:val="superscript"/>
              </w:rPr>
              <w:t>3</w:t>
            </w:r>
          </w:p>
        </w:tc>
        <w:tc>
          <w:tcPr>
            <w:tcW w:w="69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MSI-high endometrial cancer: Phase II (POD1UM-101)</w:t>
            </w:r>
          </w:p>
        </w:tc>
      </w:tr>
      <w:tr>
        <w:trPr>
          <w:trHeight w:val="203"/>
        </w:trPr>
        <w:tc>
          <w:tcPr>
            <w:tcW w:w="1980" w:type="dxa"/>
            <w:vAlign w:val="bottom"/>
            <w:shd w:val="clear" w:color="auto" w:fill="CCEEFF"/>
          </w:tcPr>
          <w:p>
            <w:pPr>
              <w:spacing w:after="0"/>
              <w:rPr>
                <w:sz w:val="17"/>
                <w:szCs w:val="17"/>
                <w:color w:val="auto"/>
              </w:rPr>
            </w:pPr>
          </w:p>
        </w:tc>
        <w:tc>
          <w:tcPr>
            <w:tcW w:w="6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Merkel cell carcinoma: Phase II (POD1UM-201)</w:t>
            </w:r>
          </w:p>
        </w:tc>
      </w:tr>
      <w:tr>
        <w:trPr>
          <w:trHeight w:val="176"/>
        </w:trPr>
        <w:tc>
          <w:tcPr>
            <w:tcW w:w="1980" w:type="dxa"/>
            <w:vAlign w:val="bottom"/>
            <w:shd w:val="clear" w:color="auto" w:fill="CCEEFF"/>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SCAC: Phase II (POD1UM-202); Phase III (PODIUM-303) in preparation</w:t>
            </w:r>
          </w:p>
        </w:tc>
      </w:tr>
      <w:tr>
        <w:trPr>
          <w:trHeight w:val="230"/>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NSCLC: Phase III (POD1UM-304) in preparation</w:t>
            </w:r>
          </w:p>
        </w:tc>
      </w:tr>
      <w:tr>
        <w:trPr>
          <w:trHeight w:val="188"/>
        </w:trPr>
        <w:tc>
          <w:tcPr>
            <w:tcW w:w="1980" w:type="dxa"/>
            <w:vAlign w:val="bottom"/>
            <w:tcBorders>
              <w:bottom w:val="single" w:sz="8" w:color="auto"/>
            </w:tcBorders>
            <w:shd w:val="clear" w:color="auto" w:fill="CCEEFF"/>
          </w:tcPr>
          <w:p>
            <w:pPr>
              <w:spacing w:after="0"/>
              <w:rPr>
                <w:sz w:val="16"/>
                <w:szCs w:val="16"/>
                <w:color w:val="auto"/>
              </w:rPr>
            </w:pPr>
          </w:p>
        </w:tc>
        <w:tc>
          <w:tcPr>
            <w:tcW w:w="6940" w:type="dxa"/>
            <w:vAlign w:val="bottom"/>
            <w:tcBorders>
              <w:bottom w:val="single" w:sz="8" w:color="auto"/>
            </w:tcBorders>
            <w:shd w:val="clear" w:color="auto" w:fill="CCEEFF"/>
          </w:tcPr>
          <w:p>
            <w:pPr>
              <w:spacing w:after="0"/>
              <w:rPr>
                <w:sz w:val="16"/>
                <w:szCs w:val="16"/>
                <w:color w:val="auto"/>
              </w:rPr>
            </w:pPr>
          </w:p>
        </w:tc>
      </w:tr>
    </w:tbl>
    <w:p>
      <w:pPr>
        <w:spacing w:after="0" w:line="81" w:lineRule="exact"/>
        <w:rPr>
          <w:sz w:val="20"/>
          <w:szCs w:val="20"/>
          <w:color w:val="auto"/>
        </w:rPr>
      </w:pPr>
    </w:p>
    <w:p>
      <w:pPr>
        <w:ind w:left="200" w:hanging="156"/>
        <w:spacing w:after="0"/>
        <w:tabs>
          <w:tab w:leader="none" w:pos="20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Clinical development of ruxolitinib in GVHD conducted in collaboration with Novartis.</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color w:val="auto"/>
        </w:rPr>
        <w:t>Retifanlimab licensed from MacroGenics.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Programs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also have a number of other earlier-stage clinical programs, as detailed in the table below. We intend to describe these programs more fully if we obtain clinical proof-of-concept and establish that a program warrants further development in a specific indication or group of indications. Based on emerging data from the LSD1 inhibitor program, development of INCB59872 has been discontinued.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6"/>
                <w:szCs w:val="16"/>
                <w:color w:val="auto"/>
              </w:rPr>
              <w:t>INCB01158 (ARG)</w:t>
            </w:r>
            <w:r>
              <w:rPr>
                <w:rFonts w:ascii="Arial" w:cs="Arial" w:eastAsia="Arial" w:hAnsi="Arial"/>
                <w:sz w:val="22"/>
                <w:szCs w:val="22"/>
                <w:color w:val="auto"/>
                <w:vertAlign w:val="superscript"/>
              </w:rPr>
              <w:t>1</w:t>
            </w:r>
            <w:r>
              <w:rPr>
                <w:rFonts w:ascii="Arial" w:cs="Arial" w:eastAsia="Arial" w:hAnsi="Arial"/>
                <w:sz w:val="16"/>
                <w:szCs w:val="16"/>
                <w:color w:val="auto"/>
              </w:rPr>
              <w:t>, INCB81776 (AXL/MER), epacadostat (IDO1),</w:t>
            </w:r>
          </w:p>
        </w:tc>
      </w:tr>
      <w:tr>
        <w:trPr>
          <w:trHeight w:val="230"/>
        </w:trPr>
        <w:tc>
          <w:tcPr>
            <w:tcW w:w="2240" w:type="dxa"/>
            <w:vAlign w:val="bottom"/>
            <w:shd w:val="clear" w:color="auto" w:fill="CCEEFF"/>
          </w:tcPr>
          <w:p>
            <w:pPr>
              <w:spacing w:after="0"/>
              <w:rPr>
                <w:sz w:val="20"/>
                <w:szCs w:val="20"/>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INCB86550 (PD-L1)</w:t>
            </w:r>
          </w:p>
        </w:tc>
      </w:tr>
      <w:tr>
        <w:trPr>
          <w:trHeight w:val="216"/>
        </w:trPr>
        <w:tc>
          <w:tcPr>
            <w:tcW w:w="224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2</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72"/>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6"/>
                <w:szCs w:val="26"/>
                <w:color w:val="auto"/>
                <w:vertAlign w:val="superscript"/>
              </w:rPr>
              <w:t>3</w:t>
            </w:r>
          </w:p>
        </w:tc>
      </w:tr>
      <w:tr>
        <w:trPr>
          <w:trHeight w:val="20"/>
        </w:trPr>
        <w:tc>
          <w:tcPr>
            <w:tcW w:w="224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200" w:hanging="156"/>
        <w:spacing w:after="0"/>
        <w:tabs>
          <w:tab w:leader="none" w:pos="20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INCB01158 development in collaboration with Calithera Biosciences,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Discovery collaboration with Agenus Inc.</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Clinical Programs outside Oncology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Ruxolitinib cream</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Atopic dermatitis is a skin disorder that causes the skin to become red, scaly, and itchy. Onset</w:t>
      </w:r>
      <w:r>
        <w:rPr>
          <w:rFonts w:ascii="Arial" w:cs="Arial" w:eastAsia="Arial" w:hAnsi="Arial"/>
          <w:sz w:val="16"/>
          <w:szCs w:val="16"/>
          <w:i w:val="1"/>
          <w:iCs w:val="1"/>
          <w:color w:val="auto"/>
        </w:rPr>
        <w:t xml:space="preserve"> </w:t>
      </w:r>
      <w:r>
        <w:rPr>
          <w:rFonts w:ascii="Arial" w:cs="Arial" w:eastAsia="Arial" w:hAnsi="Arial"/>
          <w:sz w:val="16"/>
          <w:szCs w:val="16"/>
          <w:color w:val="auto"/>
        </w:rPr>
        <w:t>can occur at any age, but is more common in infants and children. In the United States, we estimate that there are approximately 10 million diagnosed and treated adolescent and adult patients with mild to moderate atopic dermatitis.</w:t>
      </w:r>
    </w:p>
    <w:p>
      <w:pPr>
        <w:spacing w:after="0" w:line="14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April 2020, safety and efficacy data from the two Phase III trials in the TRuE-AD program evaluating ruxolitinib cream in mild-to-moderate atopic dermatitis were presented at the Revolutionizing Atopic Dermatitis (RAD) virtual symposium; both trials met their primary endpoints. The 44-week long-term safety and efficacy portion of both the TRuE-AD1 and TRuE-AD2 trials are ongoing.</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Vitiligo. </w:t>
      </w:r>
      <w:r>
        <w:rPr>
          <w:rFonts w:ascii="Arial" w:cs="Arial" w:eastAsia="Arial" w:hAnsi="Arial"/>
          <w:sz w:val="17"/>
          <w:szCs w:val="17"/>
          <w:color w:val="auto"/>
        </w:rPr>
        <w:t>Vitiligo is a long-term skin condition characterized by patches of the skin losing their pigment. It is</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w:t>
      </w:r>
    </w:p>
    <w:p>
      <w:pPr>
        <w:spacing w:after="0" w:line="23"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A Phase II trial of INCB54707, a JAK1 selective inhibitor, is ongoing in patients with hidradenitis suppurativa, an inflammatory skin disease. A Phase II trial of parsaclisib in patients with autoimmune hemolytic anemia (AIHA), a rare red blood cell disorder, is also ongoing. The FDA has granted orphan drug designation to parsaclisib as a treatment for patients with AIHA.</w:t>
      </w:r>
    </w:p>
    <w:p>
      <w:pPr>
        <w:spacing w:after="0" w:line="193"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56578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5139"/>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77" w:lineRule="exact"/>
        <w:rPr>
          <w:sz w:val="20"/>
          <w:szCs w:val="20"/>
          <w:color w:val="auto"/>
        </w:rPr>
      </w:pPr>
    </w:p>
    <w:p>
      <w:pPr>
        <w:ind w:left="140" w:right="140"/>
        <w:spacing w:after="0" w:line="219" w:lineRule="auto"/>
        <w:rPr>
          <w:sz w:val="20"/>
          <w:szCs w:val="20"/>
          <w:color w:val="auto"/>
        </w:rPr>
      </w:pPr>
      <w:r>
        <w:rPr>
          <w:rFonts w:ascii="Arial" w:cs="Arial" w:eastAsia="Arial" w:hAnsi="Arial"/>
          <w:sz w:val="16"/>
          <w:szCs w:val="16"/>
          <w:b w:val="1"/>
          <w:bCs w:val="1"/>
          <w:color w:val="auto"/>
        </w:rPr>
        <w:t>ruxolitinib cream</w:t>
      </w:r>
      <w:r>
        <w:rPr>
          <w:rFonts w:ascii="Arial" w:cs="Arial" w:eastAsia="Arial" w:hAnsi="Arial"/>
          <w:sz w:val="23"/>
          <w:szCs w:val="23"/>
          <w:b w:val="1"/>
          <w:bCs w:val="1"/>
          <w:color w:val="auto"/>
          <w:vertAlign w:val="superscript"/>
        </w:rPr>
        <w:t>1</w:t>
      </w:r>
      <w:r>
        <w:rPr>
          <w:rFonts w:ascii="Arial" w:cs="Arial" w:eastAsia="Arial" w:hAnsi="Arial"/>
          <w:sz w:val="16"/>
          <w:szCs w:val="16"/>
          <w:b w:val="1"/>
          <w:bCs w:val="1"/>
          <w:color w:val="auto"/>
        </w:rPr>
        <w:t xml:space="preserve"> (JAK1/JAK2)</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INCB54707 (JAK1)</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parsaclisib (PI3Kδ)</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INCB00928 (ALK2)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Atopic dermatitis: Phase III (TRuE-AD1, TRuE-AD2; primary endpoints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-107315</wp:posOffset>
            </wp:positionV>
            <wp:extent cx="565785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3771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Vitiligo: Phase III (TRuE-V1, TRuE-V2)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Hidradenitis suppurativa: Phase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Autoimmune hemolytic anemia: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-113030</wp:posOffset>
            </wp:positionV>
            <wp:extent cx="565785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400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Fibrodysplasia ossificans progressiva: Phase II in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126365</wp:posOffset>
            </wp:positionV>
            <wp:extent cx="5657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580"/>
            <w:col w:w="6759"/>
          </w:cols>
          <w:pgMar w:left="1440" w:top="517" w:right="1440" w:bottom="1440" w:gutter="0" w:footer="0" w:header="0"/>
          <w:type w:val="continuous"/>
        </w:sectPr>
      </w:pPr>
    </w:p>
    <w:p>
      <w:pPr>
        <w:spacing w:after="0" w:line="214" w:lineRule="exact"/>
        <w:rPr>
          <w:sz w:val="20"/>
          <w:szCs w:val="20"/>
          <w:color w:val="auto"/>
        </w:rPr>
      </w:pPr>
    </w:p>
    <w:p>
      <w:pPr>
        <w:ind w:left="40" w:right="59" w:firstLine="4"/>
        <w:spacing w:after="0" w:line="207" w:lineRule="auto"/>
        <w:tabs>
          <w:tab w:leader="none" w:pos="227"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9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Atopic dermatitis (AtD) is a condition that makes the skin red and itchy and which is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in children but can occur at any age. Atopic dermatitis is long lasting and tends to flare periodically and then subside. Lilly has conducted a Phase IIa trial and a Phase III program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w:t>
      </w:r>
    </w:p>
    <w:p>
      <w:pPr>
        <w:sectPr>
          <w:pgSz w:w="11900" w:h="16838" w:orient="portrait"/>
          <w:cols w:equalWidth="0" w:num="1">
            <w:col w:w="9019"/>
          </w:cols>
          <w:pgMar w:left="1440" w:top="517" w:right="1440" w:bottom="1440"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 to severe AtD and, in August 2019, we and Lilly announced that baricitinib met the primary endpoint in BREEZE-AD7, a Phase III study evaluating the efficacy and safety of baricitinib in combination with standard-of-care topical corticosteroids in patients with moderate to severe AtD. In January 2020, we and Lilly announced that baricitinib met the primary endpoint in both BREEZE-AD4 and BREEZE-AD5, the results of which complete the placebo-controlled data program intended to support global registrations. In January 2020, Lilly announced that baricitinib had been submitted for regulatory review in Europe as a treatment for patients with moderate to severe AtD.</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w:t>
      </w:r>
      <w:r>
        <w:rPr>
          <w:rFonts w:ascii="Arial" w:cs="Arial" w:eastAsia="Arial" w:hAnsi="Arial"/>
          <w:sz w:val="17"/>
          <w:szCs w:val="17"/>
          <w:i w:val="1"/>
          <w:iCs w:val="1"/>
          <w:color w:val="auto"/>
        </w:rPr>
        <w:t xml:space="preserve"> </w:t>
      </w:r>
      <w:r>
        <w:rPr>
          <w:rFonts w:ascii="Arial" w:cs="Arial" w:eastAsia="Arial" w:hAnsi="Arial"/>
          <w:sz w:val="17"/>
          <w:szCs w:val="17"/>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In March 2020, Lilly announced that baricitinib received Breakthrough Therapy designation for the treatment of alopecia areata, based on the positive Phase II results of Lilly’s adaptive Phase II/III study BRAVE-AA1. The Phase III portion of BRAVE-AA1 is ongoing.</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w:t>
      </w:r>
    </w:p>
    <w:p>
      <w:pPr>
        <w:spacing w:after="0" w:line="19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42"/>
        </w:trPr>
        <w:tc>
          <w:tcPr>
            <w:tcW w:w="17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baricitinib</w:t>
            </w:r>
          </w:p>
        </w:tc>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Atopic dermatitis: Phase III (BREEZE-AD)</w:t>
            </w:r>
          </w:p>
        </w:tc>
      </w:tr>
      <w:tr>
        <w:trPr>
          <w:trHeight w:val="242"/>
        </w:trPr>
        <w:tc>
          <w:tcPr>
            <w:tcW w:w="1720" w:type="dxa"/>
            <w:vAlign w:val="bottom"/>
            <w:shd w:val="clear" w:color="auto" w:fill="CCEEFF"/>
          </w:tcPr>
          <w:p>
            <w:pPr>
              <w:ind w:left="100"/>
              <w:spacing w:after="0" w:line="242" w:lineRule="exact"/>
              <w:rPr>
                <w:sz w:val="20"/>
                <w:szCs w:val="20"/>
                <w:color w:val="auto"/>
              </w:rPr>
            </w:pPr>
            <w:r>
              <w:rPr>
                <w:rFonts w:ascii="Arial" w:cs="Arial" w:eastAsia="Arial" w:hAnsi="Arial"/>
                <w:sz w:val="18"/>
                <w:szCs w:val="18"/>
                <w:b w:val="1"/>
                <w:bCs w:val="1"/>
                <w:color w:val="auto"/>
              </w:rPr>
              <w:t>(JAK1/JAK2)</w:t>
            </w:r>
            <w:r>
              <w:rPr>
                <w:rFonts w:ascii="Arial" w:cs="Arial" w:eastAsia="Arial" w:hAnsi="Arial"/>
                <w:sz w:val="26"/>
                <w:szCs w:val="26"/>
                <w:b w:val="1"/>
                <w:bCs w:val="1"/>
                <w:color w:val="auto"/>
                <w:vertAlign w:val="superscript"/>
              </w:rPr>
              <w:t>1</w:t>
            </w: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Systemic lupus erythematosus: Phase III</w:t>
            </w:r>
          </w:p>
        </w:tc>
      </w:tr>
      <w:tr>
        <w:trPr>
          <w:trHeight w:val="230"/>
        </w:trPr>
        <w:tc>
          <w:tcPr>
            <w:tcW w:w="1720" w:type="dxa"/>
            <w:vAlign w:val="bottom"/>
            <w:shd w:val="clear" w:color="auto" w:fill="CCEEFF"/>
          </w:tcPr>
          <w:p>
            <w:pPr>
              <w:spacing w:after="0"/>
              <w:rPr>
                <w:sz w:val="20"/>
                <w:szCs w:val="20"/>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Severe alopecia areata: Phase III (BRAVE-AA1)</w:t>
            </w:r>
          </w:p>
        </w:tc>
      </w:tr>
      <w:tr>
        <w:trPr>
          <w:trHeight w:val="229"/>
        </w:trPr>
        <w:tc>
          <w:tcPr>
            <w:tcW w:w="17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19"/>
                <w:szCs w:val="19"/>
                <w:color w:val="auto"/>
              </w:rPr>
            </w:pPr>
          </w:p>
        </w:tc>
      </w:tr>
      <w:tr>
        <w:trPr>
          <w:trHeight w:val="355"/>
        </w:trPr>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6"/>
                <w:szCs w:val="26"/>
                <w:b w:val="1"/>
                <w:bCs w:val="1"/>
                <w:color w:val="auto"/>
                <w:vertAlign w:val="superscript"/>
              </w:rPr>
              <w:t>2</w:t>
            </w:r>
          </w:p>
        </w:tc>
        <w:tc>
          <w:tcPr>
            <w:tcW w:w="7200" w:type="dxa"/>
            <w:vAlign w:val="bottom"/>
          </w:tcPr>
          <w:p>
            <w:pPr>
              <w:ind w:left="120"/>
              <w:spacing w:after="0"/>
              <w:rPr>
                <w:sz w:val="20"/>
                <w:szCs w:val="20"/>
                <w:color w:val="auto"/>
              </w:rPr>
            </w:pPr>
            <w:r>
              <w:rPr>
                <w:rFonts w:ascii="Arial" w:cs="Arial" w:eastAsia="Arial" w:hAnsi="Arial"/>
                <w:sz w:val="18"/>
                <w:szCs w:val="18"/>
                <w:color w:val="auto"/>
              </w:rPr>
              <w:t>NSCLC (with MET exon 14 skipping mutations): FDA and MHLW approved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1" w:lineRule="exact"/>
        <w:rPr>
          <w:sz w:val="20"/>
          <w:szCs w:val="20"/>
          <w:color w:val="auto"/>
        </w:rPr>
      </w:pPr>
    </w:p>
    <w:p>
      <w:pPr>
        <w:ind w:left="200" w:hanging="156"/>
        <w:spacing w:after="0"/>
        <w:tabs>
          <w:tab w:leader="none" w:pos="20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09"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9"/>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this agreement, we received an upfront payment and immediate milestone payment totaling $210.0 million and were initially eligible to receive additional payments of up to approximately $1.2 billion if defined development, regulatory and sales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May 2020, we recognized a $25.0 million development milestone and a $45.0 million regulatory milestone for the FDA approval of capmatinib as TABRECTA. In June 2020, we recognized a $20.0 million regulatory milestone for the MHLW approval of TABRECTA. 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$120.0 million for the achievement of sales milestones through June 30, 2020.</w:t>
      </w:r>
    </w:p>
    <w:p>
      <w:pPr>
        <w:spacing w:after="0" w:line="17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sales milestones.</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 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May 2020, we amended our agreement with Lilly to enable Lilly to commercialize baricitinib for the treatment of COVID-19.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Exclusive of the upfront payment of $90.0 million received in 2009, we have recognized and received, in the aggregate, $149.0 million for the achievement of development milestones and $235.0 million for the achievement of regulatory milestones through June 30, 2020.</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was initially eligible to receive up to an additional $510.0 million in future contingent development, regulatory and commercialization milestones across all programs in the collaboration. As of June 30, 2020, we have paid Agenus an aggregate of $10.0 million in development milestones. The agreement may be terminated by us for convenience upon 12 months’ notice and may also be terminated under certain other circumstances, including material breach.</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approval milestone payments, together with additional milestone payments for non-oncology indications, if approved, in our territory.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As of June 30, 2020, we have paid MacroGenics an upfront payment of $150.0 million and milestones totaling $15.0 million. MacroGenics will be eligible to receive up to an additional $405.0 million in future contingent development and regulatory milestones, and up to $330.0 million in commercial milestones as well as tiered royalties ranging from 15% to 24% of global net sales.</w:t>
      </w:r>
    </w:p>
    <w:p>
      <w:pPr>
        <w:spacing w:after="0" w:line="18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were initially eligible to receive $20.0 million in connection with the first related IND filing in China, up to an additional $129.0 million in potential development and regulatory milestones, and up to $202.5 million in potential sales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 In April 2020, we recognized a $5.0 million milestone for the FDA approval of pemigatinib as PEMAZYRE.</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sales milestones, as well as tiered royalties from the low to mid-twenties. We also retain an option to assist in the promotion of INCMGA0012 in Zai Lab’s licensed territories.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The agreement became effective in March 2020 after clearance by the German and Austrian antitrust authorities and expiration of the waiting period under the Hart-Scott Rodino Antitrust Improvements Act of 1976.</w:t>
      </w:r>
    </w:p>
    <w:p>
      <w:pPr>
        <w:spacing w:after="0" w:line="17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March 2020, we paid MorphoSys an upfront non-refundable payment of $750.0 million.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recognize revenue only when we have satisfied a performance obligation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Our product revenues consist of U.S. sales of JAKAFI and PEMAZYRE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purchase directly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Royalty revenues on commercial sales for JAKAVI and TABRECTA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At the inception of a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 service’s estimated fair value and recognized based upon the completion of the promised good or service to our collaborator.</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constraints on the allocated consideration are assessed each reporting period. Revenues are recognized when achievement is probable, which may not be until achieved.</w:t>
      </w:r>
    </w:p>
    <w:p>
      <w:pPr>
        <w:spacing w:after="0" w:line="178"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8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6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Upon adoption, we assessed each financial asset measured at amortized cost and each available-for-sale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4 to the condensed consolidated financial statements to comply with the standard.</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9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6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We adopted this guidance for the period beginning January 1, 2020 retrospectively to the date of our initial application of ASC 606, and noted that in assessment of our collaborative agreements, there was no material financial statement impact. Our collaborative arrangements and their associated accounting conclusions are described in detail within Note 9 to the condensed consolidated financial statements.</w:t>
      </w:r>
    </w:p>
    <w:p>
      <w:pPr>
        <w:spacing w:after="0" w:line="16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This guidance applies to all entities and aims to reduce the complexity of tax accounting standards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on the condensed consolidated financial statements.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recorded net income of $290.3 million and basic net income per share of $1.33 and diluted net income per share of $1.32 for the three months ended June 30, 2020, as compared to net income of $105.3 million and basic net income per share of $0.49 and diluted net income per share of $0.48 in the corresponding period in 2019. We recorded net loss of $430.3 million and basic and diluted net loss per share of $1.98 for the six months ended June 30, 2020, as compared to net income of $207.6 million and basic net income per share of $0.97 and diluted net income per share of $0.96 in the corresponding period in 2019.</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r>
      <w:tr>
        <w:trPr>
          <w:trHeight w:val="129"/>
        </w:trPr>
        <w:tc>
          <w:tcPr>
            <w:tcW w:w="3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left="47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center"/>
              <w:ind w:left="41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ICLUSIG revenues,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342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342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r>
      <w:tr>
        <w:trPr>
          <w:trHeight w:val="210"/>
        </w:trPr>
        <w:tc>
          <w:tcPr>
            <w:tcW w:w="342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6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18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increase in JAKAFI product revenues for the three months ended June 30, 2020 as compared to the corresponding period in 2019 was comprised of a volume increase of $52.9 million and a price increase of $11.3 million. The increase in JAKAFI product revenues for the six months ended June 30, 2020 as compared to the corresponding period in 2019 was comprised of a volume increase of $135.1 million and a price increase of $13.0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Discounts and</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Co-Pay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Assistance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Rebates and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Chargebacks</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(21,898)</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(127,476)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(156,887)</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milestone and contract revenues for the six months ended June 30, 2020, were derived from a $5.0 million milestone under the Innovent research collaboration and licensing agreement and $90.0 million in milestones under the Novartis collaboration and license agreement. Our milestone and contract revenues for the six months ended June 30, 2019, were derived from a $40.0 million upfront payment and a $20.0 million milestone under the Innovent research collaboration and licensing agreement.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2"/>
                <w:szCs w:val="12"/>
                <w:color w:val="auto"/>
              </w:rPr>
            </w:pPr>
          </w:p>
        </w:tc>
      </w:tr>
      <w:tr>
        <w:trPr>
          <w:trHeight w:val="128"/>
        </w:trPr>
        <w:tc>
          <w:tcPr>
            <w:tcW w:w="3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tcPr>
          <w:p>
            <w:pPr>
              <w:jc w:val="center"/>
              <w:ind w:left="43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0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Royalty expense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r>
      <w:tr>
        <w:trPr>
          <w:trHeight w:val="209"/>
        </w:trPr>
        <w:tc>
          <w:tcPr>
            <w:tcW w:w="370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320" w:type="dxa"/>
            <w:vAlign w:val="bottom"/>
          </w:tcPr>
          <w:p>
            <w:pPr>
              <w:spacing w:after="0"/>
              <w:rPr>
                <w:sz w:val="18"/>
                <w:szCs w:val="18"/>
                <w:color w:val="auto"/>
              </w:rPr>
            </w:pPr>
          </w:p>
        </w:tc>
        <w:tc>
          <w:tcPr>
            <w:tcW w:w="680" w:type="dxa"/>
            <w:vAlign w:val="bottom"/>
            <w:tcBorders>
              <w:bottom w:val="single" w:sz="8" w:color="auto"/>
            </w:tcBorders>
          </w:tcPr>
          <w:p>
            <w:pPr>
              <w:jc w:val="right"/>
              <w:ind w:right="52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33.4</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Cost of product revenues includes all JAKAFI, ICLUSIG and PEMAZYRE related product costs, employee personnel costs, including stock compensation, for those employees dedicated to the production of our commercial</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products, low single-digit royalties to Novartis on all sales of JAKAFI in the United States and amortization of our licensed intellectual property rights for ICLUSIG using the straight-line method over the estimated useful life of 12.5 years. The increase in cost of product revenues for the three and six months ended June 30, 2020 as compared to the corresponding periods in 2019 was due primarily to increased royalties to Novartis on all JAKAFI sales in the United States.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71"/>
        </w:trPr>
        <w:tc>
          <w:tcPr>
            <w:tcW w:w="3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left="29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4"/>
          </w:tcPr>
          <w:p>
            <w:pPr>
              <w:jc w:val="center"/>
              <w:ind w:right="53"/>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CCEEFF"/>
            </w:tcBorders>
          </w:tcPr>
          <w:p>
            <w:pPr>
              <w:spacing w:after="0"/>
              <w:rPr>
                <w:sz w:val="18"/>
                <w:szCs w:val="18"/>
                <w:color w:val="auto"/>
              </w:rPr>
            </w:pP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r>
              <w:rPr>
                <w:rFonts w:ascii="Arial" w:cs="Arial" w:eastAsia="Arial" w:hAnsi="Arial"/>
                <w:sz w:val="18"/>
                <w:szCs w:val="18"/>
                <w:u w:val="single" w:color="auto"/>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r>
              <w:rPr>
                <w:rFonts w:ascii="Arial" w:cs="Arial" w:eastAsia="Arial" w:hAnsi="Arial"/>
                <w:sz w:val="18"/>
                <w:szCs w:val="18"/>
                <w:u w:val="single" w:color="auto"/>
                <w:color w:val="auto"/>
              </w:rPr>
              <w:t>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1,371.9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r>
              <w:rPr>
                <w:rFonts w:ascii="Arial" w:cs="Arial" w:eastAsia="Arial" w:hAnsi="Arial"/>
                <w:sz w:val="18"/>
                <w:szCs w:val="18"/>
                <w:u w:val="single" w:color="auto"/>
                <w:color w:val="auto"/>
              </w:rPr>
              <w:t>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account for research and development costs by natural expense line and not costs by project. The increase in salary and benefits related expense for the three and six months ended June 30, 2020 as compared to the corresponding periods in 2019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61" w:lineRule="exact"/>
        <w:rPr>
          <w:sz w:val="20"/>
          <w:szCs w:val="20"/>
          <w:color w:val="auto"/>
        </w:rPr>
      </w:pPr>
    </w:p>
    <w:p>
      <w:pPr>
        <w:jc w:val="both"/>
        <w:ind w:left="40" w:right="59" w:firstLine="720"/>
        <w:spacing w:after="0" w:line="290" w:lineRule="auto"/>
        <w:rPr>
          <w:sz w:val="20"/>
          <w:szCs w:val="20"/>
          <w:color w:val="auto"/>
        </w:rPr>
      </w:pPr>
      <w:r>
        <w:rPr>
          <w:rFonts w:ascii="Arial" w:cs="Arial" w:eastAsia="Arial" w:hAnsi="Arial"/>
          <w:sz w:val="16"/>
          <w:szCs w:val="16"/>
          <w:color w:val="auto"/>
        </w:rPr>
        <w:t>The increase in clinical research and outside services expense for the six months ended June 30, 2020 as compared to the corresponding period in 2019 was primarily due to upfront consideration related to our collaborative agreement with MorphoSys recorded during 2020. Research and development expenses include upfront and milestone expenses related to our collaborative agreements of $3.5 million and $809.0 million, respectively, for the three and six months ended June 30, 2020. Research and development expenses include upfront and milestone expenses related to our collaborative agreements of $25.0 million and $25.3 million, respectively, for the three and six months ended June 30, 2019. Research and development expenses for the three and six months ended June 30, 2020 and 2019 were net of $3.2 million, $4.9 million, $2.4 million and $6.4 million, respectively, of costs reimbursed by our collaborative partners.</w:t>
      </w:r>
    </w:p>
    <w:p>
      <w:pPr>
        <w:spacing w:after="0" w:line="16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71"/>
        </w:trPr>
        <w:tc>
          <w:tcPr>
            <w:tcW w:w="4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r>
      <w:tr>
        <w:trPr>
          <w:trHeight w:val="128"/>
        </w:trPr>
        <w:tc>
          <w:tcPr>
            <w:tcW w:w="4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left="298"/>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4"/>
          </w:tcPr>
          <w:p>
            <w:pPr>
              <w:jc w:val="center"/>
              <w:ind w:right="94"/>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Stock compensation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00" w:type="dxa"/>
            <w:vAlign w:val="bottom"/>
            <w:shd w:val="clear" w:color="auto" w:fill="CCEEFF"/>
          </w:tcPr>
          <w:p>
            <w:pPr>
              <w:spacing w:after="0"/>
              <w:rPr>
                <w:sz w:val="18"/>
                <w:szCs w:val="18"/>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6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r>
              <w:rPr>
                <w:rFonts w:ascii="Arial" w:cs="Arial" w:eastAsia="Arial" w:hAnsi="Arial"/>
                <w:sz w:val="18"/>
                <w:szCs w:val="18"/>
                <w:u w:val="single" w:color="auto"/>
                <w:color w:val="auto"/>
              </w:rPr>
              <w:t>0</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9</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r>
              <w:rPr>
                <w:rFonts w:ascii="Arial" w:cs="Arial" w:eastAsia="Arial" w:hAnsi="Arial"/>
                <w:sz w:val="18"/>
                <w:szCs w:val="18"/>
                <w:u w:val="single" w:color="auto"/>
                <w:color w:val="auto"/>
              </w:rPr>
              <w:t>9</w:t>
            </w:r>
          </w:p>
        </w:tc>
        <w:tc>
          <w:tcPr>
            <w:tcW w:w="2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increase in salary and benefits related expense for the six months ended June 30, 2020 as compared to the corresponding period in 2019 was due primarily to increased headcount. This increased headcount was due primarily to the ongoing commercialization efforts related to JAKAFI for intermediate or high-risk myelofibrosis, uncontrolled polycythemia vera and GVHD as well as increased headcount related to our European operations. The decrease in other contract services and outside costs for the six months ended June 30, 2020 as compared to the corresponding period in 2019 was due primarily to a decrease in donations to independent non-profit patient assistance organizations in the United States.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9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Acquisition-related contingent consideration, which consists of our future royalty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six months ended June 30, 2020 was $6.1 million and $12.7 million, respectively, which is recorded in change in fair value of acquisition-related contingent consideration on the condensed consolidated statements of operations. The change in fair value of the acquisition-related contingent consideration for the three and six months ended June 30, 2019 was $6.6 million and $13.3 million, respectively, which is recorded in change in fair value of acquisition-related contingent consideration on the condensed consolidated statements of operations. The change in fair value for the three and six months ended June 30, 2020 and 2019 was due primarily to the passage of time as there were no other significant changes in the key assumptions during the periods.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six months ended June 30, 2020, our 50% share of the costs for tafasitamab was $13.3 million and $15.4 million, respectively, as recorded in collaboration loss sharing on the condensed consolidated statement of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three and six months ended June 30,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and $13.5 million, respectively. Other income (expense), net for the three and six months ended June 30, 2019 was $15.0 million and $24.4 million, respectively. The decrease in other income (expense), net for the six months ended June 30, 2020 primarily relates to a decrease in interest income.</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three and six months ended June 30, 2020 was $0.6 million and $1.2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Interest expense for the three and six months ended June 30, 2019 was $0.3 million and $0.7 million, respectively. Included in interest expense for the three and six months ended June 30, 2020 was $0.2 million and $0.4 million, respectively, of non-cash charges to amortize the discount on the 2020 Notes and approximately $0.3 million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and $0.6 million, respectively, of interest expense on our finance lease liabilities. Included in interest expense for the three and six months ended June 30, 2019 was $0.2 million and $0.4 million, respectively, of non-cash charges to amortize the discount on the 2020 Notes.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r>
      <w:tr>
        <w:trPr>
          <w:trHeight w:val="128"/>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left="47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4"/>
          </w:tcPr>
          <w:p>
            <w:pPr>
              <w:jc w:val="center"/>
              <w:ind w:left="41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Calithera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MorphoSys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Syros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w w:val="95"/>
              </w:rPr>
              <w:t>Total unrealized gain (loss) on long term investments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for the three and six months ended June 30, 2020 and</w:t>
      </w:r>
      <w:r>
        <w:rPr>
          <w:rFonts w:ascii="Arial" w:cs="Arial" w:eastAsia="Arial" w:hAnsi="Arial"/>
          <w:sz w:val="17"/>
          <w:szCs w:val="17"/>
          <w:i w:val="1"/>
          <w:iCs w:val="1"/>
          <w:color w:val="auto"/>
        </w:rPr>
        <w:t xml:space="preserve"> </w:t>
      </w:r>
      <w:r>
        <w:rPr>
          <w:rFonts w:ascii="Arial" w:cs="Arial" w:eastAsia="Arial" w:hAnsi="Arial"/>
          <w:sz w:val="17"/>
          <w:szCs w:val="17"/>
          <w:color w:val="auto"/>
        </w:rPr>
        <w:t>was $17.0 million and $33.5 million, respectively. The provision for income taxes for the three and six months ended June 30, 2019 and was $3.4 million and $5.1 million, respectively. The increase in provision for income taxes for the three and six months ended June 30, 2020 primarily relates to federal and state tax liabilities that are not fully sheltered by net operating losses or research and development tax credit carryforwards. The increase was also driven by reduced tax benefits for stock-based compensation in the current period.</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$1.9 billion as of June 30, 2020. We have funded our research and development operations through sales of equity securities, the issuance of convertible notes, cash received from customers, and collaborative arrangements. At June 30, 2020, we had available cash, cash equivalents and marketable securities of $1.6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6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2020 was $414.0 million and net cash provided by operating activities for the six months ended June 30, 2019 was $308.6 million. The $722.6 million decrease in cash provided by operating activities was due primarily to cash outflows in March 2020 related to our collaboration and license agreement with MorphoSys and changes in working capital.</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by investing activities was $151.8 million for the six months ended June 30, 2020, which represented purchases of marketable securities of $287.4 million, capital expenditures of $83.1 million and purchases of long term equity investments of $95.5 million, offset in part by the sale of long term investment of $4.5 million and the sale and maturity of marketable securities of $309.7 million. Net cash used in investing activities was $69.7 million for the six months ended June 30, 2019, which represented purchases of marketable securities of $104.0 million and capital expenditures of $65.6 million, offset in part by the sale and maturity of marketable securities of $99.8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Net cash provided by financing activities was $58.9 million and $13.5 million, respectively, for the six months ended June 30, 2020 and 2019, primarily representing proceeds from the issuance of common stock under our stock plans, offset in part by cash paid to ARIAD/Takeda for contingent consideration.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June 30, 2020 and the effect those obligations are expected to have on our liquidity and cash flow in future periods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Over</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2 - 3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non-cancelable obligations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Innovent and Zai Lab; and expenditures in connection with strategic relationships and license agreements, including our agreements with Agenus, ARIAD/Takeda, Calithera, Lilly, MacroGenics, MorphoSys,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2020, marketable securities were $262.8 million. Due to the nature of these investments, if market interest rates were to increase immediately and uniformly by 10% from levels as of June 30, 2020, the decline in fair value would not be material.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(as defined in Rules 13a-15(f) and 15d-15(f) under the Exchange Act) for the three months ended June 30, 2020, that materially affected or are reasonably likely to materially affect our internal control over financial reporting.</w:t>
      </w:r>
    </w:p>
    <w:p>
      <w:pPr>
        <w:spacing w:after="0" w:line="145"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and PEMAZYRE in the United States for the treatment of specified cholangiocarcinoma indications and our exclusive licensees sell OLUMIANT (baricitinib), for the treatment of specified rheumatoid arthritis indications and TABRECTA for the treatment of a certain type of non small-cell lung cancer, and have recently commenced sales efforts for MONJUVI for the treatment of certain lymphoma indications, we anticipate that JAKAFI product sales will continue to contribute a significant percentage of our total revenues over the next several years.</w:t>
      </w:r>
    </w:p>
    <w:p>
      <w:pPr>
        <w:spacing w:after="0" w:line="16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jc w:val="both"/>
        <w:ind w:left="1040" w:right="79" w:hanging="321"/>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5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6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The costs of JAKAFI, ICLUSIG and PEMAZYRE are not insignificant and the cost of MONJUVI is similarly expected not to be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1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and cover, among other things, testing, manufacturing, quality control and assurance, labeling, advertising, promotion, risk mitigation, and adverse event reporting requirements.</w:t>
      </w:r>
    </w:p>
    <w:p>
      <w:pPr>
        <w:spacing w:after="0" w:line="170"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testing of JAKAFI, ICLUSIG, PEMAZYRE and MONJUVI, the manufacturing, marketing and sale of JAKAFI and PEMAZYRE and the marketing and sale of ICLUSIG and MONJUVI expose us to product liability and other risks. Side effects and other problems experienced by patients from the use of our products could:</w:t>
      </w:r>
    </w:p>
    <w:p>
      <w:pPr>
        <w:spacing w:after="0" w:line="184" w:lineRule="exact"/>
        <w:rPr>
          <w:sz w:val="20"/>
          <w:szCs w:val="20"/>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and MONJUVI.</w:t>
      </w:r>
    </w:p>
    <w:p>
      <w:pPr>
        <w:spacing w:after="0" w:line="18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will exist for our marketing of PEMAZYRE and our and our collaborator MorphoSys’s marketing of MONJUVI.</w:t>
      </w:r>
    </w:p>
    <w:p>
      <w:pPr>
        <w:spacing w:after="0" w:line="19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manufacturer would be successful in protecting JAKAFI’s exclusivity. The entry of a generic version of JAKAFI could result in a decrease in JAKAFI sales and materially harm our business, operating results and financial condition.</w:t>
      </w:r>
    </w:p>
    <w:p>
      <w:pPr>
        <w:spacing w:after="0" w:line="14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Present and potential competitors for PEMAZYRE and MONJUVI could include major pharmaceutical and biotechnology companies, as well as specialty pharmaceutical firms.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could adversely affect our business, results of operations, and financial condition.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results of operations and financial condition, including the following:</w:t>
      </w:r>
    </w:p>
    <w:p>
      <w:pPr>
        <w:spacing w:after="0" w:line="170" w:lineRule="exact"/>
        <w:rPr>
          <w:sz w:val="20"/>
          <w:szCs w:val="20"/>
          <w:color w:val="auto"/>
        </w:rPr>
      </w:pPr>
    </w:p>
    <w:p>
      <w:pPr>
        <w:ind w:left="720" w:right="59" w:hanging="325"/>
        <w:spacing w:after="0" w:line="287"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protect the health of our employees and their families, and our communities, in accordance with – and in some cases in advance or - direction from state and local government authorities, we currently have limited access to certain of our facilities and instituted additional precautions in our facilities that have reopened , and a significant percentage of our personnel continue to work remotely a significant portion of their time. In the event that governmental authorities were to modify current restrictions or re-establish greater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67" w:lineRule="exact"/>
        <w:rPr>
          <w:rFonts w:ascii="Arial" w:cs="Arial" w:eastAsia="Arial" w:hAnsi="Arial"/>
          <w:sz w:val="16"/>
          <w:szCs w:val="16"/>
          <w:color w:val="auto"/>
        </w:rPr>
      </w:pPr>
    </w:p>
    <w:p>
      <w:pPr>
        <w:jc w:val="both"/>
        <w:ind w:left="720" w:right="59" w:hanging="325"/>
        <w:spacing w:after="0" w:line="311"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the work from home orders and travel restrictions, and we cannot predict the effects on patient demand or future sales if there are prolonged quarantines, work from home orders or travel restrictions.</w:t>
      </w:r>
    </w:p>
    <w:p>
      <w:pPr>
        <w:spacing w:after="0" w:line="148" w:lineRule="exact"/>
        <w:rPr>
          <w:rFonts w:ascii="Arial" w:cs="Arial" w:eastAsia="Arial" w:hAnsi="Arial"/>
          <w:sz w:val="16"/>
          <w:szCs w:val="16"/>
          <w:color w:val="auto"/>
        </w:rPr>
      </w:pPr>
    </w:p>
    <w:p>
      <w:pPr>
        <w:jc w:val="both"/>
        <w:ind w:left="720" w:right="59" w:hanging="325"/>
        <w:spacing w:after="0" w:line="273"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clinical trials have been and may in the future be affected by delays in site initiation, patient screening, patient enrollment, and monitoring and data collection as a result of prioritization of hospital resources for the COVID-19 Pandemic, travel restrictions, and the inability to access sites for initiation and monitoring. In addition, some patients may be unable to comply with clinical trial protocols if quarantines or stay at home orders impede patient movement or interrupt health services, we may be unable to obtain blood samples for testing, and we may not be able to provide the trial drug candidate to patients.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59" w:hanging="325"/>
        <w:spacing w:after="0" w:line="273"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90"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or any or all of these countries is uncertain and unpredictable and potential disruption is possible.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65" w:lineRule="exact"/>
        <w:rPr>
          <w:rFonts w:ascii="Arial" w:cs="Arial" w:eastAsia="Arial" w:hAnsi="Arial"/>
          <w:sz w:val="16"/>
          <w:szCs w:val="16"/>
          <w:color w:val="auto"/>
        </w:rPr>
      </w:pPr>
    </w:p>
    <w:p>
      <w:pPr>
        <w:jc w:val="both"/>
        <w:ind w:left="720" w:right="79" w:hanging="325"/>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have invested significant resources in the development of our most advanced drug candidates. We and our collaborator MorphoSys have submitted a European Marketing Authorization Application with the EMA for tafasitamab in combination with lenalidomide for the treatment of patients with a specified type of lymphoma. Ruxolitinib is in Phase III clinical trials for the treatment of patients with steroid-refractory graft-versus-host disease and patients with COVID-19 and is in other clinical trials. Ruxolitinib cream is in Phase III clinical trials for the treatment of patients with atopic dermatitis and vitiligo. Itacitinib is in Phase III clinical trials for the treatment of patients with chronic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In addition, in January 2020 we announced that itacitinib did not meet the primary endpoint in the Phase III clinical trial for the treatment of patients with acute graft-versus-host disease. If a product is developed but not approved or marketed, we may have spent significant amounts of time and money on it, which could adversely affect our operating results and financial condition as well as our business plans.</w:t>
      </w:r>
    </w:p>
    <w:p>
      <w:pPr>
        <w:spacing w:after="0" w:line="1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4" w:lineRule="exact"/>
        <w:rPr>
          <w:sz w:val="20"/>
          <w:szCs w:val="20"/>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does not ensure approval by regulatory authorities in other countries, and approval by one foreign regulatory authority does not ensure approval by regulatory authorities in other countries or by the FDA.</w:t>
      </w:r>
    </w:p>
    <w:p>
      <w:pPr>
        <w:spacing w:after="0" w:line="170"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U.S. and abroad.</w:t>
      </w:r>
    </w:p>
    <w:p>
      <w:pPr>
        <w:spacing w:after="0" w:line="188"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several recent federal and state proposals, including executive orders issued by the Trump Administration in July 2020,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and the July 2020 executive orders designed to, among other things, bring more transparency to drug pricing, reduce the cost of prescription drugs under Medicare, reform government program reimbursement methodologies for prescription drugs, allow importation of drugs into the U.S.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If third parties institute high co-payment amounts or other benefit limits for our products, the demand for our products and, accordingly, our revenues and results of operations, could be adversely affected. Our patient assistance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programs have provided support for non-profit organizations that provide financial assistance to eligible patients or in some cases have provided our products without charge to patients who have no or limited insurance coverage through these charitable organizations. Substantial support in this manner could harm our profitability in the future. Further, those organizations’ ability to provide assistance to patients is dependent on funding from external sources, and we cannot guarantee that such funding will be provided at adequate levels, or at all.</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2"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9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or explore additional opportunities to further develop and commercialize existing drug candidates in specific jurisdictions, such as our June 2016 acquisition of the development and commercialization rights to ICLUSIG in certain countries. We may be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7"/>
          <w:szCs w:val="17"/>
          <w:color w:val="auto"/>
        </w:rPr>
        <w:t>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81"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Even if we or our collaborators are successful in gaining regulatory approval of any of our or our collaborators’ drug candidates in addition to JAKAFI, OLUMIANT, PEMAZYRE and MONJUVI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and our other drug candidates or for ICLUSIG or MONJUVI. We currently hire third parties to manufacture the raw materials, API and finished drug product of JAKAFI, ICLUSIG, PEMAZYRE and our other drug candidates for clinical trials and our collaborator MorphoSys is currently responsible for sourcing manufacturing of MONJUVI.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and PEMAZYRE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4"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or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8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discovered in our product candidates or in the manufacturing facilities in which our product candidates are made, such manufacturing facilities may need to be closed for an extended period of time to investigate and remedy the contamination.</w:t>
      </w:r>
    </w:p>
    <w:p>
      <w:pPr>
        <w:spacing w:after="0" w:line="12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0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as recently as the three months ended March 31, 2020, we recorded unrealized losses related to all of our investments in our collaboration partners, and we may in the future experience additional losses related to our investments. In addition, if we choose to issue shares of our stock as consideration for any acquisition, dilution to our stockholders could result.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drug development activities in Japan and are in the process of opening an office in China. International operations and business expansion plans are subject to numerous additional risks, including:</w:t>
      </w:r>
    </w:p>
    <w:p>
      <w:pPr>
        <w:spacing w:after="0" w:line="188" w:lineRule="exact"/>
        <w:rPr>
          <w:sz w:val="20"/>
          <w:szCs w:val="20"/>
          <w:color w:val="auto"/>
        </w:rPr>
      </w:pPr>
    </w:p>
    <w:p>
      <w:pPr>
        <w:jc w:val="both"/>
        <w:ind w:left="1040" w:right="79" w:hanging="321"/>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w:t>
      </w:r>
    </w:p>
    <w:p>
      <w:pPr>
        <w:spacing w:after="0" w:line="183"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health risks, such as the spread globally of COVID-19 in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9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$1.9 billion as of June 30, 2020.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PEMAZYRE and MONJUVI, for several years, if ever.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ICLUSIG, PEMAZYRE and MONJUVI, we may incur losses if our drug products do not generate significant revenues.</w:t>
      </w:r>
    </w:p>
    <w:p>
      <w:pPr>
        <w:spacing w:after="0" w:line="18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derived a substantial portion of our revenues for the six months ended June 30, 2020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6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 and the U.S., which invalidation has created uncertainty about how data can now be shared in a compliant manner. Additionally, the California Consumer Privacy Act (CCPA), effective January 1, 2020, requires, among other things, provision of new disclosures to California consumers, gives such consumers new abilities to opt-out of certain sales of personal information,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and affords a private right of action to such consumers if certain data breaches result in the loss or theft of their personal information. The GDPR, CCPAand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34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6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740" w:type="dxa"/>
            <w:vAlign w:val="bottom"/>
            <w:tcBorders>
              <w:bottom w:val="single" w:sz="8" w:color="0000EE"/>
            </w:tcBorders>
            <w:gridSpan w:val="3"/>
          </w:tcPr>
          <w:p>
            <w:pPr>
              <w:spacing w:after="0" w:line="169"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Letter agreement, dated May 13, 2020, between the Company and Eli Lilly and Company, together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related Letter of Understanding, dated March 5, 2020, between the Company and Eli Lilly and Company,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each relating to License, Development and Commercialization Agreement entered into as of December 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2009 by and between the Company and Eli Lilly and Company.</w:t>
              </w:r>
            </w:hyperlink>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3"/>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Rule 13a-14(a) Certification of Chief Executive Officer</w:t>
              </w:r>
            </w:hyperlink>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3"/>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Rule 13a-14(a) Certification of Chief Financial Officer</w:t>
              </w:r>
            </w:hyperlink>
          </w:p>
        </w:tc>
        <w:tc>
          <w:tcPr>
            <w:tcW w:w="0" w:type="dxa"/>
            <w:vAlign w:val="bottom"/>
          </w:tcPr>
          <w:p>
            <w:pPr>
              <w:spacing w:after="0"/>
              <w:rPr>
                <w:sz w:val="1"/>
                <w:szCs w:val="1"/>
                <w:color w:val="auto"/>
              </w:rPr>
            </w:pPr>
          </w:p>
        </w:tc>
      </w:tr>
      <w:tr>
        <w:trPr>
          <w:trHeight w:val="392"/>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2"/>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3"/>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0" w:right="59" w:hanging="1151"/>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XBRL Instance - the instance document does not appear in the Interactive Data File because its XBRL tags are embedded within the Inline XBRL document</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XBRL Taxonomy Presentation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XBRL Taxonomy Definition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8"/>
        </w:trPr>
        <w:tc>
          <w:tcPr>
            <w:tcW w:w="9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680" w:type="dxa"/>
            <w:vAlign w:val="bottom"/>
          </w:tcPr>
          <w:p>
            <w:pPr>
              <w:spacing w:after="0"/>
              <w:rPr>
                <w:sz w:val="9"/>
                <w:szCs w:val="9"/>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rPr>
              <w:t>Filed herewith.</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w w:val="93"/>
              </w:rPr>
              <w:t>In accordance with Item 601(b)(32)(ii) of Regulation S-K and</w:t>
            </w:r>
          </w:p>
        </w:tc>
      </w:tr>
      <w:tr>
        <w:trPr>
          <w:trHeight w:val="216"/>
        </w:trPr>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w w:val="97"/>
              </w:rPr>
              <w:t>SEC Release No. 34-47986, the certifications furnished in</w:t>
            </w:r>
          </w:p>
        </w:tc>
      </w:tr>
      <w:tr>
        <w:trPr>
          <w:trHeight w:val="216"/>
        </w:trPr>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w w:val="92"/>
              </w:rPr>
              <w:t>Exhibits 32.1 and 32.2 hereto are deemed to accompany this</w:t>
            </w:r>
          </w:p>
        </w:tc>
      </w:tr>
      <w:tr>
        <w:trPr>
          <w:trHeight w:val="216"/>
        </w:trPr>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w w:val="99"/>
              </w:rPr>
              <w:t>Form 10-Q and will not be deemed “filed” for purposes of</w:t>
            </w:r>
          </w:p>
        </w:tc>
      </w:tr>
      <w:tr>
        <w:trPr>
          <w:trHeight w:val="216"/>
        </w:trPr>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w w:val="95"/>
              </w:rPr>
              <w:t>Section 18 of the Exchange Act. Such certifications will not</w:t>
            </w:r>
          </w:p>
        </w:tc>
      </w:tr>
      <w:tr>
        <w:trPr>
          <w:trHeight w:val="216"/>
        </w:trPr>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w w:val="98"/>
              </w:rPr>
              <w:t>be deemed to be incorporated by reference into any filing</w:t>
            </w:r>
          </w:p>
        </w:tc>
      </w:tr>
      <w:tr>
        <w:trPr>
          <w:trHeight w:val="230"/>
        </w:trPr>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80" w:type="dxa"/>
            <w:vAlign w:val="bottom"/>
          </w:tcPr>
          <w:p>
            <w:pPr>
              <w:ind w:left="2180"/>
              <w:spacing w:after="0"/>
              <w:rPr>
                <w:sz w:val="20"/>
                <w:szCs w:val="20"/>
                <w:color w:val="auto"/>
              </w:rPr>
            </w:pPr>
            <w:r>
              <w:rPr>
                <w:rFonts w:ascii="Arial" w:cs="Arial" w:eastAsia="Arial" w:hAnsi="Arial"/>
                <w:sz w:val="18"/>
                <w:szCs w:val="18"/>
                <w:color w:val="auto"/>
              </w:rPr>
              <w:t>under the Securities Act or the Exchange Act.</w:t>
            </w:r>
          </w:p>
        </w:tc>
      </w:tr>
    </w:tbl>
    <w:p>
      <w:pPr>
        <w:spacing w:after="0" w:line="202" w:lineRule="exact"/>
        <w:rPr>
          <w:sz w:val="20"/>
          <w:szCs w:val="20"/>
          <w:color w:val="auto"/>
        </w:rPr>
      </w:pPr>
    </w:p>
    <w:p>
      <w:pPr>
        <w:ind w:left="300" w:hanging="256"/>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212529"/>
        </w:rPr>
        <w:t>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INCYTE CORPORATION</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August 4, 2020</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HERVÉ HOPPENOT</w:t>
            </w:r>
          </w:p>
        </w:tc>
      </w:tr>
      <w:tr>
        <w:trPr>
          <w:trHeight w:val="195"/>
        </w:trPr>
        <w:tc>
          <w:tcPr>
            <w:tcW w:w="3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August 4, 2020</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CHRISTIANA STAMOULIS</w:t>
            </w:r>
          </w:p>
        </w:tc>
      </w:tr>
      <w:tr>
        <w:trPr>
          <w:trHeight w:val="195"/>
        </w:trPr>
        <w:tc>
          <w:tcPr>
            <w:tcW w:w="3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900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Certain identified information, marked by [***], has been excluded from the exhibit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254635</wp:posOffset>
            </wp:positionV>
            <wp:extent cx="1337310" cy="934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3731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20"/>
        <w:spacing w:after="0"/>
        <w:rPr>
          <w:sz w:val="20"/>
          <w:szCs w:val="20"/>
          <w:color w:val="auto"/>
        </w:rPr>
      </w:pPr>
      <w:r>
        <w:rPr>
          <w:rFonts w:ascii="Arial" w:cs="Arial" w:eastAsia="Arial" w:hAnsi="Arial"/>
          <w:sz w:val="14"/>
          <w:szCs w:val="14"/>
          <w:color w:val="0000C2"/>
        </w:rPr>
        <w:t>Incyte Corporation</w:t>
      </w:r>
    </w:p>
    <w:p>
      <w:pPr>
        <w:ind w:left="8020"/>
        <w:spacing w:after="0" w:line="221" w:lineRule="auto"/>
        <w:rPr>
          <w:sz w:val="20"/>
          <w:szCs w:val="20"/>
          <w:color w:val="auto"/>
        </w:rPr>
      </w:pPr>
      <w:r>
        <w:rPr>
          <w:rFonts w:ascii="Arial" w:cs="Arial" w:eastAsia="Arial" w:hAnsi="Arial"/>
          <w:sz w:val="14"/>
          <w:szCs w:val="14"/>
          <w:color w:val="0000C2"/>
        </w:rPr>
        <w:t>1801 Augustine Cut-Off</w:t>
      </w:r>
    </w:p>
    <w:p>
      <w:pPr>
        <w:ind w:left="8020"/>
        <w:spacing w:after="0" w:line="221" w:lineRule="auto"/>
        <w:rPr>
          <w:sz w:val="20"/>
          <w:szCs w:val="20"/>
          <w:color w:val="auto"/>
        </w:rPr>
      </w:pPr>
      <w:r>
        <w:rPr>
          <w:rFonts w:ascii="Arial" w:cs="Arial" w:eastAsia="Arial" w:hAnsi="Arial"/>
          <w:sz w:val="14"/>
          <w:szCs w:val="14"/>
          <w:color w:val="0000C2"/>
        </w:rPr>
        <w:t>Wilmington, DE 19803</w:t>
      </w:r>
    </w:p>
    <w:p>
      <w:pPr>
        <w:ind w:left="7620"/>
        <w:spacing w:after="0" w:line="222" w:lineRule="auto"/>
        <w:tabs>
          <w:tab w:leader="none" w:pos="8000" w:val="left"/>
        </w:tabs>
        <w:rPr>
          <w:sz w:val="20"/>
          <w:szCs w:val="20"/>
          <w:color w:val="auto"/>
        </w:rPr>
      </w:pPr>
      <w:r>
        <w:rPr>
          <w:rFonts w:ascii="Arial" w:cs="Arial" w:eastAsia="Arial" w:hAnsi="Arial"/>
          <w:sz w:val="14"/>
          <w:szCs w:val="14"/>
          <w:color w:val="0000C2"/>
        </w:rPr>
        <w:t>Tel</w:t>
      </w:r>
      <w:r>
        <w:rPr>
          <w:sz w:val="20"/>
          <w:szCs w:val="20"/>
          <w:color w:val="auto"/>
        </w:rPr>
        <w:tab/>
      </w:r>
      <w:r>
        <w:rPr>
          <w:rFonts w:ascii="Arial" w:cs="Arial" w:eastAsia="Arial" w:hAnsi="Arial"/>
          <w:sz w:val="14"/>
          <w:szCs w:val="14"/>
          <w:color w:val="0000C2"/>
        </w:rPr>
        <w:t>302.498.6700</w:t>
      </w:r>
    </w:p>
    <w:p>
      <w:pPr>
        <w:ind w:left="7620"/>
        <w:spacing w:after="0"/>
        <w:tabs>
          <w:tab w:leader="none" w:pos="8000" w:val="left"/>
        </w:tabs>
        <w:rPr>
          <w:sz w:val="20"/>
          <w:szCs w:val="20"/>
          <w:color w:val="auto"/>
        </w:rPr>
      </w:pPr>
      <w:r>
        <w:rPr>
          <w:rFonts w:ascii="Arial" w:cs="Arial" w:eastAsia="Arial" w:hAnsi="Arial"/>
          <w:sz w:val="14"/>
          <w:szCs w:val="14"/>
          <w:color w:val="0000C2"/>
        </w:rPr>
        <w:t>Web</w:t>
      </w:r>
      <w:r>
        <w:rPr>
          <w:sz w:val="20"/>
          <w:szCs w:val="20"/>
          <w:color w:val="auto"/>
        </w:rPr>
        <w:tab/>
      </w:r>
      <w:r>
        <w:rPr>
          <w:rFonts w:ascii="Arial" w:cs="Arial" w:eastAsia="Arial" w:hAnsi="Arial"/>
          <w:sz w:val="13"/>
          <w:szCs w:val="13"/>
          <w:color w:val="0000C2"/>
        </w:rPr>
        <w:t>www.incyte.com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Anabela Cardoso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Brand Development Leader, Immunology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Commercialization of baricitinib for COVID-19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Anabela: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Incyte and Lilly (the “</w:t>
      </w:r>
      <w:r>
        <w:rPr>
          <w:rFonts w:ascii="Arial" w:cs="Arial" w:eastAsia="Arial" w:hAnsi="Arial"/>
          <w:sz w:val="18"/>
          <w:szCs w:val="18"/>
          <w:u w:val="single" w:color="auto"/>
          <w:color w:val="auto"/>
        </w:rPr>
        <w:t>Parties</w:t>
      </w:r>
      <w:r>
        <w:rPr>
          <w:rFonts w:ascii="Arial" w:cs="Arial" w:eastAsia="Arial" w:hAnsi="Arial"/>
          <w:sz w:val="18"/>
          <w:szCs w:val="18"/>
          <w:color w:val="auto"/>
        </w:rPr>
        <w:t>”) entered into the Agreement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Lilly is Developing and Commercializing baricitinib as a “Licensed Product” throughout the world under the terms of the Agreement;</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WHEREAS, on February 4, 2020, the scientific publication The Lancet published an article entitled “Baricitinib as potential treatment for 2019-nCoV acute respiratory disease” (available at https://www.thelancet.com/journals/lancet/article/PIIS0140-6736(20)30304-4/fulltext );</w:t>
      </w:r>
    </w:p>
    <w:p>
      <w:pPr>
        <w:spacing w:after="0" w:line="18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WHEREAS, Lilly has been collaborating with scientific experts and government bodies regarding use of the Licensed Product in the treatment, control, management, mitigation, prevention or cure of 2019-nCoV acute respiratory disease (“</w:t>
      </w:r>
      <w:r>
        <w:rPr>
          <w:rFonts w:ascii="Arial" w:cs="Arial" w:eastAsia="Arial" w:hAnsi="Arial"/>
          <w:sz w:val="17"/>
          <w:szCs w:val="17"/>
          <w:u w:val="single" w:color="auto"/>
          <w:color w:val="auto"/>
        </w:rPr>
        <w:t>COVID-19</w:t>
      </w:r>
      <w:r>
        <w:rPr>
          <w:rFonts w:ascii="Arial" w:cs="Arial" w:eastAsia="Arial" w:hAnsi="Arial"/>
          <w:sz w:val="17"/>
          <w:szCs w:val="17"/>
          <w:color w:val="auto"/>
        </w:rPr>
        <w:t>”);</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WHEREAS, the Parties entered into a Letter of Understanding dated March 5, 2020 (“</w:t>
      </w:r>
      <w:r>
        <w:rPr>
          <w:rFonts w:ascii="Arial" w:cs="Arial" w:eastAsia="Arial" w:hAnsi="Arial"/>
          <w:sz w:val="18"/>
          <w:szCs w:val="18"/>
          <w:u w:val="single" w:color="auto"/>
          <w:color w:val="auto"/>
        </w:rPr>
        <w:t>LOU</w:t>
      </w:r>
      <w:r>
        <w:rPr>
          <w:rFonts w:ascii="Arial" w:cs="Arial" w:eastAsia="Arial" w:hAnsi="Arial"/>
          <w:sz w:val="18"/>
          <w:szCs w:val="18"/>
          <w:color w:val="auto"/>
        </w:rPr>
        <w:t>”) providing a framework under which Lilly could explore Development of the Licensed Product for use in the treatment, control, management, mitigation, prevention or cure of COVID-19 (such uses, the “</w:t>
      </w:r>
      <w:r>
        <w:rPr>
          <w:rFonts w:ascii="Arial" w:cs="Arial" w:eastAsia="Arial" w:hAnsi="Arial"/>
          <w:sz w:val="18"/>
          <w:szCs w:val="18"/>
          <w:u w:val="single" w:color="auto"/>
          <w:color w:val="auto"/>
        </w:rPr>
        <w:t>COVID-19 Field</w:t>
      </w:r>
      <w:r>
        <w:rPr>
          <w:rFonts w:ascii="Arial" w:cs="Arial" w:eastAsia="Arial" w:hAnsi="Arial"/>
          <w:sz w:val="18"/>
          <w:szCs w:val="18"/>
          <w:color w:val="auto"/>
        </w:rPr>
        <w:t>,” and such work, the “</w:t>
      </w:r>
      <w:r>
        <w:rPr>
          <w:rFonts w:ascii="Arial" w:cs="Arial" w:eastAsia="Arial" w:hAnsi="Arial"/>
          <w:sz w:val="18"/>
          <w:szCs w:val="18"/>
          <w:u w:val="single" w:color="auto"/>
          <w:color w:val="auto"/>
        </w:rPr>
        <w:t>COVID-19 Work</w:t>
      </w:r>
      <w:r>
        <w:rPr>
          <w:rFonts w:ascii="Arial" w:cs="Arial" w:eastAsia="Arial" w:hAnsi="Arial"/>
          <w:sz w:val="18"/>
          <w:szCs w:val="18"/>
          <w:color w:val="auto"/>
        </w:rPr>
        <w:t>”)); and</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the Parties now wish to expand the COVID-19 Work to include a grant to Lilly to be able to Commercialize the Licensed Product in the COVID-19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186055</wp:posOffset>
            </wp:positionV>
            <wp:extent cx="1568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66" w:lineRule="exact"/>
        <w:rPr>
          <w:sz w:val="20"/>
          <w:szCs w:val="20"/>
          <w:color w:val="auto"/>
        </w:rPr>
      </w:pPr>
    </w:p>
    <w:p>
      <w:pPr>
        <w:ind w:right="200" w:firstLine="8"/>
        <w:spacing w:after="0" w:line="226" w:lineRule="auto"/>
        <w:tabs>
          <w:tab w:leader="none" w:pos="135"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December 18, 2009 License, Development and Commercialization Agreement by and between Incyte Corporation (“Incyte”) and Eli Lilly and Company (“Lilly”), as amended June 22, 2010, August 1, 2011, March 31, 2016 and December 13, 2016 (collectively, the “Agreement”) and the March 5, 2020 Letter of Understanding (the “LOU”). Capitalized terms not defined herein shall have the meanings set forth the Agreement or the 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755015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NOW THEREFORE, the Parties hereby agree (this agreement, the “</w:t>
      </w:r>
      <w:r>
        <w:rPr>
          <w:rFonts w:ascii="Arial" w:cs="Arial" w:eastAsia="Arial" w:hAnsi="Arial"/>
          <w:sz w:val="18"/>
          <w:szCs w:val="18"/>
          <w:u w:val="single" w:color="auto"/>
          <w:color w:val="auto"/>
        </w:rPr>
        <w:t>Letter Agreement</w:t>
      </w:r>
      <w:r>
        <w:rPr>
          <w:rFonts w:ascii="Arial" w:cs="Arial" w:eastAsia="Arial" w:hAnsi="Arial"/>
          <w:sz w:val="18"/>
          <w:szCs w:val="18"/>
          <w:color w:val="auto"/>
        </w:rPr>
        <w:t>”) as follows:</w:t>
      </w:r>
    </w:p>
    <w:p>
      <w:pPr>
        <w:spacing w:after="0" w:line="221" w:lineRule="exact"/>
        <w:rPr>
          <w:sz w:val="20"/>
          <w:szCs w:val="20"/>
          <w:color w:val="auto"/>
        </w:rPr>
      </w:pPr>
    </w:p>
    <w:p>
      <w:pPr>
        <w:ind w:left="660" w:hanging="328"/>
        <w:spacing w:after="0" w:line="281" w:lineRule="auto"/>
        <w:tabs>
          <w:tab w:leader="none" w:pos="666"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COVID-19 Cooperation</w:t>
      </w:r>
      <w:r>
        <w:rPr>
          <w:rFonts w:ascii="Arial" w:cs="Arial" w:eastAsia="Arial" w:hAnsi="Arial"/>
          <w:sz w:val="17"/>
          <w:szCs w:val="17"/>
          <w:color w:val="auto"/>
        </w:rPr>
        <w:t>. The Parties each acknowledge and agree that the present public health crisis relating to COVID-19 is</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sufficiently urgent that use of Licensed Product in the COVID-19 Field should commence as soon as practicable and that steps to streamline Lilly’s Development and regulatory response related to the Licensed Product in the COVID-19 Field should be implemented as between the Parties and pursuant to the Agreement, the LOU and this Letter Agreement.</w:t>
      </w:r>
    </w:p>
    <w:p>
      <w:pPr>
        <w:spacing w:after="0" w:line="164" w:lineRule="exact"/>
        <w:rPr>
          <w:rFonts w:ascii="Arial" w:cs="Arial" w:eastAsia="Arial" w:hAnsi="Arial"/>
          <w:sz w:val="17"/>
          <w:szCs w:val="17"/>
          <w:color w:val="auto"/>
        </w:rPr>
      </w:pPr>
    </w:p>
    <w:p>
      <w:pPr>
        <w:ind w:left="660" w:right="20" w:hanging="328"/>
        <w:spacing w:after="0" w:line="267" w:lineRule="auto"/>
        <w:tabs>
          <w:tab w:leader="none" w:pos="666"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Commercialization Generally</w:t>
      </w:r>
      <w:r>
        <w:rPr>
          <w:rFonts w:ascii="Arial" w:cs="Arial" w:eastAsia="Arial" w:hAnsi="Arial"/>
          <w:sz w:val="17"/>
          <w:szCs w:val="17"/>
          <w:color w:val="auto"/>
        </w:rPr>
        <w:t>. During the Term, Lilly may Commercialize the Licensed Product for use in the COVID-19</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Field without the obligations of Section 5.1 of the Agreement (solely with respect to the COVID-19 Field) and, to the extent practicable and desired by Lilly, by distributing or selling such Licensed Product under a distinct trademark or tradename or by utilizing distinct marketing or packaging, in order to distinguish such product from the Licensed Product generally (and that, where such alternative trademark, trade name, marketing or packaging is in fact utilized by Lilly, the foregoing right shall expressly survive any termination or expiry of this Letter Agreement). Lilly may also issue press releases, publish scientific articles, and engage media with respect to the use of the Licensed Product in the COVID-19 Field subject to the terms of Sections 11.3 and 11.4 of the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Sections shall be amended solely in respect of the Development or Commercialization of Licensed Products in the COVID-19 Field as follows: (a) the notice periods set forth in Section 11.3(a) and Section 11.3(b)(iii) shall be reduced from [***] and [***], respectively, to [***]; and (b) the review period (for comments on Publications) set forth in the first sentence of Section 11.4 and the delay period (for the opportunity to prepare and file a patent application) set forth in the second sentence of Section 11.4 shall be reduced from [***] and [***], respectively, to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of (a) and (b) that Lilly shall use its reasonable efforts to provide Incyte with advance notice of any publications, publicity or media engagements relating to the use of the Licensed Product in the COVID-19 Field. For clarity, Lilly satisfies its obligations upon Incyte’s review and comment of initial drafts of communications and is not required to wait such [***] periods for further Incyte comment with respect to subsequent revisions of the same communications, provided (a) the changes in such subsequent communications do not introduce substantive new matters, and (b) Lilly shall use commercially reasonable efforts to inform Incyte of material updates thereto. Notwithstanding the foregoing sentences in this Section 2, (i) Incyte shall, at the request of Lilly, reasonably endeavor to respond to Lilly more quickly than the stated timelines, including but not limited to where Lilly seeks publication rights and no patentable invention is implicated, (ii) in the event of a safety issue regarding baricitinib that requires Lilly to make a public announcement or press release or engage media, then Lilly may do so with shorter or, only if necessary, no notice to Incyte, provided that Lilly immediately thereafter (and in any event [***]) informs Incyte and provides a reasonable explanation for the decision not to provide advance notice, and (iii) in the event of matters that require [***] response (such as, without limitation, [***] media bookings for executives or breaking developments in a trial that extend beyond safety), where giving Incyte [***] to review proposed communications is [***], such review [***], so long as Lilly [***], in which case, consistent with subsection (b) of this Section 2, Lilly shall immediately inform Incyte prior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98" w:name="page99"/>
    <w:bookmarkEnd w:id="98"/>
    <w:p>
      <w:pPr>
        <w:ind w:left="328"/>
        <w:spacing w:after="0"/>
        <w:rPr>
          <w:sz w:val="20"/>
          <w:szCs w:val="20"/>
          <w:color w:val="auto"/>
        </w:rPr>
      </w:pPr>
      <w:r>
        <w:rPr>
          <w:rFonts w:ascii="Arial" w:cs="Arial" w:eastAsia="Arial" w:hAnsi="Arial"/>
          <w:sz w:val="18"/>
          <w:szCs w:val="18"/>
          <w:color w:val="auto"/>
        </w:rPr>
        <w:t>making such communication and the Parties will work together to allow Incyte to protect such intellectual property.</w:t>
      </w:r>
    </w:p>
    <w:p>
      <w:pPr>
        <w:spacing w:after="0" w:line="221" w:lineRule="exact"/>
        <w:rPr>
          <w:sz w:val="20"/>
          <w:szCs w:val="20"/>
          <w:color w:val="auto"/>
        </w:rPr>
      </w:pPr>
    </w:p>
    <w:p>
      <w:pPr>
        <w:ind w:left="328" w:right="20" w:hanging="328"/>
        <w:spacing w:after="0" w:line="271" w:lineRule="auto"/>
        <w:tabs>
          <w:tab w:leader="none" w:pos="334"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Emergency and Compassionate Use; Expanded Access; Humanitarian Supply</w:t>
      </w:r>
      <w:r>
        <w:rPr>
          <w:rFonts w:ascii="Arial" w:cs="Arial" w:eastAsia="Arial" w:hAnsi="Arial"/>
          <w:sz w:val="17"/>
          <w:szCs w:val="17"/>
          <w:color w:val="auto"/>
        </w:rPr>
        <w:t>. The Parties each acknowledge and agree</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present public health crisis relating to COVID-19 may warrant distribution of donated product by Lilly or the Lilly Foundation: (a) through so-called expanded access, compassionate use or similar programs, or (b) to governments, NGOs, quasi-governmental, multinational, supranational or international organizations, world health organizations, not-for-profit hospitals and other similar entities, and, in each case of (a) and (b), any such donated Licensed Product distributed through such programs or to such recipients shall not be counted in the calculation of “Net Sales” under the Agreement or hereunder provided that Lilly receives no reimbursement or compensation, whether monetarily or in-kind, therefore. In the event that Lilly receives such monetary or in-kind reimbursement or compensation, the Parties shall agree in good faith on a method of tracking and computing such amounts for purposes of the Net Sales calculation.</w:t>
      </w:r>
    </w:p>
    <w:p>
      <w:pPr>
        <w:spacing w:after="0" w:line="173" w:lineRule="exact"/>
        <w:rPr>
          <w:rFonts w:ascii="Arial" w:cs="Arial" w:eastAsia="Arial" w:hAnsi="Arial"/>
          <w:sz w:val="17"/>
          <w:szCs w:val="17"/>
          <w:color w:val="auto"/>
        </w:rPr>
      </w:pPr>
    </w:p>
    <w:p>
      <w:pPr>
        <w:ind w:left="328" w:hanging="328"/>
        <w:spacing w:after="0" w:line="272" w:lineRule="auto"/>
        <w:tabs>
          <w:tab w:leader="none" w:pos="334"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COVID-19 Field</w:t>
      </w:r>
      <w:r>
        <w:rPr>
          <w:rFonts w:ascii="Arial" w:cs="Arial" w:eastAsia="Arial" w:hAnsi="Arial"/>
          <w:sz w:val="17"/>
          <w:szCs w:val="17"/>
          <w:color w:val="auto"/>
        </w:rPr>
        <w:t>. For the purposes of the administration of the Agreement and this Letter Agreement, the Parties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and agree that (a) the use of the Licensed Product in the COVID-19 Field will be deemed to fall under the definition of “Additional Field” (and the Parties each acknowledge and agree that execution of this Letter Agreement shall constitute satisfactory written notice thereof pursuant to Section 2.4 of the Agreement for the purposes set forth herein), and (b) where there is a conflict with respect to the use of the Licensed Product in the COVID-19 Field between the terms of the Agreement and this Letter Agreement, the terms of this Letter Agreement will apply. Such application of “Additional Field” to the COVID-19 Work shall not limit Lilly’s ability in any way to conduct activities acknowledging, supporting or advancing the idea that the Licensed Product may impact COVID-19 through inflammatory response.</w:t>
      </w:r>
    </w:p>
    <w:p>
      <w:pPr>
        <w:spacing w:after="0" w:line="175" w:lineRule="exact"/>
        <w:rPr>
          <w:rFonts w:ascii="Arial" w:cs="Arial" w:eastAsia="Arial" w:hAnsi="Arial"/>
          <w:sz w:val="17"/>
          <w:szCs w:val="17"/>
          <w:b w:val="1"/>
          <w:bCs w:val="1"/>
          <w:color w:val="auto"/>
        </w:rPr>
      </w:pPr>
    </w:p>
    <w:p>
      <w:pPr>
        <w:ind w:left="328" w:right="160"/>
        <w:spacing w:after="0" w:line="301" w:lineRule="auto"/>
        <w:rPr>
          <w:rFonts w:ascii="Arial" w:cs="Arial" w:eastAsia="Arial" w:hAnsi="Arial"/>
          <w:sz w:val="17"/>
          <w:szCs w:val="17"/>
          <w:b w:val="1"/>
          <w:bCs w:val="1"/>
          <w:color w:val="auto"/>
        </w:rPr>
      </w:pPr>
      <w:r>
        <w:rPr>
          <w:rFonts w:ascii="Arial" w:cs="Arial" w:eastAsia="Arial" w:hAnsi="Arial"/>
          <w:sz w:val="16"/>
          <w:szCs w:val="16"/>
          <w:color w:val="auto"/>
        </w:rPr>
        <w:t>If the Parties identify some other element of the Agreement not contemplated by the Parties in creating this Letter Agreement that has been or may be triggered by Development or Commercialization of the Licensed Product within the COVID-19 Field, the Parties agree to consult in good faith to determine if any of the terms of the Agreement should be applicable to such activities, and if so, whether further modification of the Agreement terms as relate thereto is warranted.</w:t>
      </w:r>
    </w:p>
    <w:p>
      <w:pPr>
        <w:spacing w:after="0" w:line="153" w:lineRule="exact"/>
        <w:rPr>
          <w:rFonts w:ascii="Arial" w:cs="Arial" w:eastAsia="Arial" w:hAnsi="Arial"/>
          <w:sz w:val="17"/>
          <w:szCs w:val="17"/>
          <w:b w:val="1"/>
          <w:bCs w:val="1"/>
          <w:color w:val="auto"/>
        </w:rPr>
      </w:pPr>
    </w:p>
    <w:p>
      <w:pPr>
        <w:ind w:left="328" w:hanging="328"/>
        <w:spacing w:after="0" w:line="261"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Application of LOU</w:t>
      </w:r>
      <w:r>
        <w:rPr>
          <w:rFonts w:ascii="Arial" w:cs="Arial" w:eastAsia="Arial" w:hAnsi="Arial"/>
          <w:sz w:val="18"/>
          <w:szCs w:val="18"/>
          <w:color w:val="auto"/>
        </w:rPr>
        <w:t>. The Parties acknowledge and agree that Sections 1, 3, 4, 5 and the first sentence of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LOU shall each continue to apply on their terms. For clarity, Lilly confirms that the conduct of Development or Commercialization by Incyte, Novartis International Pharmaceutical Ltd., and its and their affiliates or licensees of ruxolitinib in the COVID-19 Field remains a permitted activity.</w:t>
      </w:r>
    </w:p>
    <w:p>
      <w:pPr>
        <w:spacing w:after="0" w:line="179" w:lineRule="exact"/>
        <w:rPr>
          <w:rFonts w:ascii="Arial" w:cs="Arial" w:eastAsia="Arial" w:hAnsi="Arial"/>
          <w:sz w:val="18"/>
          <w:szCs w:val="18"/>
          <w:color w:val="auto"/>
        </w:rPr>
      </w:pPr>
    </w:p>
    <w:p>
      <w:pPr>
        <w:ind w:left="328" w:right="140" w:hanging="328"/>
        <w:spacing w:after="0" w:line="266"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Excluded Options</w:t>
      </w:r>
      <w:r>
        <w:rPr>
          <w:rFonts w:ascii="Arial" w:cs="Arial" w:eastAsia="Arial" w:hAnsi="Arial"/>
          <w:sz w:val="18"/>
          <w:szCs w:val="18"/>
          <w:color w:val="auto"/>
        </w:rPr>
        <w:t>. The Co-Development Option contemplated under Section 4.4 of the Agreement, and the Co-Promotion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contemplated in Section 5.4 of the Agreement, shall in each case not apply to the Development and Commercialization of Licensed Product in the COVID-19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357505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81" w:right="999" w:bottom="1440" w:gutter="0" w:footer="0" w:header="0"/>
        </w:sectPr>
      </w:pPr>
    </w:p>
    <w:bookmarkStart w:id="99" w:name="page100"/>
    <w:bookmarkEnd w:id="99"/>
    <w:p>
      <w:pPr>
        <w:ind w:left="328" w:hanging="328"/>
        <w:spacing w:after="0" w:line="286" w:lineRule="auto"/>
        <w:tabs>
          <w:tab w:leader="none" w:pos="334"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Governance</w:t>
      </w:r>
      <w:r>
        <w:rPr>
          <w:rFonts w:ascii="Arial" w:cs="Arial" w:eastAsia="Arial" w:hAnsi="Arial"/>
          <w:sz w:val="16"/>
          <w:szCs w:val="16"/>
          <w:color w:val="auto"/>
        </w:rPr>
        <w:t>. Pursuant to Section 3.7 of the Agreement, the Parties agree to adjust the existing governance structure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COVID-19, to ensure efficient operation of the collaboration in respect of the Commercialization of Licensed Product in the COVID-19 Field. Accordingly, Sections 3.1(b), 3.3, 3.4 and 3.5(a) and (b) of the Agreement shall not apply only in respect of decision-making relating to the Development or Commercialization of Licensed Products for use in the COVID-19 Field. Lilly shall have final decision-making authority, provided that with respect thereto, Section 3.5(c) shall continue to apply. For clarity, with respect to reserving Incyte consent rights as contemplated by Section 3.5(c), the parties acknowledge that no Incyte consents are contemplated by the Agreement with respect to Lilly’s discussions regarding protocols, charitable transactions, government transactions or other such strategic Commercialization and Development decisions. Notwithstanding the foregoing, (a) Lilly shall provide updates to the JDC in respect of its Development and Commercialization of the Licensed Product in the COVID-19 Field, and (b) nothing in this Section 7 is intended to provide the discretion to Lilly to make any decision or take any action that would intentionally, or would be expected to, be materially detrimental to Development or Commercialization of the Licensed Product outside the COVID-19 Field. For clarity, the foregoing clause of this Section 7 does not implicate ordinary course outcomes of Developing the Licensed Product (such as adverse safety findings) or ordinary course outcomes of Commercializing (such as failure to obtain Regulatory Approvals, prices imposed by governments or restrictions placed by Regulatory Authorities as outcomes of ordinary course regulatory negotiations).</w:t>
      </w:r>
    </w:p>
    <w:p>
      <w:pPr>
        <w:spacing w:after="0" w:line="167" w:lineRule="exact"/>
        <w:rPr>
          <w:rFonts w:ascii="Arial" w:cs="Arial" w:eastAsia="Arial" w:hAnsi="Arial"/>
          <w:sz w:val="16"/>
          <w:szCs w:val="16"/>
          <w:b w:val="1"/>
          <w:bCs w:val="1"/>
          <w:color w:val="auto"/>
        </w:rPr>
      </w:pPr>
    </w:p>
    <w:p>
      <w:pPr>
        <w:ind w:left="328" w:hanging="328"/>
        <w:spacing w:after="0" w:line="271" w:lineRule="auto"/>
        <w:tabs>
          <w:tab w:leader="none" w:pos="334"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Sublicensing</w:t>
      </w:r>
      <w:r>
        <w:rPr>
          <w:rFonts w:ascii="Arial" w:cs="Arial" w:eastAsia="Arial" w:hAnsi="Arial"/>
          <w:sz w:val="17"/>
          <w:szCs w:val="17"/>
          <w:color w:val="auto"/>
        </w:rPr>
        <w:t>. Section 2.2 of the Agreement shall not apply only in respect of the Development or Commercialization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Products in the COVID-19 Field. Instead, Lilly may sublicense its rights (including through multiple tiers), in whole or in part, on a country-by-country basis (including in any Major Market), solely in respect of its Development and Commercialization of the Licensed Products in the COVID-19 Field;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Lilly (a) provide written notice to Incyte of any exclusive sublicenses granted and shall provide Incyte with an executed copy of any such sublicense (redacted as necessary to protect confidential or commercially sensitive information), (b) remain jointly and severally liable for its sublicensees’ compliance with the terms of the Agreement, as modified by this Letter Agreement, and (c) guarantee the compliance by each of its sublicensees with all applicable restrictions and limitations. The terms of Section 2.2 of the Agreement shall otherwise continue apply to any other sublicensing by Lilly.</w:t>
      </w:r>
    </w:p>
    <w:p>
      <w:pPr>
        <w:spacing w:after="0" w:line="173" w:lineRule="exact"/>
        <w:rPr>
          <w:rFonts w:ascii="Arial" w:cs="Arial" w:eastAsia="Arial" w:hAnsi="Arial"/>
          <w:sz w:val="17"/>
          <w:szCs w:val="17"/>
          <w:b w:val="1"/>
          <w:bCs w:val="1"/>
          <w:color w:val="auto"/>
        </w:rPr>
      </w:pPr>
    </w:p>
    <w:p>
      <w:pPr>
        <w:ind w:left="328" w:right="520" w:hanging="328"/>
        <w:spacing w:after="0" w:line="282" w:lineRule="auto"/>
        <w:tabs>
          <w:tab w:leader="none" w:pos="33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Incremental Co-Development Royalty Terms</w:t>
      </w:r>
      <w:r>
        <w:rPr>
          <w:rFonts w:ascii="Arial" w:cs="Arial" w:eastAsia="Arial" w:hAnsi="Arial"/>
          <w:sz w:val="18"/>
          <w:szCs w:val="18"/>
          <w:color w:val="auto"/>
        </w:rPr>
        <w:t>. For clarity, no Incremental Co-Development Royalty terms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COVID-19 Field sales.</w:t>
      </w:r>
    </w:p>
    <w:p>
      <w:pPr>
        <w:spacing w:after="0" w:line="161" w:lineRule="exact"/>
        <w:rPr>
          <w:rFonts w:ascii="Arial" w:cs="Arial" w:eastAsia="Arial" w:hAnsi="Arial"/>
          <w:sz w:val="18"/>
          <w:szCs w:val="18"/>
          <w:b w:val="1"/>
          <w:bCs w:val="1"/>
          <w:color w:val="auto"/>
        </w:rPr>
      </w:pPr>
    </w:p>
    <w:p>
      <w:pPr>
        <w:ind w:left="328" w:hanging="328"/>
        <w:spacing w:after="0"/>
        <w:tabs>
          <w:tab w:leader="none" w:pos="32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Milestones and Royalties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968" w:right="140" w:hanging="324"/>
        <w:spacing w:after="0" w:line="281"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u w:val="single" w:color="auto"/>
          <w:color w:val="auto"/>
        </w:rPr>
        <w:t>Development and Regulatory Milestones</w:t>
      </w:r>
      <w:r>
        <w:rPr>
          <w:rFonts w:ascii="Arial" w:cs="Arial" w:eastAsia="Arial" w:hAnsi="Arial"/>
          <w:sz w:val="17"/>
          <w:szCs w:val="17"/>
          <w:color w:val="auto"/>
        </w:rPr>
        <w:t>. Lilly will not owe any of the Development or Regulatory milestones described in Section 7.2(a) of the Agreement with respect to the use of the Licensed Products in the COVID-19 Field. For clarity, the Development and Regulatory Milestones (and payments related thereto) set forth in Section 7.2(a) of the Agreement, and as may otherwise be added for other Licensed Products in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357505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77" w:right="999" w:bottom="1440" w:gutter="0" w:footer="0" w:header="0"/>
        </w:sectPr>
      </w:pPr>
    </w:p>
    <w:bookmarkStart w:id="100" w:name="page101"/>
    <w:bookmarkEnd w:id="100"/>
    <w:p>
      <w:pPr>
        <w:ind w:left="840" w:right="80"/>
        <w:spacing w:after="0" w:line="277" w:lineRule="auto"/>
        <w:rPr>
          <w:sz w:val="20"/>
          <w:szCs w:val="20"/>
          <w:color w:val="auto"/>
        </w:rPr>
      </w:pPr>
      <w:r>
        <w:rPr>
          <w:rFonts w:ascii="Arial" w:cs="Arial" w:eastAsia="Arial" w:hAnsi="Arial"/>
          <w:sz w:val="18"/>
          <w:szCs w:val="18"/>
          <w:color w:val="auto"/>
        </w:rPr>
        <w:t>Field as addressed by Section 2.4 of the Agreement, shall remain in place for uses of the Licensed Product in the Field and Additional Fields which are not in the COVID-19 Field.</w:t>
      </w:r>
    </w:p>
    <w:p>
      <w:pPr>
        <w:spacing w:after="0" w:line="166" w:lineRule="exact"/>
        <w:rPr>
          <w:sz w:val="20"/>
          <w:szCs w:val="20"/>
          <w:color w:val="auto"/>
        </w:rPr>
      </w:pPr>
    </w:p>
    <w:p>
      <w:pPr>
        <w:ind w:left="840" w:right="40" w:hanging="320"/>
        <w:spacing w:after="0" w:line="271" w:lineRule="auto"/>
        <w:tabs>
          <w:tab w:leader="none" w:pos="876"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COVID-19 Field-Specific Incremental Royalties</w:t>
      </w:r>
      <w:r>
        <w:rPr>
          <w:rFonts w:ascii="Arial" w:cs="Arial" w:eastAsia="Arial" w:hAnsi="Arial"/>
          <w:sz w:val="17"/>
          <w:szCs w:val="17"/>
          <w:color w:val="auto"/>
        </w:rPr>
        <w:t>. Notwithstanding anything in subsection a. of this Section 10 or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Agreement, in addition to the royalties set forth in subsection c. of this Section 10, Lilly shall pay to Incyte royalties on cumulative (since the date of this Letter Agreement) aggregate worldwide Net Sales of all Licensed Products in the COVID-19 Field in excess of [***] at a rate of [***] (the “</w:t>
      </w:r>
      <w:r>
        <w:rPr>
          <w:rFonts w:ascii="Arial" w:cs="Arial" w:eastAsia="Arial" w:hAnsi="Arial"/>
          <w:sz w:val="17"/>
          <w:szCs w:val="17"/>
          <w:u w:val="single" w:color="auto"/>
          <w:color w:val="auto"/>
        </w:rPr>
        <w:t>COVID-19 Field-Specific 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Royalties</w:t>
      </w:r>
      <w:r>
        <w:rPr>
          <w:rFonts w:ascii="Arial" w:cs="Arial" w:eastAsia="Arial" w:hAnsi="Arial"/>
          <w:sz w:val="17"/>
          <w:szCs w:val="17"/>
          <w:color w:val="auto"/>
        </w:rPr>
        <w:t>”). Payment of the COVID-19 Field-Specific Incremental Royalties in this Section 10.b. shall be determined based on Net Sales of the Licensed Products in the COVID-19 Field made by Lilly and its Affiliates and sublicensees throughout the Territory, as determined by the calculations set forth in subsections d. and e. of this Section 10. Sections 7.4 through 7.9 of the Agreement shall apply to such COVID-19 Field-Specific Incremental Royalties as they do to the royalties set forth in Section 7.3(a) of the Agreement.</w:t>
      </w:r>
    </w:p>
    <w:p>
      <w:pPr>
        <w:spacing w:after="0" w:line="173" w:lineRule="exact"/>
        <w:rPr>
          <w:rFonts w:ascii="Arial" w:cs="Arial" w:eastAsia="Arial" w:hAnsi="Arial"/>
          <w:sz w:val="17"/>
          <w:szCs w:val="17"/>
          <w:color w:val="auto"/>
        </w:rPr>
      </w:pPr>
    </w:p>
    <w:p>
      <w:pPr>
        <w:ind w:left="840" w:right="40" w:hanging="320"/>
        <w:spacing w:after="0" w:line="303" w:lineRule="auto"/>
        <w:tabs>
          <w:tab w:leader="none" w:pos="866"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Royalties and Sales Milestones</w:t>
      </w:r>
      <w:r>
        <w:rPr>
          <w:rFonts w:ascii="Arial" w:cs="Arial" w:eastAsia="Arial" w:hAnsi="Arial"/>
          <w:sz w:val="16"/>
          <w:szCs w:val="16"/>
          <w:b w:val="1"/>
          <w:bCs w:val="1"/>
          <w:color w:val="auto"/>
        </w:rPr>
        <w:t xml:space="preserve">. </w:t>
      </w:r>
      <w:r>
        <w:rPr>
          <w:rFonts w:ascii="Arial" w:cs="Arial" w:eastAsia="Arial" w:hAnsi="Arial"/>
          <w:sz w:val="16"/>
          <w:szCs w:val="16"/>
          <w:color w:val="auto"/>
        </w:rPr>
        <w:t>For clarity, aggregate worldwide Net Sales from Commercialization of the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in the COVID-19 Field shall also be included in the calculation of aggregate worldwide Net Sales of Licensed Product, as set forth in Section 7.3(a) of the Agreement for purposes of determining royalties payable to Incyte and in Section 7.2(b) of the Agreement for purposes of determining Sales Milestones payable to Incyte.</w:t>
      </w:r>
    </w:p>
    <w:p>
      <w:pPr>
        <w:spacing w:after="0" w:line="150" w:lineRule="exact"/>
        <w:rPr>
          <w:rFonts w:ascii="Arial" w:cs="Arial" w:eastAsia="Arial" w:hAnsi="Arial"/>
          <w:sz w:val="16"/>
          <w:szCs w:val="16"/>
          <w:color w:val="auto"/>
        </w:rPr>
      </w:pPr>
    </w:p>
    <w:p>
      <w:pPr>
        <w:ind w:left="840" w:right="80" w:hanging="320"/>
        <w:spacing w:after="0" w:line="261" w:lineRule="auto"/>
        <w:tabs>
          <w:tab w:leader="none" w:pos="876"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Calculation of US COVID-19 Sales</w:t>
      </w:r>
      <w:r>
        <w:rPr>
          <w:rFonts w:ascii="Arial" w:cs="Arial" w:eastAsia="Arial" w:hAnsi="Arial"/>
          <w:sz w:val="18"/>
          <w:szCs w:val="18"/>
          <w:color w:val="auto"/>
        </w:rPr>
        <w:t>: In the United Sates, in order to determine Net Sales of Licensed Product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COVID-19 Field (as opposed to for other Indications) for purposes of determining the COVID-19 Field-Specific Incremental Royalties per this Section 10 and for tracking Net Sales for royalty calculations and sales milestones per the Agreement the Parties agree as follows:</w:t>
      </w:r>
    </w:p>
    <w:p>
      <w:pPr>
        <w:spacing w:after="0" w:line="183" w:lineRule="exact"/>
        <w:rPr>
          <w:rFonts w:ascii="Arial" w:cs="Arial" w:eastAsia="Arial" w:hAnsi="Arial"/>
          <w:sz w:val="18"/>
          <w:szCs w:val="18"/>
          <w:color w:val="auto"/>
        </w:rPr>
      </w:pPr>
    </w:p>
    <w:p>
      <w:pPr>
        <w:ind w:left="1500" w:hanging="332"/>
        <w:spacing w:after="0" w:line="287" w:lineRule="auto"/>
        <w:tabs>
          <w:tab w:leader="none" w:pos="1496"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Lilly will supplement forecasts using commercially available market reports published by IQVIA Holdings Inc. or a commercially reasonably equivalent health information and analytics company, to identify Licensed Product sales in the United States broken down by both product and indication, together with such in-house analytics, tracking data and modelling as Lilly considers useful in identifying market share of Licensed Product indications. Incyte shall have the right to review such analytics, data and modeling and provide its input and comments thereto to Lilly. Lilly shall consider in good faith and discuss with Incyte any concerns raised by Incyte with respect to Lilly’s reports of Net Sales by Indication and its analysis and methodology of tracking such Net Sales by Indication. If during this process Lilly and Incyte identify diversion of COVID-19 sales for use in other indications, for example as evidenced by material reductions in sales in non-COVID-19 indications that correlate with bulk COVID-19 sales, the parties will in good faith determine true-up payments to be made such that royalties paid reflect the rates applicable to the mutually agreed utilization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81" w:right="1019" w:bottom="1440" w:gutter="0" w:footer="0" w:header="0"/>
        </w:sectPr>
      </w:pPr>
    </w:p>
    <w:bookmarkStart w:id="101" w:name="page102"/>
    <w:bookmarkEnd w:id="101"/>
    <w:p>
      <w:pPr>
        <w:ind w:left="1500" w:right="20" w:hanging="332"/>
        <w:spacing w:after="0" w:line="273" w:lineRule="auto"/>
        <w:tabs>
          <w:tab w:leader="none" w:pos="1501" w:val="left"/>
        </w:tabs>
        <w:numPr>
          <w:ilvl w:val="1"/>
          <w:numId w:val="52"/>
        </w:numPr>
        <w:rPr>
          <w:rFonts w:ascii="Arial" w:cs="Arial" w:eastAsia="Arial" w:hAnsi="Arial"/>
          <w:sz w:val="17"/>
          <w:szCs w:val="17"/>
          <w:b w:val="1"/>
          <w:bCs w:val="1"/>
          <w:color w:val="auto"/>
        </w:rPr>
      </w:pPr>
      <w:r>
        <w:rPr>
          <w:rFonts w:ascii="Arial" w:cs="Arial" w:eastAsia="Arial" w:hAnsi="Arial"/>
          <w:sz w:val="17"/>
          <w:szCs w:val="17"/>
          <w:color w:val="auto"/>
        </w:rPr>
        <w:t>For clarity, sales made to governmental entities shall be included in Net Sales (subject to Section 3 hereof with respect to donated Licensed Product). However, the Parties agree that should a sale be subject to a government tender at a substantially discounted price, such that the Net Sales would not exceed the sum of the Cost of Goods Sold and the Incyte royalty payments for such sale, the Parties will negotiate in good faith with respect to royalties applicable to such sale. If no such revisions are agreeable to both Parties, Lilly shall have the right to instead donate the Licensed Product.</w:t>
      </w:r>
    </w:p>
    <w:p>
      <w:pPr>
        <w:spacing w:after="0" w:line="177" w:lineRule="exact"/>
        <w:rPr>
          <w:rFonts w:ascii="Arial" w:cs="Arial" w:eastAsia="Arial" w:hAnsi="Arial"/>
          <w:sz w:val="17"/>
          <w:szCs w:val="17"/>
          <w:b w:val="1"/>
          <w:bCs w:val="1"/>
          <w:color w:val="auto"/>
        </w:rPr>
      </w:pPr>
    </w:p>
    <w:p>
      <w:pPr>
        <w:ind w:left="1500" w:right="140" w:hanging="332"/>
        <w:spacing w:after="0" w:line="277" w:lineRule="auto"/>
        <w:tabs>
          <w:tab w:leader="none" w:pos="1506"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Net Sales reports and payments related to COVID-19 Field revenues shall be subject to Sections 7.5, 7.6 and 12.1 of the Agreement.</w:t>
      </w:r>
    </w:p>
    <w:p>
      <w:pPr>
        <w:spacing w:after="0" w:line="166" w:lineRule="exact"/>
        <w:rPr>
          <w:rFonts w:ascii="Arial" w:cs="Arial" w:eastAsia="Arial" w:hAnsi="Arial"/>
          <w:sz w:val="18"/>
          <w:szCs w:val="18"/>
          <w:b w:val="1"/>
          <w:bCs w:val="1"/>
          <w:color w:val="auto"/>
        </w:rPr>
      </w:pPr>
    </w:p>
    <w:p>
      <w:pPr>
        <w:ind w:left="840" w:right="60" w:hanging="320"/>
        <w:spacing w:after="0" w:line="261" w:lineRule="auto"/>
        <w:tabs>
          <w:tab w:leader="none" w:pos="86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Calculation of Non-US COVID-19 Sales: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countries outside the United States, in order to determine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Licensed Product in the COVID-19 Field (as opposed to for other Indications) for purposes of determining the COVID-19 Field-Specific Incremental Royalties per this Section 10 and for tracking Net Sales for royalty calculations and sales milestones per the Agreement, the Parties agree as follows:</w:t>
      </w:r>
    </w:p>
    <w:p>
      <w:pPr>
        <w:spacing w:after="0" w:line="183" w:lineRule="exact"/>
        <w:rPr>
          <w:rFonts w:ascii="Arial" w:cs="Arial" w:eastAsia="Arial" w:hAnsi="Arial"/>
          <w:sz w:val="18"/>
          <w:szCs w:val="18"/>
          <w:b w:val="1"/>
          <w:bCs w:val="1"/>
          <w:color w:val="auto"/>
        </w:rPr>
      </w:pPr>
    </w:p>
    <w:p>
      <w:pPr>
        <w:ind w:left="1500" w:hanging="332"/>
        <w:spacing w:after="0" w:line="268" w:lineRule="auto"/>
        <w:tabs>
          <w:tab w:leader="none" w:pos="1496"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From time to time, Lilly and Incyte shall instruct representatives of their finance and alliance management teams to meet to discuss demand models and market share methodologies. Lilly shall generate good faith forecasts of demand for the Licensed Product using commercially available market reports, in-house analytics, tracking data and modelling as Lilly considers reasonable to determine which sales are attributable to rheumatoid arthritis, COVID-19 or other Indications. Lilly will use this analysis and provide its methodology along with royalty payments when due under the terms of the Agreement. Incyte shall have the right to review such analysis and methodology and provide its input and comments thereto to Lilly. Lilly shall consider in good faith and discuss with Incyte any concerns raised by Incyte with respect to Lilly’s reports of Net Sales by Indication and its analysis and methodology of tracking such Net Sales by Indication. If during this process Lilly and Incyte identify diversion of COVID-19 sales for use in other indications, for example as evidenced by material reductions in sales in non-COVID-19 indications that correlate with bulk COVID-19 sales, the parties will in good faith determine true-up payments to be made such that royalties paid reflect the rates applicable to the mutually agreed utilization split.</w:t>
      </w:r>
    </w:p>
    <w:p>
      <w:pPr>
        <w:spacing w:after="0" w:line="186" w:lineRule="exact"/>
        <w:rPr>
          <w:rFonts w:ascii="Arial" w:cs="Arial" w:eastAsia="Arial" w:hAnsi="Arial"/>
          <w:sz w:val="17"/>
          <w:szCs w:val="17"/>
          <w:b w:val="1"/>
          <w:bCs w:val="1"/>
          <w:color w:val="auto"/>
        </w:rPr>
      </w:pPr>
    </w:p>
    <w:p>
      <w:pPr>
        <w:ind w:left="1500" w:right="20" w:hanging="332"/>
        <w:spacing w:after="0" w:line="273" w:lineRule="auto"/>
        <w:tabs>
          <w:tab w:leader="none" w:pos="1501" w:val="left"/>
        </w:tabs>
        <w:numPr>
          <w:ilvl w:val="1"/>
          <w:numId w:val="53"/>
        </w:numPr>
        <w:rPr>
          <w:rFonts w:ascii="Arial" w:cs="Arial" w:eastAsia="Arial" w:hAnsi="Arial"/>
          <w:sz w:val="17"/>
          <w:szCs w:val="17"/>
          <w:b w:val="1"/>
          <w:bCs w:val="1"/>
          <w:color w:val="auto"/>
        </w:rPr>
      </w:pPr>
      <w:r>
        <w:rPr>
          <w:rFonts w:ascii="Arial" w:cs="Arial" w:eastAsia="Arial" w:hAnsi="Arial"/>
          <w:sz w:val="17"/>
          <w:szCs w:val="17"/>
          <w:color w:val="auto"/>
        </w:rPr>
        <w:t>For clarity, sales made to governmental entities shall be included in Net Sales (subject to Section 3 hereof with respect to donated Licensed Product). However, the Parties agree that should a sale be subject to a government tender at a substantially discounted price, such that the Net Sales would not exceed the sum of the Cost of Goods Sold and the Incyte royalty payments for such sale, the Parties will negotiate in good faith with respect to royalties applicable to such sale. If no such revisions are agreeable to both Parties, Lilly shall have the right to instead donate the Licensed Product.</w:t>
      </w:r>
    </w:p>
    <w:p>
      <w:pPr>
        <w:spacing w:after="0" w:line="177" w:lineRule="exact"/>
        <w:rPr>
          <w:rFonts w:ascii="Arial" w:cs="Arial" w:eastAsia="Arial" w:hAnsi="Arial"/>
          <w:sz w:val="17"/>
          <w:szCs w:val="17"/>
          <w:b w:val="1"/>
          <w:bCs w:val="1"/>
          <w:color w:val="auto"/>
        </w:rPr>
      </w:pPr>
    </w:p>
    <w:p>
      <w:pPr>
        <w:ind w:left="1500" w:right="140" w:hanging="332"/>
        <w:spacing w:after="0" w:line="277" w:lineRule="auto"/>
        <w:tabs>
          <w:tab w:leader="none" w:pos="1506"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Net Sales reports and payments related to COVID-19 Field revenues shall be subject to Sections 7.5, 7.6 and 12.1 of the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81" w:right="999" w:bottom="1440" w:gutter="0" w:footer="0" w:header="0"/>
        </w:sectPr>
      </w:pPr>
    </w:p>
    <w:bookmarkStart w:id="102" w:name="page103"/>
    <w:bookmarkEnd w:id="102"/>
    <w:p>
      <w:pPr>
        <w:ind w:left="660" w:hanging="328"/>
        <w:spacing w:after="0" w:line="282" w:lineRule="auto"/>
        <w:tabs>
          <w:tab w:leader="none" w:pos="65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set forth herein, nothing herein shall be deemed to be a waiver by either Party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under the Agreement.</w:t>
      </w:r>
    </w:p>
    <w:p>
      <w:pPr>
        <w:spacing w:after="0" w:line="161" w:lineRule="exact"/>
        <w:rPr>
          <w:rFonts w:ascii="Arial" w:cs="Arial" w:eastAsia="Arial" w:hAnsi="Arial"/>
          <w:sz w:val="18"/>
          <w:szCs w:val="18"/>
          <w:b w:val="1"/>
          <w:bCs w:val="1"/>
          <w:color w:val="auto"/>
        </w:rPr>
      </w:pPr>
    </w:p>
    <w:p>
      <w:pPr>
        <w:ind w:left="660" w:hanging="328"/>
        <w:spacing w:after="0"/>
        <w:tabs>
          <w:tab w:leader="none" w:pos="6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All other terms and conditions of the Agreement shall remain in full force and effect.</w:t>
      </w:r>
    </w:p>
    <w:p>
      <w:pPr>
        <w:spacing w:after="0" w:line="2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the Parties by their respective authorized representatives have executed this Letter Agreement, and it is therefore effective, as of the date of last signature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INCYTE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Vijay Iyengar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608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Vijay Iyengar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Title:Executive Vice President, Global Strategy and Corporate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Anabela Cardoso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6087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Anabela Cardoso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Title:Global Brand Development Leader, Immunology</w:t>
      </w:r>
    </w:p>
    <w:p>
      <w:pPr>
        <w:spacing w:after="0" w:line="211" w:lineRule="exact"/>
        <w:rPr>
          <w:sz w:val="20"/>
          <w:szCs w:val="20"/>
          <w:color w:val="auto"/>
        </w:rPr>
      </w:pPr>
    </w:p>
    <w:p>
      <w:pPr>
        <w:jc w:val="both"/>
        <w:ind w:left="640" w:right="7280" w:hanging="631"/>
        <w:spacing w:after="0" w:line="287" w:lineRule="auto"/>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Eli Lilly and Company Lilly Corporate Center Indianapolis, IN 46285</w:t>
      </w:r>
    </w:p>
    <w:p>
      <w:pPr>
        <w:spacing w:after="0" w:line="2" w:lineRule="exact"/>
        <w:rPr>
          <w:rFonts w:ascii="Arial" w:cs="Arial" w:eastAsia="Arial" w:hAnsi="Arial"/>
          <w:sz w:val="16"/>
          <w:szCs w:val="16"/>
          <w:color w:val="auto"/>
        </w:rPr>
      </w:pPr>
    </w:p>
    <w:p>
      <w:pPr>
        <w:ind w:left="640" w:right="4580"/>
        <w:spacing w:after="0" w:line="260" w:lineRule="auto"/>
        <w:rPr>
          <w:rFonts w:ascii="Arial" w:cs="Arial" w:eastAsia="Arial" w:hAnsi="Arial"/>
          <w:sz w:val="16"/>
          <w:szCs w:val="16"/>
          <w:color w:val="auto"/>
        </w:rPr>
      </w:pPr>
      <w:r>
        <w:rPr>
          <w:rFonts w:ascii="Arial" w:cs="Arial" w:eastAsia="Arial" w:hAnsi="Arial"/>
          <w:sz w:val="18"/>
          <w:szCs w:val="18"/>
          <w:color w:val="auto"/>
        </w:rPr>
        <w:t>Attention:Vice President and President, Established Markets Attention:General Patent Counsel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877" w:right="1339" w:bottom="1440" w:gutter="0" w:footer="0" w:header="0"/>
        </w:sectPr>
      </w:pPr>
    </w:p>
    <w:bookmarkStart w:id="103" w:name="page104"/>
    <w:bookmarkEnd w:id="103"/>
    <w:p>
      <w:pPr>
        <w:ind w:right="120"/>
        <w:spacing w:after="0" w:line="277" w:lineRule="auto"/>
        <w:rPr>
          <w:sz w:val="20"/>
          <w:szCs w:val="20"/>
          <w:color w:val="auto"/>
        </w:rPr>
      </w:pPr>
      <w:r>
        <w:rPr>
          <w:rFonts w:ascii="Arial" w:cs="Arial" w:eastAsia="Arial" w:hAnsi="Arial"/>
          <w:sz w:val="18"/>
          <w:szCs w:val="18"/>
          <w:b w:val="1"/>
          <w:bCs w:val="1"/>
          <w:i w:val="1"/>
          <w:iCs w:val="1"/>
          <w:color w:val="auto"/>
        </w:rPr>
        <w:t>Certain identified information, marked by [***], has been excluded from the exhibit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254635</wp:posOffset>
            </wp:positionV>
            <wp:extent cx="1337310" cy="934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3731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0000C2"/>
        </w:rPr>
        <w:t>Incyte Corporation</w:t>
      </w:r>
    </w:p>
    <w:p>
      <w:pPr>
        <w:ind w:left="8020"/>
        <w:spacing w:after="0" w:line="226" w:lineRule="auto"/>
        <w:rPr>
          <w:sz w:val="20"/>
          <w:szCs w:val="20"/>
          <w:color w:val="auto"/>
        </w:rPr>
      </w:pPr>
      <w:r>
        <w:rPr>
          <w:rFonts w:ascii="Arial" w:cs="Arial" w:eastAsia="Arial" w:hAnsi="Arial"/>
          <w:sz w:val="14"/>
          <w:szCs w:val="14"/>
          <w:color w:val="0000C2"/>
        </w:rPr>
        <w:t>1801 Augustine Cut-Off</w:t>
      </w:r>
    </w:p>
    <w:p>
      <w:pPr>
        <w:ind w:left="8020"/>
        <w:spacing w:after="0" w:line="221" w:lineRule="auto"/>
        <w:rPr>
          <w:sz w:val="20"/>
          <w:szCs w:val="20"/>
          <w:color w:val="auto"/>
        </w:rPr>
      </w:pPr>
      <w:r>
        <w:rPr>
          <w:rFonts w:ascii="Arial" w:cs="Arial" w:eastAsia="Arial" w:hAnsi="Arial"/>
          <w:sz w:val="14"/>
          <w:szCs w:val="14"/>
          <w:color w:val="0000C2"/>
        </w:rPr>
        <w:t>Wilmington, DE 19803</w:t>
      </w:r>
    </w:p>
    <w:p>
      <w:pPr>
        <w:ind w:left="7620"/>
        <w:spacing w:after="0" w:line="222" w:lineRule="auto"/>
        <w:tabs>
          <w:tab w:leader="none" w:pos="8000" w:val="left"/>
        </w:tabs>
        <w:rPr>
          <w:sz w:val="20"/>
          <w:szCs w:val="20"/>
          <w:color w:val="auto"/>
        </w:rPr>
      </w:pPr>
      <w:r>
        <w:rPr>
          <w:rFonts w:ascii="Arial" w:cs="Arial" w:eastAsia="Arial" w:hAnsi="Arial"/>
          <w:sz w:val="14"/>
          <w:szCs w:val="14"/>
          <w:color w:val="0000C2"/>
        </w:rPr>
        <w:t>Tel</w:t>
      </w:r>
      <w:r>
        <w:rPr>
          <w:sz w:val="20"/>
          <w:szCs w:val="20"/>
          <w:color w:val="auto"/>
        </w:rPr>
        <w:tab/>
      </w:r>
      <w:r>
        <w:rPr>
          <w:rFonts w:ascii="Arial" w:cs="Arial" w:eastAsia="Arial" w:hAnsi="Arial"/>
          <w:sz w:val="14"/>
          <w:szCs w:val="14"/>
          <w:color w:val="0000C2"/>
        </w:rPr>
        <w:t>302.498.6700</w:t>
      </w:r>
    </w:p>
    <w:p>
      <w:pPr>
        <w:ind w:left="7620"/>
        <w:spacing w:after="0"/>
        <w:tabs>
          <w:tab w:leader="none" w:pos="8000" w:val="left"/>
        </w:tabs>
        <w:rPr>
          <w:sz w:val="20"/>
          <w:szCs w:val="20"/>
          <w:color w:val="auto"/>
        </w:rPr>
      </w:pPr>
      <w:r>
        <w:rPr>
          <w:rFonts w:ascii="Arial" w:cs="Arial" w:eastAsia="Arial" w:hAnsi="Arial"/>
          <w:sz w:val="14"/>
          <w:szCs w:val="14"/>
          <w:color w:val="0000C2"/>
        </w:rPr>
        <w:t>Web</w:t>
      </w:r>
      <w:r>
        <w:rPr>
          <w:sz w:val="20"/>
          <w:szCs w:val="20"/>
          <w:color w:val="auto"/>
        </w:rPr>
        <w:tab/>
      </w:r>
      <w:r>
        <w:rPr>
          <w:rFonts w:ascii="Arial" w:cs="Arial" w:eastAsia="Arial" w:hAnsi="Arial"/>
          <w:sz w:val="13"/>
          <w:szCs w:val="13"/>
          <w:color w:val="0000C2"/>
        </w:rPr>
        <w:t>www.incyte.com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Anabela Cardoso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Brand Development Leader, Immunology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Letter of understanding concerning use of baricitinib for COVID-19 as an Additional Field (the “</w:t>
      </w:r>
      <w:r>
        <w:rPr>
          <w:rFonts w:ascii="Arial" w:cs="Arial" w:eastAsia="Arial" w:hAnsi="Arial"/>
          <w:sz w:val="18"/>
          <w:szCs w:val="18"/>
          <w:u w:val="single" w:color="auto"/>
          <w:color w:val="auto"/>
        </w:rPr>
        <w:t>Letter of Understanding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Anabela: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all capitalized terms appearing in the Letter of Understanding shall have the meaning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License, Development and Commercialization Agreement by and between Incyte Corporation (“</w:t>
      </w:r>
      <w:r>
        <w:rPr>
          <w:rFonts w:ascii="Arial" w:cs="Arial" w:eastAsia="Arial" w:hAnsi="Arial"/>
          <w:sz w:val="17"/>
          <w:szCs w:val="17"/>
          <w:u w:val="single" w:color="auto"/>
          <w:color w:val="auto"/>
        </w:rPr>
        <w:t>Incyte</w:t>
      </w:r>
      <w:r>
        <w:rPr>
          <w:rFonts w:ascii="Arial" w:cs="Arial" w:eastAsia="Arial" w:hAnsi="Arial"/>
          <w:sz w:val="17"/>
          <w:szCs w:val="17"/>
          <w:color w:val="auto"/>
        </w:rPr>
        <w:t>”) and Eli Lilly and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Lilly</w:t>
      </w:r>
      <w:r>
        <w:rPr>
          <w:rFonts w:ascii="Arial" w:cs="Arial" w:eastAsia="Arial" w:hAnsi="Arial"/>
          <w:sz w:val="16"/>
          <w:szCs w:val="16"/>
          <w:color w:val="auto"/>
        </w:rPr>
        <w:t>”) effective December 18, 2009, as amended June 22, 2010, August 1, 2011, March 31, 2016 and December 13, 2016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WHEREAS, Incyte and Lilly (the “</w:t>
      </w:r>
      <w:r>
        <w:rPr>
          <w:rFonts w:ascii="Arial" w:cs="Arial" w:eastAsia="Arial" w:hAnsi="Arial"/>
          <w:sz w:val="18"/>
          <w:szCs w:val="18"/>
          <w:u w:val="single" w:color="auto"/>
          <w:color w:val="auto"/>
        </w:rPr>
        <w:t>Parties</w:t>
      </w:r>
      <w:r>
        <w:rPr>
          <w:rFonts w:ascii="Arial" w:cs="Arial" w:eastAsia="Arial" w:hAnsi="Arial"/>
          <w:sz w:val="18"/>
          <w:szCs w:val="18"/>
          <w:color w:val="auto"/>
        </w:rPr>
        <w:t>”) entered into the Agreement;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WHEREAS, Lilly is developing and commercializing baricitinib as a “Licensed Product” throughout the world under the terms of the Agreement;</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WHEREAS, on February 4, 2020, the scientific publication The Lancet published an article entitled “Baricitinib as potential treatment for 2019-nCoV acute respiratory disease” (available at https://www.thelancet.com/journals/lancet/article/PIIS0140-6736(20)30304-4/fulltext );</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WHEREAS, Lilly seeks to explore the use of the Licensed Product in the treatment, control, management, mitigation, prevention or cure of 2019-nCoV acute respiratory disease (“</w:t>
      </w:r>
      <w:r>
        <w:rPr>
          <w:rFonts w:ascii="Arial" w:cs="Arial" w:eastAsia="Arial" w:hAnsi="Arial"/>
          <w:sz w:val="18"/>
          <w:szCs w:val="18"/>
          <w:u w:val="single" w:color="auto"/>
          <w:color w:val="auto"/>
        </w:rPr>
        <w:t>COVID-19</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WHEREAS, by email of February 20, 2020, Lilly requested that Incyte provide Lilly the right to operate in the area of COVID-19; and</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WHEREAS, the Parties have agreed that the public health crisis from COVID-19 is sufficient that any use of Licensed Products in the field of COVID-19 should commence as soon as practicable.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4" w:name="page105"/>
    <w:bookmarkEnd w:id="104"/>
    <w:p>
      <w:pPr>
        <w:ind w:left="328" w:right="40" w:hanging="328"/>
        <w:spacing w:after="0" w:line="274" w:lineRule="auto"/>
        <w:tabs>
          <w:tab w:leader="none" w:pos="334"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Permission by Incyte for Lilly to commence research and Development of Licensed Products to address COVID-19 crisis</w:t>
      </w:r>
      <w:r>
        <w:rPr>
          <w:rFonts w:ascii="Arial" w:cs="Arial" w:eastAsia="Arial" w:hAnsi="Arial"/>
          <w:sz w:val="17"/>
          <w:szCs w:val="17"/>
          <w:b w:val="1"/>
          <w:bCs w:val="1"/>
          <w:color w:val="auto"/>
        </w:rPr>
        <w:t xml:space="preserve">. </w:t>
      </w:r>
      <w:r>
        <w:rPr>
          <w:rFonts w:ascii="Arial" w:cs="Arial" w:eastAsia="Arial" w:hAnsi="Arial"/>
          <w:sz w:val="17"/>
          <w:szCs w:val="17"/>
          <w:color w:val="auto"/>
        </w:rPr>
        <w:t>Incyte hereby provides Lilly with its permission to commence research and Development work on the Licensed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treatment, control, management, mitigation, prevention or cure of COVID-19 for the acute situation globally that Lilly deems appropriate and reasonable (such work, the “COVID-19 Work”). For clarity, the permission granted by Incyte does not include the right of Lilly to Commercialize the Licensed Product for COVID-19. Matters pertaining to terms and conditions for Commercialization rights related to the COVID-19 Work shall be negotiated as follows:</w:t>
      </w:r>
    </w:p>
    <w:p>
      <w:pPr>
        <w:spacing w:after="0" w:line="173" w:lineRule="exact"/>
        <w:rPr>
          <w:rFonts w:ascii="Arial" w:cs="Arial" w:eastAsia="Arial" w:hAnsi="Arial"/>
          <w:sz w:val="17"/>
          <w:szCs w:val="17"/>
          <w:color w:val="auto"/>
        </w:rPr>
      </w:pPr>
    </w:p>
    <w:p>
      <w:pPr>
        <w:ind w:left="1048" w:hanging="319"/>
        <w:spacing w:after="0" w:line="255" w:lineRule="auto"/>
        <w:tabs>
          <w:tab w:leader="none" w:pos="1074"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Crisis Efforts. </w:t>
      </w:r>
      <w:r>
        <w:rPr>
          <w:rFonts w:ascii="Arial" w:cs="Arial" w:eastAsia="Arial" w:hAnsi="Arial"/>
          <w:sz w:val="18"/>
          <w:szCs w:val="18"/>
          <w:color w:val="auto"/>
        </w:rPr>
        <w:t>In the event that Lilly is compelled to seek Regulatory Approval by the FDA, EMEA or MHLW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Licensed Product in COVID-19 as an element of continued COVID-19 humanitarian efforts and Regulatory Authority cooperation (“Crisis Efforts”), the Parties shall meet to discuss Commercialization rights, including the terms and conditions of such rights reflective of the overall cost/opportunity implicated by such a limited development program, which may differ from the terms and conditions of the present Agreement. For the abundance of clarity, the parties acknowledge that being compelled to seek Regulatory Approval as a part of Crisis Efforts shall not, by itself, be deemed Commercialization efforts.</w:t>
      </w:r>
    </w:p>
    <w:p>
      <w:pPr>
        <w:spacing w:after="0" w:line="188" w:lineRule="exact"/>
        <w:rPr>
          <w:rFonts w:ascii="Arial" w:cs="Arial" w:eastAsia="Arial" w:hAnsi="Arial"/>
          <w:sz w:val="18"/>
          <w:szCs w:val="18"/>
          <w:color w:val="auto"/>
        </w:rPr>
      </w:pPr>
    </w:p>
    <w:p>
      <w:pPr>
        <w:ind w:left="1048" w:right="140" w:hanging="319"/>
        <w:spacing w:after="0" w:line="261" w:lineRule="auto"/>
        <w:tabs>
          <w:tab w:leader="none" w:pos="1084"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Non-Crisis Efforts. </w:t>
      </w:r>
      <w:r>
        <w:rPr>
          <w:rFonts w:ascii="Arial" w:cs="Arial" w:eastAsia="Arial" w:hAnsi="Arial"/>
          <w:sz w:val="18"/>
          <w:szCs w:val="18"/>
          <w:color w:val="auto"/>
        </w:rPr>
        <w:t>In the event Lilly wishes to undertake Commercialization efforts separate and apart from Crisis</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then the parties agree that they intend the terms and conditions applicable to Commercialization rights for such activity shall not be financially or otherwise less favorable to Incyte than the terms and conditions presently set forth in the Agreement.</w:t>
      </w:r>
    </w:p>
    <w:p>
      <w:pPr>
        <w:spacing w:after="0" w:line="179" w:lineRule="exact"/>
        <w:rPr>
          <w:rFonts w:ascii="Arial" w:cs="Arial" w:eastAsia="Arial" w:hAnsi="Arial"/>
          <w:sz w:val="18"/>
          <w:szCs w:val="18"/>
          <w:color w:val="auto"/>
        </w:rPr>
      </w:pPr>
    </w:p>
    <w:p>
      <w:pPr>
        <w:ind w:left="328" w:right="20" w:hanging="328"/>
        <w:spacing w:after="0" w:line="256" w:lineRule="auto"/>
        <w:tabs>
          <w:tab w:leader="none" w:pos="334"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Milestone event</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event [***] in Section 7.2(a)(i) of the Agreement, and as implicated by Section 2.4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to an Additional Indication, [***] shall not apply to the COVID-19 Work, nor shall any other term of the Agreement imposing obligations on either party which assume such work will result in Commercialization. Notwithstanding the foregoing sentence, the Parties intend that in the event Lilly seeks Regulatory Approval for the Licensed Product in COVID-19, the terms of the agreement to be negotiated with respect to Commercialization rights would include the payment of milestones and royalties.</w:t>
      </w:r>
    </w:p>
    <w:p>
      <w:pPr>
        <w:spacing w:after="0" w:line="187" w:lineRule="exact"/>
        <w:rPr>
          <w:rFonts w:ascii="Arial" w:cs="Arial" w:eastAsia="Arial" w:hAnsi="Arial"/>
          <w:sz w:val="18"/>
          <w:szCs w:val="18"/>
          <w:color w:val="auto"/>
        </w:rPr>
      </w:pPr>
    </w:p>
    <w:p>
      <w:pPr>
        <w:ind w:left="328" w:right="160" w:hanging="328"/>
        <w:spacing w:after="0" w:line="303" w:lineRule="auto"/>
        <w:tabs>
          <w:tab w:leader="none" w:pos="334"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Conduct of COVID-19 Work beyond present acute crisis situation</w:t>
      </w:r>
      <w:r>
        <w:rPr>
          <w:rFonts w:ascii="Arial" w:cs="Arial" w:eastAsia="Arial" w:hAnsi="Arial"/>
          <w:sz w:val="16"/>
          <w:szCs w:val="16"/>
          <w:color w:val="auto"/>
        </w:rPr>
        <w:t>. Incyte’s permission set forth in Section 1 herein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extend beyond the right of Lilly to conduct such activities for use of the Licensed Product outside of the COVID-19 Work. In the event that Lilly seeks to research, Develop or Commercialize the Licensed Product beyond such parameters, it shall not do so unless the Parties have entered into a mutual written agreement with respect to such matter.</w:t>
      </w:r>
    </w:p>
    <w:p>
      <w:pPr>
        <w:spacing w:after="0" w:line="150" w:lineRule="exact"/>
        <w:rPr>
          <w:rFonts w:ascii="Arial" w:cs="Arial" w:eastAsia="Arial" w:hAnsi="Arial"/>
          <w:sz w:val="16"/>
          <w:szCs w:val="16"/>
          <w:color w:val="auto"/>
        </w:rPr>
      </w:pPr>
    </w:p>
    <w:p>
      <w:pPr>
        <w:ind w:left="328" w:right="280" w:hanging="328"/>
        <w:spacing w:after="0" w:line="266" w:lineRule="auto"/>
        <w:tabs>
          <w:tab w:leader="none" w:pos="334"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Non-compete non-applicability to ruxolitinib</w:t>
      </w:r>
      <w:r>
        <w:rPr>
          <w:rFonts w:ascii="Arial" w:cs="Arial" w:eastAsia="Arial" w:hAnsi="Arial"/>
          <w:sz w:val="18"/>
          <w:szCs w:val="18"/>
          <w:color w:val="auto"/>
        </w:rPr>
        <w:t>. Lilly agrees that the non-compete provisions of Section 2.6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apply to any Development or Commercialization by Incyte, Novartis International Pharmaceutical Ltd. or its/their affiliates or licensees with respect to ruxolitinib for the treatment of COVID-19.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357505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77" w:right="999" w:bottom="1440" w:gutter="0" w:footer="0" w:header="0"/>
        </w:sectPr>
      </w:pPr>
    </w:p>
    <w:bookmarkStart w:id="105" w:name="page106"/>
    <w:bookmarkEnd w:id="105"/>
    <w:p>
      <w:pPr>
        <w:ind w:left="328" w:hanging="328"/>
        <w:spacing w:after="0"/>
        <w:tabs>
          <w:tab w:leader="none" w:pos="328"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herein shall be deemed to be a waiver by Incyte of any of its rights under the Agreement.</w:t>
      </w:r>
    </w:p>
    <w:p>
      <w:pPr>
        <w:spacing w:after="0" w:line="236" w:lineRule="exact"/>
        <w:rPr>
          <w:rFonts w:ascii="Arial" w:cs="Arial" w:eastAsia="Arial" w:hAnsi="Arial"/>
          <w:sz w:val="17"/>
          <w:szCs w:val="17"/>
          <w:color w:val="auto"/>
        </w:rPr>
      </w:pPr>
    </w:p>
    <w:p>
      <w:pPr>
        <w:jc w:val="center"/>
        <w:ind w:left="3208" w:right="459" w:hanging="3208"/>
        <w:spacing w:after="0" w:line="532" w:lineRule="auto"/>
        <w:tabs>
          <w:tab w:leader="none" w:pos="337"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terms and conditions of the Agreement shall remain in full force and effect.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[remainder of page intentionally blank]</w:t>
      </w:r>
    </w:p>
    <w:p>
      <w:pPr>
        <w:spacing w:after="0" w:line="396" w:lineRule="exact"/>
        <w:rPr>
          <w:sz w:val="20"/>
          <w:szCs w:val="20"/>
          <w:color w:val="auto"/>
        </w:rPr>
      </w:pPr>
    </w:p>
    <w:p>
      <w:pPr>
        <w:jc w:val="center"/>
        <w:ind w:right="-10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357505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47"/>
          </w:cols>
          <w:pgMar w:left="1312" w:top="877" w:right="1440"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t>IN WITNESS WHEREOF, the Parties by their respective authorized representatives have executed this Letter of Understanding, and it is therefore effective, as of the date of last signature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INCYTE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Vijay Iyengar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6087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Vijay Iyengar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Title:Executive Vice President, Global Strategy and Corporate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Anabela Cardoso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6087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Anabela Cardoso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Title:Global Brand Development Leader, Immunology</w:t>
      </w:r>
    </w:p>
    <w:p>
      <w:pPr>
        <w:spacing w:after="0" w:line="211" w:lineRule="exact"/>
        <w:rPr>
          <w:sz w:val="20"/>
          <w:szCs w:val="20"/>
          <w:color w:val="auto"/>
        </w:rPr>
      </w:pPr>
    </w:p>
    <w:p>
      <w:pPr>
        <w:jc w:val="both"/>
        <w:ind w:left="580" w:right="7640" w:hanging="571"/>
        <w:spacing w:after="0" w:line="287"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Eli Lilly and Company Lilly Corporate Center Indianapolis, IN 46285</w:t>
      </w:r>
    </w:p>
    <w:p>
      <w:pPr>
        <w:spacing w:after="0" w:line="2"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Vice President and President, Established Markets</w:t>
      </w:r>
    </w:p>
    <w:p>
      <w:pPr>
        <w:spacing w:after="0" w:line="9"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Patent Counsel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Facsimile No.: [***]</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81" w:right="1039" w:bottom="1440" w:gutter="0" w:footer="0" w:header="0"/>
        </w:sectPr>
      </w:pPr>
    </w:p>
    <w:bookmarkStart w:id="107" w:name="page108"/>
    <w:bookmarkEnd w:id="10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4, 2020</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4, 2020</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09" w:name="page110"/>
    <w:bookmarkEnd w:id="10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2020,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10" w:name="page111"/>
    <w:bookmarkEnd w:id="11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2020,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2"/>
    </w:lvl>
  </w:abstractNum>
  <w:abstractNum w:abstractNumId="5">
    <w:nsid w:val="614FD4A1"/>
    <w:multiLevelType w:val="hybridMultilevel"/>
    <w:lvl w:ilvl="0">
      <w:lvlJc w:val="left"/>
      <w:lvlText w:val="%1."/>
      <w:numFmt w:val="decimal"/>
      <w:start w:val="3"/>
    </w:lvl>
  </w:abstractNum>
  <w:abstractNum w:abstractNumId="6">
    <w:nsid w:val="419AC241"/>
    <w:multiLevelType w:val="hybridMultilevel"/>
    <w:lvl w:ilvl="0">
      <w:lvlJc w:val="left"/>
      <w:lvlText w:val="%1."/>
      <w:numFmt w:val="decimal"/>
      <w:start w:val="4"/>
    </w:lvl>
  </w:abstractNum>
  <w:abstractNum w:abstractNumId="7">
    <w:nsid w:val="5577F8E1"/>
    <w:multiLevelType w:val="hybridMultilevel"/>
    <w:lvl w:ilvl="0">
      <w:lvlJc w:val="left"/>
      <w:lvlText w:val="%1."/>
      <w:numFmt w:val="decimal"/>
      <w:start w:val="5"/>
    </w:lvl>
  </w:abstractNum>
  <w:abstractNum w:abstractNumId="8">
    <w:nsid w:val="440BADFC"/>
    <w:multiLevelType w:val="hybridMultilevel"/>
    <w:lvl w:ilvl="0">
      <w:lvlJc w:val="left"/>
      <w:lvlText w:val="%1."/>
      <w:numFmt w:val="decimal"/>
      <w:start w:val="8"/>
    </w:lvl>
  </w:abstractNum>
  <w:abstractNum w:abstractNumId="9">
    <w:nsid w:val="5072367"/>
    <w:multiLevelType w:val="hybridMultilevel"/>
    <w:lvl w:ilvl="0">
      <w:lvlJc w:val="left"/>
      <w:lvlText w:val="%1."/>
      <w:numFmt w:val="decimal"/>
      <w:start w:val="9"/>
    </w:lvl>
  </w:abstractNum>
  <w:abstractNum w:abstractNumId="10">
    <w:nsid w:val="3804823E"/>
    <w:multiLevelType w:val="hybridMultilevel"/>
    <w:lvl w:ilvl="0">
      <w:lvlJc w:val="left"/>
      <w:lvlText w:val="%1."/>
      <w:numFmt w:val="decimal"/>
      <w:start w:val="10"/>
    </w:lvl>
  </w:abstractNum>
  <w:abstractNum w:abstractNumId="11">
    <w:nsid w:val="77465F01"/>
    <w:multiLevelType w:val="hybridMultilevel"/>
    <w:lvl w:ilvl="0">
      <w:lvlJc w:val="left"/>
      <w:lvlText w:val="%1."/>
      <w:numFmt w:val="decimal"/>
      <w:start w:val="11"/>
    </w:lvl>
  </w:abstractNum>
  <w:abstractNum w:abstractNumId="12">
    <w:nsid w:val="7724C67E"/>
    <w:multiLevelType w:val="hybridMultilevel"/>
    <w:lvl w:ilvl="0">
      <w:lvlJc w:val="left"/>
      <w:lvlText w:val="%1."/>
      <w:numFmt w:val="decimal"/>
      <w:start w:val="12"/>
    </w:lvl>
  </w:abstractNum>
  <w:abstractNum w:abstractNumId="13">
    <w:nsid w:val="5C482A97"/>
    <w:multiLevelType w:val="hybridMultilevel"/>
    <w:lvl w:ilvl="0">
      <w:lvlJc w:val="left"/>
      <w:lvlText w:val="(%1)"/>
      <w:numFmt w:val="lowerRoman"/>
      <w:start w:val="2"/>
    </w:lvl>
  </w:abstractNum>
  <w:abstractNum w:abstractNumId="14">
    <w:nsid w:val="2463B9EA"/>
    <w:multiLevelType w:val="hybridMultilevel"/>
    <w:lvl w:ilvl="0">
      <w:lvlJc w:val="left"/>
      <w:lvlText w:val="%1."/>
      <w:numFmt w:val="decimal"/>
      <w:start w:val="13"/>
    </w:lvl>
  </w:abstractNum>
  <w:abstractNum w:abstractNumId="15">
    <w:nsid w:val="5E884ADC"/>
    <w:multiLevelType w:val="hybridMultilevel"/>
    <w:lvl w:ilvl="0">
      <w:lvlJc w:val="left"/>
      <w:lvlText w:val="%1."/>
      <w:numFmt w:val="decimal"/>
      <w:start w:val="14"/>
    </w:lvl>
  </w:abstractNum>
  <w:abstractNum w:abstractNumId="16">
    <w:nsid w:val="51EAD36B"/>
    <w:multiLevelType w:val="hybridMultilevel"/>
    <w:lvl w:ilvl="0">
      <w:lvlJc w:val="left"/>
      <w:lvlText w:val="%1."/>
      <w:numFmt w:val="decimal"/>
      <w:start w:val="15"/>
    </w:lvl>
  </w:abstractNum>
  <w:abstractNum w:abstractNumId="17">
    <w:nsid w:val="2D517796"/>
    <w:multiLevelType w:val="hybridMultilevel"/>
    <w:lvl w:ilvl="0">
      <w:lvlJc w:val="left"/>
      <w:lvlText w:val="%1."/>
      <w:numFmt w:val="decimal"/>
      <w:start w:val="16"/>
    </w:lvl>
  </w:abstractNum>
  <w:abstractNum w:abstractNumId="18">
    <w:nsid w:val="580BD78F"/>
    <w:multiLevelType w:val="hybridMultilevel"/>
    <w:lvl w:ilvl="0">
      <w:lvlJc w:val="left"/>
      <w:lvlText w:val="%1."/>
      <w:numFmt w:val="decimal"/>
      <w:start w:val="17"/>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upperLetter"/>
      <w:start w:val="6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0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bullet"/>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3"/>
    </w:lvl>
  </w:abstractNum>
  <w:abstractNum w:abstractNumId="49">
    <w:nsid w:val="275AC794"/>
    <w:multiLevelType w:val="hybridMultilevel"/>
    <w:lvl w:ilvl="0">
      <w:lvlJc w:val="left"/>
      <w:lvlText w:val="%1)"/>
      <w:numFmt w:val="decimal"/>
      <w:start w:val="7"/>
    </w:lvl>
    <w:lvl w:ilvl="1">
      <w:lvlJc w:val="left"/>
      <w:lvlText w:val="%2"/>
      <w:numFmt w:val="lowerLetter"/>
      <w:start w:val="1"/>
    </w:lvl>
  </w:abstractNum>
  <w:abstractNum w:abstractNumId="50">
    <w:nsid w:val="39386575"/>
    <w:multiLevelType w:val="hybridMultilevel"/>
    <w:lvl w:ilvl="0">
      <w:lvlJc w:val="left"/>
      <w:lvlText w:val="%1."/>
      <w:numFmt w:val="lowerLetter"/>
      <w:start w:val="2"/>
    </w:lvl>
    <w:lvl w:ilvl="1">
      <w:lvlJc w:val="left"/>
      <w:lvlText w:val="%2."/>
      <w:numFmt w:val="lowerLetter"/>
      <w:start w:val="9"/>
    </w:lvl>
  </w:abstractNum>
  <w:abstractNum w:abstractNumId="51">
    <w:nsid w:val="1CF10FD8"/>
    <w:multiLevelType w:val="hybridMultilevel"/>
    <w:lvl w:ilvl="0">
      <w:lvlJc w:val="left"/>
      <w:lvlText w:val="%1"/>
      <w:numFmt w:val="lowerLetter"/>
      <w:start w:val="1"/>
    </w:lvl>
    <w:lvl w:ilvl="1">
      <w:lvlJc w:val="left"/>
      <w:lvlText w:val="%2."/>
      <w:numFmt w:val="lowerRoman"/>
      <w:start w:val="2"/>
    </w:lvl>
  </w:abstractNum>
  <w:abstractNum w:abstractNumId="52">
    <w:nsid w:val="180115BE"/>
    <w:multiLevelType w:val="hybridMultilevel"/>
    <w:lvl w:ilvl="0">
      <w:lvlJc w:val="left"/>
      <w:lvlText w:val="%1."/>
      <w:numFmt w:val="lowerLetter"/>
      <w:start w:val="5"/>
    </w:lvl>
    <w:lvl w:ilvl="1">
      <w:lvlJc w:val="left"/>
      <w:lvlText w:val="%2."/>
      <w:numFmt w:val="lowerRoman"/>
      <w:start w:val="1"/>
    </w:lvl>
  </w:abstractNum>
  <w:abstractNum w:abstractNumId="53">
    <w:nsid w:val="235BA861"/>
    <w:multiLevelType w:val="hybridMultilevel"/>
    <w:lvl w:ilvl="0">
      <w:lvlJc w:val="left"/>
      <w:lvlText w:val="%1)"/>
      <w:numFmt w:val="decimal"/>
      <w:start w:val="11"/>
    </w:lvl>
  </w:abstractNum>
  <w:abstractNum w:abstractNumId="54">
    <w:nsid w:val="47398C89"/>
    <w:multiLevelType w:val="hybridMultilevel"/>
    <w:lvl w:ilvl="0">
      <w:lvlJc w:val="left"/>
      <w:lvlText w:val="%1:"/>
      <w:numFmt w:val="lowerLetter"/>
      <w:start w:val="29"/>
    </w:lvl>
  </w:abstractNum>
  <w:abstractNum w:abstractNumId="55">
    <w:nsid w:val="354FE9F9"/>
    <w:multiLevelType w:val="hybridMultilevel"/>
    <w:lvl w:ilvl="0">
      <w:lvlJc w:val="left"/>
      <w:lvlText w:val="%1)"/>
      <w:numFmt w:val="decimal"/>
      <w:start w:val="1"/>
    </w:lvl>
    <w:lvl w:ilvl="1">
      <w:lvlJc w:val="left"/>
      <w:lvlText w:val="%2."/>
      <w:numFmt w:val="lowerLetter"/>
      <w:start w:val="1"/>
    </w:lvl>
  </w:abstractNum>
  <w:abstractNum w:abstractNumId="56">
    <w:nsid w:val="15B5AF5C"/>
    <w:multiLevelType w:val="hybridMultilevel"/>
    <w:lvl w:ilvl="0">
      <w:lvlJc w:val="left"/>
      <w:lvlText w:val="%1)"/>
      <w:numFmt w:val="decimal"/>
      <w:start w:val="5"/>
    </w:lvl>
  </w:abstractNum>
  <w:abstractNum w:abstractNumId="57">
    <w:nsid w:val="741226BB"/>
    <w:multiLevelType w:val="hybridMultilevel"/>
    <w:lvl w:ilvl="0">
      <w:lvlJc w:val="left"/>
      <w:lvlText w:val="%1:"/>
      <w:numFmt w:val="lowerLetter"/>
      <w:start w:val="29"/>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2020-08-04T15:59:32Z</dcterms:created>
  <dcterms:modified xsi:type="dcterms:W3CDTF">2020-08-04T15:59:32Z</dcterms:modified>
</cp:coreProperties>
</file>