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7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18" w:lineRule="exact"/>
        <w:rPr>
          <w:sz w:val="24"/>
          <w:szCs w:val="24"/>
          <w:color w:val="auto"/>
        </w:rPr>
      </w:pPr>
    </w:p>
    <w:p>
      <w:pPr>
        <w:ind w:left="440" w:hanging="285"/>
        <w:spacing w:after="0"/>
        <w:tabs>
          <w:tab w:leader="none" w:pos="44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04" w:lineRule="exact"/>
        <w:rPr>
          <w:sz w:val="24"/>
          <w:szCs w:val="24"/>
          <w:color w:val="auto"/>
        </w:rPr>
      </w:pPr>
    </w:p>
    <w:p>
      <w:pPr>
        <w:ind w:left="440" w:hanging="290"/>
        <w:spacing w:after="0"/>
        <w:tabs>
          <w:tab w:leader="none" w:pos="44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233" w:right="339" w:bottom="1440" w:gutter="0" w:footer="0" w:header="0"/>
        </w:sectPr>
      </w:pPr>
    </w:p>
    <w:p>
      <w:pPr>
        <w:spacing w:after="0" w:line="250"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136" w:lineRule="exact"/>
        <w:rPr>
          <w:sz w:val="24"/>
          <w:szCs w:val="24"/>
          <w:color w:val="auto"/>
        </w:rPr>
      </w:pPr>
    </w:p>
    <w:p>
      <w:pPr>
        <w:sectPr>
          <w:pgSz w:w="11900" w:h="16838" w:orient="portrait"/>
          <w:cols w:equalWidth="0" w:num="2">
            <w:col w:w="6000" w:space="600"/>
            <w:col w:w="4640"/>
          </w:cols>
          <w:pgMar w:left="320" w:top="233"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Commission File Number: 001-12400</w:t>
      </w:r>
    </w:p>
    <w:p>
      <w:pPr>
        <w:sectPr>
          <w:pgSz w:w="11900" w:h="16838" w:orient="portrait"/>
          <w:cols w:equalWidth="0" w:num="1">
            <w:col w:w="11240"/>
          </w:cols>
          <w:pgMar w:left="320" w:top="233" w:right="339" w:bottom="1440" w:gutter="0" w:footer="0" w:header="0"/>
          <w:type w:val="continuous"/>
        </w:sectPr>
      </w:pP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378"/>
        </w:trPr>
        <w:tc>
          <w:tcPr>
            <w:tcW w:w="3760" w:type="dxa"/>
            <w:vAlign w:val="bottom"/>
          </w:tcPr>
          <w:p>
            <w:pPr>
              <w:spacing w:after="0"/>
              <w:rPr>
                <w:sz w:val="24"/>
                <w:szCs w:val="24"/>
                <w:color w:val="auto"/>
              </w:rPr>
            </w:pPr>
          </w:p>
        </w:tc>
        <w:tc>
          <w:tcPr>
            <w:tcW w:w="3900" w:type="dxa"/>
            <w:vAlign w:val="bottom"/>
            <w:gridSpan w:val="5"/>
          </w:tcPr>
          <w:p>
            <w:pPr>
              <w:jc w:val="center"/>
              <w:ind w:right="180"/>
              <w:spacing w:after="0"/>
              <w:rPr>
                <w:sz w:val="20"/>
                <w:szCs w:val="20"/>
                <w:color w:val="auto"/>
              </w:rPr>
            </w:pPr>
            <w:r>
              <w:rPr>
                <w:rFonts w:ascii="Arial" w:cs="Arial" w:eastAsia="Arial" w:hAnsi="Arial"/>
                <w:sz w:val="31"/>
                <w:szCs w:val="31"/>
                <w:b w:val="1"/>
                <w:bCs w:val="1"/>
                <w:color w:val="auto"/>
              </w:rPr>
              <w:t>INCYTE CORPORATION</w:t>
            </w:r>
          </w:p>
        </w:tc>
        <w:tc>
          <w:tcPr>
            <w:tcW w:w="3580" w:type="dxa"/>
            <w:vAlign w:val="bottom"/>
          </w:tcPr>
          <w:p>
            <w:pPr>
              <w:spacing w:after="0"/>
              <w:rPr>
                <w:sz w:val="24"/>
                <w:szCs w:val="24"/>
                <w:color w:val="auto"/>
              </w:rPr>
            </w:pPr>
          </w:p>
        </w:tc>
      </w:tr>
      <w:tr>
        <w:trPr>
          <w:trHeight w:val="206"/>
        </w:trPr>
        <w:tc>
          <w:tcPr>
            <w:tcW w:w="3760" w:type="dxa"/>
            <w:vAlign w:val="bottom"/>
          </w:tcPr>
          <w:p>
            <w:pPr>
              <w:spacing w:after="0"/>
              <w:rPr>
                <w:sz w:val="17"/>
                <w:szCs w:val="17"/>
                <w:color w:val="auto"/>
              </w:rPr>
            </w:pPr>
          </w:p>
        </w:tc>
        <w:tc>
          <w:tcPr>
            <w:tcW w:w="3900" w:type="dxa"/>
            <w:vAlign w:val="bottom"/>
            <w:gridSpan w:val="5"/>
          </w:tcPr>
          <w:p>
            <w:pPr>
              <w:jc w:val="center"/>
              <w:ind w:right="160"/>
              <w:spacing w:after="0"/>
              <w:rPr>
                <w:sz w:val="20"/>
                <w:szCs w:val="20"/>
                <w:color w:val="auto"/>
              </w:rPr>
            </w:pPr>
            <w:r>
              <w:rPr>
                <w:rFonts w:ascii="Arial" w:cs="Arial" w:eastAsia="Arial" w:hAnsi="Arial"/>
                <w:sz w:val="16"/>
                <w:szCs w:val="16"/>
                <w:color w:val="auto"/>
                <w:w w:val="91"/>
              </w:rPr>
              <w:t>(Exact name of registrant as specified in its charter)</w:t>
            </w:r>
          </w:p>
        </w:tc>
        <w:tc>
          <w:tcPr>
            <w:tcW w:w="3580" w:type="dxa"/>
            <w:vAlign w:val="bottom"/>
          </w:tcPr>
          <w:p>
            <w:pPr>
              <w:spacing w:after="0"/>
              <w:rPr>
                <w:sz w:val="17"/>
                <w:szCs w:val="17"/>
                <w:color w:val="auto"/>
              </w:rPr>
            </w:pPr>
          </w:p>
        </w:tc>
      </w:tr>
      <w:tr>
        <w:trPr>
          <w:trHeight w:val="418"/>
        </w:trPr>
        <w:tc>
          <w:tcPr>
            <w:tcW w:w="3760" w:type="dxa"/>
            <w:vAlign w:val="bottom"/>
          </w:tcPr>
          <w:p>
            <w:pPr>
              <w:jc w:val="center"/>
              <w:ind w:left="1781"/>
              <w:spacing w:after="0"/>
              <w:rPr>
                <w:sz w:val="20"/>
                <w:szCs w:val="20"/>
                <w:color w:val="auto"/>
              </w:rPr>
            </w:pPr>
            <w:r>
              <w:rPr>
                <w:rFonts w:ascii="Arial" w:cs="Arial" w:eastAsia="Arial" w:hAnsi="Arial"/>
                <w:sz w:val="16"/>
                <w:szCs w:val="16"/>
                <w:b w:val="1"/>
                <w:bCs w:val="1"/>
                <w:color w:val="auto"/>
                <w:w w:val="93"/>
              </w:rPr>
              <w:t>Delaware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80" w:type="dxa"/>
            <w:vAlign w:val="bottom"/>
          </w:tcPr>
          <w:p>
            <w:pPr>
              <w:jc w:val="right"/>
              <w:ind w:right="2342"/>
              <w:spacing w:after="0"/>
              <w:rPr>
                <w:sz w:val="20"/>
                <w:szCs w:val="20"/>
                <w:color w:val="auto"/>
              </w:rPr>
            </w:pPr>
            <w:r>
              <w:rPr>
                <w:rFonts w:ascii="Arial" w:cs="Arial" w:eastAsia="Arial" w:hAnsi="Arial"/>
                <w:sz w:val="16"/>
                <w:szCs w:val="16"/>
                <w:b w:val="1"/>
                <w:bCs w:val="1"/>
                <w:color w:val="auto"/>
              </w:rPr>
              <w:t>94-3136539</w:t>
            </w:r>
          </w:p>
        </w:tc>
      </w:tr>
      <w:tr>
        <w:trPr>
          <w:trHeight w:val="239"/>
        </w:trPr>
        <w:tc>
          <w:tcPr>
            <w:tcW w:w="3760" w:type="dxa"/>
            <w:vAlign w:val="bottom"/>
          </w:tcPr>
          <w:p>
            <w:pPr>
              <w:jc w:val="center"/>
              <w:ind w:left="1801"/>
              <w:spacing w:after="0"/>
              <w:rPr>
                <w:sz w:val="20"/>
                <w:szCs w:val="20"/>
                <w:color w:val="auto"/>
              </w:rPr>
            </w:pPr>
            <w:r>
              <w:rPr>
                <w:rFonts w:ascii="Arial" w:cs="Arial" w:eastAsia="Arial" w:hAnsi="Arial"/>
                <w:sz w:val="16"/>
                <w:szCs w:val="16"/>
                <w:color w:val="auto"/>
                <w:w w:val="93"/>
              </w:rPr>
              <w:t>(State or other jurisdiction of</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580" w:type="dxa"/>
            <w:vAlign w:val="bottom"/>
          </w:tcPr>
          <w:p>
            <w:pPr>
              <w:jc w:val="center"/>
              <w:ind w:right="1962"/>
              <w:spacing w:after="0"/>
              <w:rPr>
                <w:sz w:val="20"/>
                <w:szCs w:val="20"/>
                <w:color w:val="auto"/>
              </w:rPr>
            </w:pPr>
            <w:r>
              <w:rPr>
                <w:rFonts w:ascii="Arial" w:cs="Arial" w:eastAsia="Arial" w:hAnsi="Arial"/>
                <w:sz w:val="16"/>
                <w:szCs w:val="16"/>
                <w:color w:val="auto"/>
                <w:w w:val="94"/>
              </w:rPr>
              <w:t>(IRS Employer</w:t>
            </w:r>
          </w:p>
        </w:tc>
      </w:tr>
      <w:tr>
        <w:trPr>
          <w:trHeight w:val="206"/>
        </w:trPr>
        <w:tc>
          <w:tcPr>
            <w:tcW w:w="7660" w:type="dxa"/>
            <w:vAlign w:val="bottom"/>
            <w:gridSpan w:val="6"/>
          </w:tcPr>
          <w:p>
            <w:pPr>
              <w:jc w:val="center"/>
              <w:ind w:right="2020"/>
              <w:spacing w:after="0"/>
              <w:rPr>
                <w:sz w:val="20"/>
                <w:szCs w:val="20"/>
                <w:color w:val="auto"/>
              </w:rPr>
            </w:pPr>
            <w:r>
              <w:rPr>
                <w:rFonts w:ascii="Arial" w:cs="Arial" w:eastAsia="Arial" w:hAnsi="Arial"/>
                <w:sz w:val="16"/>
                <w:szCs w:val="16"/>
                <w:color w:val="auto"/>
                <w:w w:val="94"/>
              </w:rPr>
              <w:t>incorporation or organization)</w:t>
            </w:r>
          </w:p>
        </w:tc>
        <w:tc>
          <w:tcPr>
            <w:tcW w:w="3580" w:type="dxa"/>
            <w:vAlign w:val="bottom"/>
          </w:tcPr>
          <w:p>
            <w:pPr>
              <w:jc w:val="center"/>
              <w:ind w:right="1962"/>
              <w:spacing w:after="0"/>
              <w:rPr>
                <w:sz w:val="20"/>
                <w:szCs w:val="20"/>
                <w:color w:val="auto"/>
              </w:rPr>
            </w:pPr>
            <w:r>
              <w:rPr>
                <w:rFonts w:ascii="Arial" w:cs="Arial" w:eastAsia="Arial" w:hAnsi="Arial"/>
                <w:sz w:val="16"/>
                <w:szCs w:val="16"/>
                <w:color w:val="auto"/>
                <w:w w:val="97"/>
              </w:rPr>
              <w:t>Identification No.)</w:t>
            </w:r>
          </w:p>
        </w:tc>
      </w:tr>
      <w:tr>
        <w:trPr>
          <w:trHeight w:val="330"/>
        </w:trPr>
        <w:tc>
          <w:tcPr>
            <w:tcW w:w="3760" w:type="dxa"/>
            <w:vAlign w:val="bottom"/>
          </w:tcPr>
          <w:p>
            <w:pPr>
              <w:jc w:val="center"/>
              <w:ind w:left="1781"/>
              <w:spacing w:after="0"/>
              <w:rPr>
                <w:sz w:val="20"/>
                <w:szCs w:val="20"/>
                <w:color w:val="auto"/>
              </w:rPr>
            </w:pPr>
            <w:r>
              <w:rPr>
                <w:rFonts w:ascii="Arial" w:cs="Arial" w:eastAsia="Arial" w:hAnsi="Arial"/>
                <w:sz w:val="16"/>
                <w:szCs w:val="16"/>
                <w:b w:val="1"/>
                <w:bCs w:val="1"/>
                <w:color w:val="auto"/>
                <w:w w:val="93"/>
              </w:rPr>
              <w:t>1801 Augustine Cut-Off</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10"/>
        </w:trPr>
        <w:tc>
          <w:tcPr>
            <w:tcW w:w="3760" w:type="dxa"/>
            <w:vAlign w:val="bottom"/>
          </w:tcPr>
          <w:p>
            <w:pPr>
              <w:jc w:val="center"/>
              <w:ind w:left="1781"/>
              <w:spacing w:after="0"/>
              <w:rPr>
                <w:sz w:val="20"/>
                <w:szCs w:val="20"/>
                <w:color w:val="auto"/>
              </w:rPr>
            </w:pPr>
            <w:r>
              <w:rPr>
                <w:rFonts w:ascii="Arial" w:cs="Arial" w:eastAsia="Arial" w:hAnsi="Arial"/>
                <w:sz w:val="16"/>
                <w:szCs w:val="16"/>
                <w:b w:val="1"/>
                <w:bCs w:val="1"/>
                <w:color w:val="auto"/>
                <w:w w:val="94"/>
              </w:rPr>
              <w:t>Wilmington, DE 19803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80" w:type="dxa"/>
            <w:vAlign w:val="bottom"/>
          </w:tcPr>
          <w:p>
            <w:pPr>
              <w:jc w:val="right"/>
              <w:ind w:right="2522"/>
              <w:spacing w:after="0"/>
              <w:rPr>
                <w:sz w:val="20"/>
                <w:szCs w:val="20"/>
                <w:color w:val="auto"/>
              </w:rPr>
            </w:pPr>
            <w:r>
              <w:rPr>
                <w:rFonts w:ascii="Arial" w:cs="Arial" w:eastAsia="Arial" w:hAnsi="Arial"/>
                <w:sz w:val="16"/>
                <w:szCs w:val="16"/>
                <w:b w:val="1"/>
                <w:bCs w:val="1"/>
                <w:color w:val="auto"/>
              </w:rPr>
              <w:t>19803</w:t>
            </w:r>
          </w:p>
        </w:tc>
      </w:tr>
      <w:tr>
        <w:trPr>
          <w:trHeight w:val="243"/>
        </w:trPr>
        <w:tc>
          <w:tcPr>
            <w:tcW w:w="7660" w:type="dxa"/>
            <w:vAlign w:val="bottom"/>
            <w:gridSpan w:val="6"/>
          </w:tcPr>
          <w:p>
            <w:pPr>
              <w:jc w:val="center"/>
              <w:ind w:right="2020"/>
              <w:spacing w:after="0"/>
              <w:rPr>
                <w:sz w:val="20"/>
                <w:szCs w:val="20"/>
                <w:color w:val="auto"/>
              </w:rPr>
            </w:pPr>
            <w:r>
              <w:rPr>
                <w:rFonts w:ascii="Arial" w:cs="Arial" w:eastAsia="Arial" w:hAnsi="Arial"/>
                <w:sz w:val="16"/>
                <w:szCs w:val="16"/>
                <w:color w:val="auto"/>
                <w:w w:val="93"/>
              </w:rPr>
              <w:t>(Address of principal executive offices)</w:t>
            </w:r>
          </w:p>
        </w:tc>
        <w:tc>
          <w:tcPr>
            <w:tcW w:w="3580" w:type="dxa"/>
            <w:vAlign w:val="bottom"/>
          </w:tcPr>
          <w:p>
            <w:pPr>
              <w:jc w:val="center"/>
              <w:ind w:right="1962"/>
              <w:spacing w:after="0"/>
              <w:rPr>
                <w:sz w:val="20"/>
                <w:szCs w:val="20"/>
                <w:color w:val="auto"/>
              </w:rPr>
            </w:pPr>
            <w:r>
              <w:rPr>
                <w:rFonts w:ascii="Arial" w:cs="Arial" w:eastAsia="Arial" w:hAnsi="Arial"/>
                <w:sz w:val="16"/>
                <w:szCs w:val="16"/>
                <w:color w:val="auto"/>
                <w:w w:val="92"/>
              </w:rPr>
              <w:t>(Zip Code)</w:t>
            </w:r>
          </w:p>
        </w:tc>
      </w:tr>
      <w:tr>
        <w:trPr>
          <w:trHeight w:val="482"/>
        </w:trPr>
        <w:tc>
          <w:tcPr>
            <w:tcW w:w="3760" w:type="dxa"/>
            <w:vAlign w:val="bottom"/>
          </w:tcPr>
          <w:p>
            <w:pPr>
              <w:spacing w:after="0"/>
              <w:rPr>
                <w:sz w:val="24"/>
                <w:szCs w:val="24"/>
                <w:color w:val="auto"/>
              </w:rPr>
            </w:pPr>
          </w:p>
        </w:tc>
        <w:tc>
          <w:tcPr>
            <w:tcW w:w="3160" w:type="dxa"/>
            <w:vAlign w:val="bottom"/>
            <w:gridSpan w:val="3"/>
          </w:tcPr>
          <w:p>
            <w:pPr>
              <w:jc w:val="center"/>
              <w:ind w:left="485"/>
              <w:spacing w:after="0"/>
              <w:rPr>
                <w:sz w:val="20"/>
                <w:szCs w:val="20"/>
                <w:color w:val="auto"/>
              </w:rPr>
            </w:pPr>
            <w:r>
              <w:rPr>
                <w:rFonts w:ascii="Arial" w:cs="Arial" w:eastAsia="Arial" w:hAnsi="Arial"/>
                <w:sz w:val="16"/>
                <w:szCs w:val="16"/>
                <w:b w:val="1"/>
                <w:bCs w:val="1"/>
                <w:color w:val="auto"/>
                <w:w w:val="93"/>
              </w:rPr>
              <w:t>(302) 498-6700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06"/>
        </w:trPr>
        <w:tc>
          <w:tcPr>
            <w:tcW w:w="3760" w:type="dxa"/>
            <w:vAlign w:val="bottom"/>
          </w:tcPr>
          <w:p>
            <w:pPr>
              <w:spacing w:after="0"/>
              <w:rPr>
                <w:sz w:val="17"/>
                <w:szCs w:val="17"/>
                <w:color w:val="auto"/>
              </w:rPr>
            </w:pPr>
          </w:p>
        </w:tc>
        <w:tc>
          <w:tcPr>
            <w:tcW w:w="3900" w:type="dxa"/>
            <w:vAlign w:val="bottom"/>
            <w:gridSpan w:val="5"/>
          </w:tcPr>
          <w:p>
            <w:pPr>
              <w:jc w:val="center"/>
              <w:ind w:right="180"/>
              <w:spacing w:after="0"/>
              <w:rPr>
                <w:sz w:val="20"/>
                <w:szCs w:val="20"/>
                <w:color w:val="auto"/>
              </w:rPr>
            </w:pPr>
            <w:r>
              <w:rPr>
                <w:rFonts w:ascii="Arial" w:cs="Arial" w:eastAsia="Arial" w:hAnsi="Arial"/>
                <w:sz w:val="16"/>
                <w:szCs w:val="16"/>
                <w:color w:val="auto"/>
                <w:w w:val="91"/>
              </w:rPr>
              <w:t>(Registrant’s telephone number, including area code)</w:t>
            </w:r>
          </w:p>
        </w:tc>
        <w:tc>
          <w:tcPr>
            <w:tcW w:w="3580" w:type="dxa"/>
            <w:vAlign w:val="bottom"/>
          </w:tcPr>
          <w:p>
            <w:pPr>
              <w:spacing w:after="0"/>
              <w:rPr>
                <w:sz w:val="17"/>
                <w:szCs w:val="17"/>
                <w:color w:val="auto"/>
              </w:rPr>
            </w:pPr>
          </w:p>
        </w:tc>
      </w:tr>
      <w:tr>
        <w:trPr>
          <w:trHeight w:val="310"/>
        </w:trPr>
        <w:tc>
          <w:tcPr>
            <w:tcW w:w="3760" w:type="dxa"/>
            <w:vAlign w:val="bottom"/>
          </w:tcPr>
          <w:p>
            <w:pPr>
              <w:spacing w:after="0"/>
              <w:rPr>
                <w:sz w:val="24"/>
                <w:szCs w:val="24"/>
                <w:color w:val="auto"/>
              </w:rPr>
            </w:pPr>
          </w:p>
        </w:tc>
        <w:tc>
          <w:tcPr>
            <w:tcW w:w="3900" w:type="dxa"/>
            <w:vAlign w:val="bottom"/>
            <w:gridSpan w:val="5"/>
          </w:tcPr>
          <w:p>
            <w:pPr>
              <w:jc w:val="center"/>
              <w:ind w:right="160"/>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580" w:type="dxa"/>
            <w:vAlign w:val="bottom"/>
          </w:tcPr>
          <w:p>
            <w:pPr>
              <w:spacing w:after="0"/>
              <w:rPr>
                <w:sz w:val="24"/>
                <w:szCs w:val="24"/>
                <w:color w:val="auto"/>
              </w:rPr>
            </w:pPr>
          </w:p>
        </w:tc>
      </w:tr>
      <w:tr>
        <w:trPr>
          <w:trHeight w:val="318"/>
        </w:trPr>
        <w:tc>
          <w:tcPr>
            <w:tcW w:w="3760" w:type="dxa"/>
            <w:vAlign w:val="bottom"/>
          </w:tcPr>
          <w:p>
            <w:pPr>
              <w:ind w:left="1500"/>
              <w:spacing w:after="0"/>
              <w:rPr>
                <w:sz w:val="20"/>
                <w:szCs w:val="20"/>
                <w:color w:val="auto"/>
              </w:rPr>
            </w:pPr>
            <w:r>
              <w:rPr>
                <w:rFonts w:ascii="Arial" w:cs="Arial" w:eastAsia="Arial" w:hAnsi="Arial"/>
                <w:sz w:val="14"/>
                <w:szCs w:val="14"/>
                <w:b w:val="1"/>
                <w:bCs w:val="1"/>
                <w:color w:val="auto"/>
              </w:rPr>
              <w:t>Title of each class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2"/>
              </w:rPr>
              <w:t>Trading Symbol(s)</w:t>
            </w:r>
          </w:p>
        </w:tc>
        <w:tc>
          <w:tcPr>
            <w:tcW w:w="3580" w:type="dxa"/>
            <w:vAlign w:val="bottom"/>
          </w:tcPr>
          <w:p>
            <w:pPr>
              <w:jc w:val="center"/>
              <w:ind w:right="582"/>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25"/>
        </w:trPr>
        <w:tc>
          <w:tcPr>
            <w:tcW w:w="3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184"/>
        </w:trPr>
        <w:tc>
          <w:tcPr>
            <w:tcW w:w="3760" w:type="dxa"/>
            <w:vAlign w:val="bottom"/>
          </w:tcPr>
          <w:p>
            <w:pPr>
              <w:ind w:left="820"/>
              <w:spacing w:after="0"/>
              <w:rPr>
                <w:sz w:val="20"/>
                <w:szCs w:val="20"/>
                <w:color w:val="auto"/>
              </w:rPr>
            </w:pPr>
            <w:r>
              <w:rPr>
                <w:rFonts w:ascii="Arial" w:cs="Arial" w:eastAsia="Arial" w:hAnsi="Arial"/>
                <w:sz w:val="14"/>
                <w:szCs w:val="14"/>
                <w:color w:val="auto"/>
              </w:rPr>
              <w:t>Common Stock, $.001 par value per share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40" w:type="dxa"/>
            <w:vAlign w:val="bottom"/>
            <w:gridSpan w:val="3"/>
          </w:tcPr>
          <w:p>
            <w:pPr>
              <w:jc w:val="center"/>
              <w:ind w:right="740"/>
              <w:spacing w:after="0"/>
              <w:rPr>
                <w:sz w:val="20"/>
                <w:szCs w:val="20"/>
                <w:color w:val="auto"/>
              </w:rPr>
            </w:pPr>
            <w:r>
              <w:rPr>
                <w:rFonts w:ascii="Arial" w:cs="Arial" w:eastAsia="Arial" w:hAnsi="Arial"/>
                <w:sz w:val="14"/>
                <w:szCs w:val="14"/>
                <w:color w:val="auto"/>
              </w:rPr>
              <w:t>INCY</w:t>
            </w:r>
          </w:p>
        </w:tc>
        <w:tc>
          <w:tcPr>
            <w:tcW w:w="3580" w:type="dxa"/>
            <w:vAlign w:val="bottom"/>
          </w:tcPr>
          <w:p>
            <w:pPr>
              <w:jc w:val="center"/>
              <w:ind w:right="562"/>
              <w:spacing w:after="0"/>
              <w:rPr>
                <w:sz w:val="20"/>
                <w:szCs w:val="20"/>
                <w:color w:val="auto"/>
              </w:rPr>
            </w:pPr>
            <w:r>
              <w:rPr>
                <w:rFonts w:ascii="Arial" w:cs="Arial" w:eastAsia="Arial" w:hAnsi="Arial"/>
                <w:sz w:val="14"/>
                <w:szCs w:val="14"/>
                <w:color w:val="auto"/>
                <w:w w:val="95"/>
              </w:rPr>
              <w:t>The Nasdaq Stock Market LLC</w:t>
            </w:r>
          </w:p>
        </w:tc>
      </w:tr>
    </w:tbl>
    <w:p>
      <w:pPr>
        <w:spacing w:after="0" w:line="218" w:lineRule="exact"/>
        <w:rPr>
          <w:sz w:val="24"/>
          <w:szCs w:val="24"/>
          <w:color w:val="auto"/>
        </w:rPr>
      </w:pPr>
    </w:p>
    <w:p>
      <w:pPr>
        <w:jc w:val="both"/>
        <w:ind w:firstLine="324"/>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88" w:lineRule="exact"/>
        <w:rPr>
          <w:sz w:val="24"/>
          <w:szCs w:val="24"/>
          <w:color w:val="auto"/>
        </w:rPr>
      </w:pPr>
    </w:p>
    <w:p>
      <w:pPr>
        <w:jc w:val="both"/>
        <w:ind w:firstLine="324"/>
        <w:spacing w:after="0" w:line="310"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x Yes o No</w:t>
      </w:r>
    </w:p>
    <w:p>
      <w:pPr>
        <w:spacing w:after="0" w:line="121" w:lineRule="exact"/>
        <w:rPr>
          <w:sz w:val="24"/>
          <w:szCs w:val="24"/>
          <w:color w:val="auto"/>
        </w:rPr>
      </w:pPr>
    </w:p>
    <w:p>
      <w:pPr>
        <w:jc w:val="both"/>
        <w:ind w:firstLine="324"/>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33" w:right="339" w:bottom="1440" w:gutter="0" w:footer="0" w:header="0"/>
          <w:type w:val="continuous"/>
        </w:sectPr>
      </w:pPr>
    </w:p>
    <w:p>
      <w:pPr>
        <w:spacing w:after="0" w:line="70" w:lineRule="exact"/>
        <w:rPr>
          <w:sz w:val="24"/>
          <w:szCs w:val="24"/>
          <w:color w:val="auto"/>
        </w:rPr>
      </w:pPr>
    </w:p>
    <w:p>
      <w:pPr>
        <w:ind w:left="2560"/>
        <w:spacing w:after="0"/>
        <w:rPr>
          <w:sz w:val="20"/>
          <w:szCs w:val="20"/>
          <w:color w:val="auto"/>
        </w:rPr>
      </w:pPr>
      <w:r>
        <w:rPr>
          <w:rFonts w:ascii="Arial" w:cs="Arial" w:eastAsia="Arial" w:hAnsi="Arial"/>
          <w:sz w:val="14"/>
          <w:szCs w:val="14"/>
          <w:color w:val="auto"/>
        </w:rPr>
        <w:t>Large accelerated filer x</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o</w:t>
      </w:r>
    </w:p>
    <w:p>
      <w:pPr>
        <w:spacing w:after="0" w:line="125" w:lineRule="exact"/>
        <w:rPr>
          <w:sz w:val="24"/>
          <w:szCs w:val="24"/>
          <w:color w:val="auto"/>
        </w:rPr>
      </w:pPr>
    </w:p>
    <w:p>
      <w:pPr>
        <w:sectPr>
          <w:pgSz w:w="11900" w:h="16838" w:orient="portrait"/>
          <w:cols w:equalWidth="0" w:num="2">
            <w:col w:w="6560" w:space="720"/>
            <w:col w:w="3960"/>
          </w:cols>
          <w:pgMar w:left="320" w:top="233" w:right="339" w:bottom="1440" w:gutter="0" w:footer="0" w:header="0"/>
          <w:type w:val="continuous"/>
        </w:sectPr>
      </w:pPr>
    </w:p>
    <w:p>
      <w:pPr>
        <w:jc w:val="center"/>
        <w:ind w:left="480"/>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136" w:lineRule="exact"/>
        <w:rPr>
          <w:sz w:val="24"/>
          <w:szCs w:val="24"/>
          <w:color w:val="auto"/>
        </w:rPr>
      </w:pPr>
    </w:p>
    <w:p>
      <w:pPr>
        <w:sectPr>
          <w:pgSz w:w="11900" w:h="16838" w:orient="portrait"/>
          <w:cols w:equalWidth="0" w:num="2">
            <w:col w:w="6220" w:space="720"/>
            <w:col w:w="4300"/>
          </w:cols>
          <w:pgMar w:left="320" w:top="233" w:right="339" w:bottom="1440" w:gutter="0" w:footer="0" w:header="0"/>
          <w:type w:val="continuous"/>
        </w:sectPr>
      </w:pPr>
    </w:p>
    <w:p>
      <w:pPr>
        <w:ind w:left="694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240"/>
          </w:cols>
          <w:pgMar w:left="320" w:top="233" w:right="339" w:bottom="1440" w:gutter="0" w:footer="0" w:header="0"/>
          <w:type w:val="continuous"/>
        </w:sectPr>
      </w:pPr>
    </w:p>
    <w:p>
      <w:pPr>
        <w:spacing w:after="0" w:line="217" w:lineRule="exact"/>
        <w:rPr>
          <w:sz w:val="24"/>
          <w:szCs w:val="24"/>
          <w:color w:val="auto"/>
        </w:rPr>
      </w:pPr>
    </w:p>
    <w:p>
      <w:pPr>
        <w:ind w:right="260" w:firstLine="32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8" w:lineRule="exact"/>
        <w:rPr>
          <w:sz w:val="24"/>
          <w:szCs w:val="24"/>
          <w:color w:val="auto"/>
        </w:rPr>
      </w:pPr>
    </w:p>
    <w:p>
      <w:pPr>
        <w:ind w:left="340" w:right="2640"/>
        <w:spacing w:after="0" w:line="510" w:lineRule="auto"/>
        <w:rPr>
          <w:sz w:val="20"/>
          <w:szCs w:val="20"/>
          <w:color w:val="auto"/>
        </w:rPr>
      </w:pPr>
      <w:r>
        <w:rPr>
          <w:rFonts w:ascii="Arial" w:cs="Arial" w:eastAsia="Arial" w:hAnsi="Arial"/>
          <w:sz w:val="14"/>
          <w:szCs w:val="14"/>
          <w:color w:val="auto"/>
        </w:rPr>
        <w:t>Indicate by check mark whether the registrant is a shell company (as defined in Rule 12b-2 of the Exchange Act). o Yes x No The number of outstanding shares of the registrant’s Common Stock, $.001 par value, was 222,475,468 as of October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639445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20" w:type="dxa"/>
            <w:vAlign w:val="bottom"/>
            <w:gridSpan w:val="8"/>
          </w:tcPr>
          <w:p>
            <w:pPr>
              <w:jc w:val="center"/>
              <w:ind w:right="2160"/>
              <w:spacing w:after="0"/>
              <w:rPr>
                <w:sz w:val="20"/>
                <w:szCs w:val="20"/>
                <w:color w:val="auto"/>
              </w:rPr>
            </w:pPr>
            <w:r>
              <w:rPr>
                <w:rFonts w:ascii="Arial" w:cs="Arial" w:eastAsia="Arial" w:hAnsi="Arial"/>
                <w:sz w:val="18"/>
                <w:szCs w:val="18"/>
                <w:b w:val="1"/>
                <w:bCs w:val="1"/>
                <w:color w:val="auto"/>
              </w:rPr>
              <w:t>INCYTE CORPORATION</w:t>
            </w:r>
          </w:p>
        </w:tc>
        <w:tc>
          <w:tcPr>
            <w:tcW w:w="19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60" w:type="dxa"/>
            <w:vAlign w:val="bottom"/>
            <w:gridSpan w:val="5"/>
          </w:tcPr>
          <w:p>
            <w:pPr>
              <w:jc w:val="center"/>
              <w:ind w:right="3220"/>
              <w:spacing w:after="0"/>
              <w:rPr>
                <w:sz w:val="20"/>
                <w:szCs w:val="20"/>
                <w:color w:val="auto"/>
              </w:rPr>
            </w:pPr>
            <w:r>
              <w:rPr>
                <w:rFonts w:ascii="Arial" w:cs="Arial" w:eastAsia="Arial" w:hAnsi="Arial"/>
                <w:sz w:val="18"/>
                <w:szCs w:val="18"/>
                <w:b w:val="1"/>
                <w:bCs w:val="1"/>
                <w:color w:val="auto"/>
              </w:rPr>
              <w:t>INDEX</w:t>
            </w:r>
          </w:p>
        </w:tc>
        <w:tc>
          <w:tcPr>
            <w:tcW w:w="19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9300" w:type="dxa"/>
            <w:vAlign w:val="bottom"/>
            <w:gridSpan w:val="21"/>
          </w:tcPr>
          <w:p>
            <w:pPr>
              <w:spacing w:after="0"/>
              <w:rPr>
                <w:sz w:val="20"/>
                <w:szCs w:val="20"/>
                <w:color w:val="auto"/>
              </w:rPr>
            </w:pPr>
            <w:r>
              <w:rPr>
                <w:rFonts w:ascii="Arial" w:cs="Arial" w:eastAsia="Arial" w:hAnsi="Arial"/>
                <w:sz w:val="18"/>
                <w:szCs w:val="18"/>
                <w:b w:val="1"/>
                <w:bCs w:val="1"/>
                <w:color w:val="0000FF"/>
              </w:rPr>
              <w:t>PART I: FINANCIAL INFORMATION</w:t>
            </w:r>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80"/>
        </w:trPr>
        <w:tc>
          <w:tcPr>
            <w:tcW w:w="20" w:type="dxa"/>
            <w:vAlign w:val="bottom"/>
          </w:tcPr>
          <w:p>
            <w:pPr>
              <w:spacing w:after="0"/>
              <w:rPr>
                <w:sz w:val="24"/>
                <w:szCs w:val="24"/>
                <w:color w:val="auto"/>
              </w:rPr>
            </w:pPr>
          </w:p>
        </w:tc>
        <w:tc>
          <w:tcPr>
            <w:tcW w:w="1140" w:type="dxa"/>
            <w:vAlign w:val="bottom"/>
            <w:tcBorders>
              <w:top w:val="single" w:sz="8" w:color="0000FF"/>
            </w:tcBorders>
            <w:gridSpan w:val="3"/>
          </w:tcPr>
          <w:p>
            <w:pPr>
              <w:spacing w:after="0"/>
              <w:rPr>
                <w:sz w:val="20"/>
                <w:szCs w:val="20"/>
                <w:color w:val="auto"/>
              </w:rPr>
            </w:pPr>
            <w:r>
              <w:rPr>
                <w:rFonts w:ascii="Arial" w:cs="Arial" w:eastAsia="Arial" w:hAnsi="Arial"/>
                <w:sz w:val="18"/>
                <w:szCs w:val="18"/>
                <w:b w:val="1"/>
                <w:bCs w:val="1"/>
                <w:color w:val="0000FF"/>
              </w:rPr>
              <w:t>Item 1.</w:t>
            </w:r>
          </w:p>
        </w:tc>
        <w:tc>
          <w:tcPr>
            <w:tcW w:w="194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Financial Statements</w:t>
            </w:r>
          </w:p>
        </w:tc>
        <w:tc>
          <w:tcPr>
            <w:tcW w:w="6220" w:type="dxa"/>
            <w:vAlign w:val="bottom"/>
            <w:gridSpan w:val="10"/>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7"/>
              </w:rPr>
              <w:t>Condensed Consolidated Balance Sheets</w:t>
            </w:r>
          </w:p>
        </w:tc>
        <w:tc>
          <w:tcPr>
            <w:tcW w:w="5220" w:type="dxa"/>
            <w:vAlign w:val="bottom"/>
            <w:gridSpan w:val="8"/>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7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8"/>
              </w:rPr>
              <w:t>Condensed Consolidated Statements of Operations</w:t>
            </w:r>
          </w:p>
        </w:tc>
        <w:tc>
          <w:tcPr>
            <w:tcW w:w="4500" w:type="dxa"/>
            <w:vAlign w:val="bottom"/>
            <w:gridSpan w:val="7"/>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8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160" w:type="dxa"/>
            <w:vAlign w:val="bottom"/>
            <w:gridSpan w:val="18"/>
          </w:tcPr>
          <w:p>
            <w:pPr>
              <w:spacing w:after="0"/>
              <w:rPr>
                <w:sz w:val="20"/>
                <w:szCs w:val="20"/>
                <w:color w:val="auto"/>
              </w:rPr>
            </w:pPr>
            <w:r>
              <w:rPr>
                <w:rFonts w:ascii="Arial" w:cs="Arial" w:eastAsia="Arial" w:hAnsi="Arial"/>
                <w:sz w:val="18"/>
                <w:szCs w:val="18"/>
                <w:color w:val="0000FF"/>
              </w:rPr>
              <w:t>Condensed Consolidated Statements of Comprehensive Income (Loss)</w:t>
            </w:r>
          </w:p>
        </w:tc>
        <w:tc>
          <w:tcPr>
            <w:tcW w:w="1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7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0"/>
              </w:rPr>
              <w:t>Condensed Consolidated Statements of Stockholders’ Equity</w:t>
            </w:r>
          </w:p>
        </w:tc>
        <w:tc>
          <w:tcPr>
            <w:tcW w:w="680" w:type="dxa"/>
            <w:vAlign w:val="bottom"/>
            <w:tcBorders>
              <w:top w:val="single" w:sz="8" w:color="0000FF"/>
            </w:tcBorders>
          </w:tcPr>
          <w:p>
            <w:pPr>
              <w:spacing w:after="0"/>
              <w:rPr>
                <w:sz w:val="24"/>
                <w:szCs w:val="24"/>
                <w:color w:val="auto"/>
              </w:rPr>
            </w:pPr>
          </w:p>
        </w:tc>
        <w:tc>
          <w:tcPr>
            <w:tcW w:w="3080" w:type="dxa"/>
            <w:vAlign w:val="bottom"/>
            <w:gridSpan w:val="2"/>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8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2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8"/>
              </w:rPr>
              <w:t>Condensed Consolidated Statements of Cash Flows</w:t>
            </w:r>
          </w:p>
        </w:tc>
        <w:tc>
          <w:tcPr>
            <w:tcW w:w="4440" w:type="dxa"/>
            <w:vAlign w:val="bottom"/>
            <w:gridSpan w:val="6"/>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7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4160" w:type="dxa"/>
            <w:vAlign w:val="bottom"/>
            <w:gridSpan w:val="5"/>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7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0000FF"/>
              </w:rPr>
              <w:t>Item 2.</w:t>
            </w:r>
          </w:p>
        </w:tc>
        <w:tc>
          <w:tcPr>
            <w:tcW w:w="816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80"/>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2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0"/>
              </w:rPr>
              <w:t>Forward-Looking Statements</w:t>
            </w:r>
          </w:p>
        </w:tc>
        <w:tc>
          <w:tcPr>
            <w:tcW w:w="4340" w:type="dxa"/>
            <w:vAlign w:val="bottom"/>
            <w:tcBorders>
              <w:top w:val="single" w:sz="8" w:color="0000FF"/>
            </w:tcBorders>
            <w:gridSpan w:val="8"/>
          </w:tcPr>
          <w:p>
            <w:pPr>
              <w:spacing w:after="0"/>
              <w:rPr>
                <w:sz w:val="24"/>
                <w:szCs w:val="24"/>
                <w:color w:val="auto"/>
              </w:rPr>
            </w:pPr>
          </w:p>
        </w:tc>
        <w:tc>
          <w:tcPr>
            <w:tcW w:w="17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8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0"/>
              </w:rPr>
              <w:t>Summary Risk Factors</w:t>
            </w:r>
          </w:p>
        </w:tc>
        <w:tc>
          <w:tcPr>
            <w:tcW w:w="6500" w:type="dxa"/>
            <w:vAlign w:val="bottom"/>
            <w:gridSpan w:val="12"/>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80"/>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0000FF"/>
              </w:rPr>
              <w:t>Item 3.</w:t>
            </w:r>
          </w:p>
        </w:tc>
        <w:tc>
          <w:tcPr>
            <w:tcW w:w="8160" w:type="dxa"/>
            <w:vAlign w:val="bottom"/>
            <w:gridSpan w:val="18"/>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9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540" w:type="dxa"/>
            <w:vAlign w:val="bottom"/>
            <w:gridSpan w:val="7"/>
            <w:shd w:val="clear" w:color="auto" w:fill="0000FF"/>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0000FF"/>
              </w:rPr>
              <w:t>Item 4.</w:t>
            </w:r>
          </w:p>
        </w:tc>
        <w:tc>
          <w:tcPr>
            <w:tcW w:w="8160" w:type="dxa"/>
            <w:vAlign w:val="bottom"/>
            <w:gridSpan w:val="18"/>
          </w:tcPr>
          <w:p>
            <w:pPr>
              <w:spacing w:after="0"/>
              <w:rPr>
                <w:sz w:val="20"/>
                <w:szCs w:val="20"/>
                <w:color w:val="auto"/>
              </w:rPr>
            </w:pPr>
            <w:r>
              <w:rPr>
                <w:rFonts w:ascii="Arial" w:cs="Arial" w:eastAsia="Arial" w:hAnsi="Arial"/>
                <w:sz w:val="18"/>
                <w:szCs w:val="18"/>
                <w:color w:val="0000FF"/>
              </w:rPr>
              <w:t>Controls and Procedures</w:t>
            </w:r>
          </w:p>
        </w:tc>
        <w:tc>
          <w:tcPr>
            <w:tcW w:w="1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400" w:type="dxa"/>
            <w:vAlign w:val="bottom"/>
            <w:gridSpan w:val="11"/>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9300" w:type="dxa"/>
            <w:vAlign w:val="bottom"/>
            <w:gridSpan w:val="21"/>
          </w:tcPr>
          <w:p>
            <w:pPr>
              <w:spacing w:after="0"/>
              <w:rPr>
                <w:sz w:val="20"/>
                <w:szCs w:val="20"/>
                <w:color w:val="auto"/>
              </w:rPr>
            </w:pPr>
            <w:r>
              <w:rPr>
                <w:rFonts w:ascii="Arial" w:cs="Arial" w:eastAsia="Arial" w:hAnsi="Arial"/>
                <w:sz w:val="18"/>
                <w:szCs w:val="18"/>
                <w:b w:val="1"/>
                <w:bCs w:val="1"/>
                <w:color w:val="0000FF"/>
              </w:rPr>
              <w:t>PART II: OTHER INFORMATION</w:t>
            </w:r>
          </w:p>
        </w:tc>
        <w:tc>
          <w:tcPr>
            <w:tcW w:w="192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680" w:type="dxa"/>
            <w:vAlign w:val="bottom"/>
            <w:tcBorders>
              <w:top w:val="single" w:sz="8" w:color="0000FF"/>
            </w:tcBorders>
            <w:gridSpan w:val="2"/>
          </w:tcPr>
          <w:p>
            <w:pPr>
              <w:spacing w:after="0"/>
              <w:rPr>
                <w:sz w:val="20"/>
                <w:szCs w:val="20"/>
                <w:color w:val="auto"/>
              </w:rPr>
            </w:pPr>
            <w:r>
              <w:rPr>
                <w:rFonts w:ascii="Arial" w:cs="Arial" w:eastAsia="Arial" w:hAnsi="Arial"/>
                <w:sz w:val="18"/>
                <w:szCs w:val="18"/>
                <w:b w:val="1"/>
                <w:bCs w:val="1"/>
                <w:color w:val="0000FF"/>
                <w:w w:val="94"/>
              </w:rPr>
              <w:t>Item 1A.</w:t>
            </w:r>
          </w:p>
        </w:tc>
        <w:tc>
          <w:tcPr>
            <w:tcW w:w="460" w:type="dxa"/>
            <w:vAlign w:val="bottom"/>
            <w:tcBorders>
              <w:top w:val="single" w:sz="8" w:color="0000FF"/>
            </w:tcBorders>
          </w:tcPr>
          <w:p>
            <w:pPr>
              <w:spacing w:after="0"/>
              <w:rPr>
                <w:sz w:val="24"/>
                <w:szCs w:val="24"/>
                <w:color w:val="auto"/>
              </w:rPr>
            </w:pPr>
          </w:p>
        </w:tc>
        <w:tc>
          <w:tcPr>
            <w:tcW w:w="16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Risk Factors</w:t>
            </w:r>
          </w:p>
        </w:tc>
        <w:tc>
          <w:tcPr>
            <w:tcW w:w="6520" w:type="dxa"/>
            <w:vAlign w:val="bottom"/>
            <w:gridSpan w:val="13"/>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79"/>
        </w:trPr>
        <w:tc>
          <w:tcPr>
            <w:tcW w:w="20" w:type="dxa"/>
            <w:vAlign w:val="bottom"/>
          </w:tcPr>
          <w:p>
            <w:pPr>
              <w:spacing w:after="0"/>
              <w:rPr>
                <w:sz w:val="24"/>
                <w:szCs w:val="24"/>
                <w:color w:val="auto"/>
              </w:rPr>
            </w:pPr>
          </w:p>
        </w:tc>
        <w:tc>
          <w:tcPr>
            <w:tcW w:w="680" w:type="dxa"/>
            <w:vAlign w:val="bottom"/>
            <w:tcBorders>
              <w:top w:val="single" w:sz="8" w:color="0000FF"/>
            </w:tcBorders>
            <w:gridSpan w:val="2"/>
          </w:tcPr>
          <w:p>
            <w:pPr>
              <w:spacing w:after="0"/>
              <w:rPr>
                <w:sz w:val="20"/>
                <w:szCs w:val="20"/>
                <w:color w:val="auto"/>
              </w:rPr>
            </w:pPr>
            <w:r>
              <w:rPr>
                <w:rFonts w:ascii="Arial" w:cs="Arial" w:eastAsia="Arial" w:hAnsi="Arial"/>
                <w:sz w:val="18"/>
                <w:szCs w:val="18"/>
                <w:b w:val="1"/>
                <w:bCs w:val="1"/>
                <w:color w:val="0000FF"/>
              </w:rPr>
              <w:t>Item 6.</w:t>
            </w:r>
          </w:p>
        </w:tc>
        <w:tc>
          <w:tcPr>
            <w:tcW w:w="460" w:type="dxa"/>
            <w:vAlign w:val="bottom"/>
          </w:tcPr>
          <w:p>
            <w:pPr>
              <w:spacing w:after="0"/>
              <w:rPr>
                <w:sz w:val="24"/>
                <w:szCs w:val="24"/>
                <w:color w:val="auto"/>
              </w:rPr>
            </w:pPr>
          </w:p>
        </w:tc>
        <w:tc>
          <w:tcPr>
            <w:tcW w:w="9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Exhibits</w:t>
            </w:r>
          </w:p>
        </w:tc>
        <w:tc>
          <w:tcPr>
            <w:tcW w:w="7260" w:type="dxa"/>
            <w:vAlign w:val="bottom"/>
            <w:gridSpan w:val="15"/>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0" w:type="dxa"/>
            <w:vAlign w:val="bottom"/>
            <w:gridSpan w:val="16"/>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5"/>
              </w:rPr>
              <w:t>Signatures</w:t>
            </w:r>
          </w:p>
        </w:tc>
        <w:tc>
          <w:tcPr>
            <w:tcW w:w="7400" w:type="dxa"/>
            <w:vAlign w:val="bottom"/>
            <w:gridSpan w:val="16"/>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92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80" w:type="dxa"/>
            <w:vAlign w:val="bottom"/>
            <w:gridSpan w:val="16"/>
          </w:tcPr>
          <w:p>
            <w:pPr>
              <w:jc w:val="center"/>
              <w:ind w:left="3750"/>
              <w:spacing w:after="0"/>
              <w:rPr>
                <w:sz w:val="20"/>
                <w:szCs w:val="20"/>
                <w:color w:val="auto"/>
              </w:rPr>
            </w:pPr>
            <w:r>
              <w:rPr>
                <w:rFonts w:ascii="Arial" w:cs="Arial" w:eastAsia="Arial" w:hAnsi="Arial"/>
                <w:sz w:val="18"/>
                <w:szCs w:val="18"/>
                <w:color w:val="auto"/>
                <w:w w:val="79"/>
              </w:rPr>
              <w:t>2</w:t>
            </w: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par value)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80" w:type="dxa"/>
            <w:vAlign w:val="bottom"/>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4"/>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2,690,622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2,057,440</w:t>
            </w:r>
          </w:p>
        </w:tc>
        <w:tc>
          <w:tcPr>
            <w:tcW w:w="0" w:type="dxa"/>
            <w:vAlign w:val="bottom"/>
          </w:tcPr>
          <w:p>
            <w:pPr>
              <w:spacing w:after="0"/>
              <w:rPr>
                <w:sz w:val="1"/>
                <w:szCs w:val="1"/>
                <w:color w:val="auto"/>
              </w:rPr>
            </w:pPr>
          </w:p>
        </w:tc>
      </w:tr>
      <w:tr>
        <w:trPr>
          <w:trHeight w:val="206"/>
        </w:trPr>
        <w:tc>
          <w:tcPr>
            <w:tcW w:w="8180" w:type="dxa"/>
            <w:vAlign w:val="bottom"/>
          </w:tcPr>
          <w:p>
            <w:pPr>
              <w:ind w:left="260"/>
              <w:spacing w:after="0"/>
              <w:rPr>
                <w:sz w:val="20"/>
                <w:szCs w:val="20"/>
                <w:color w:val="auto"/>
              </w:rPr>
            </w:pPr>
            <w:r>
              <w:rPr>
                <w:rFonts w:ascii="Arial" w:cs="Arial" w:eastAsia="Arial" w:hAnsi="Arial"/>
                <w:sz w:val="16"/>
                <w:szCs w:val="16"/>
                <w:color w:val="auto"/>
                <w:w w:val="99"/>
              </w:rPr>
              <w:t>Marketable securities—available-for-sale (amortized cost $292,941 and $291,871 as of September 30, 2022 and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180" w:type="dxa"/>
            <w:vAlign w:val="bottom"/>
          </w:tcPr>
          <w:p>
            <w:pPr>
              <w:ind w:left="260"/>
              <w:spacing w:after="0"/>
              <w:rPr>
                <w:sz w:val="20"/>
                <w:szCs w:val="20"/>
                <w:color w:val="auto"/>
              </w:rPr>
            </w:pPr>
            <w:r>
              <w:rPr>
                <w:rFonts w:ascii="Arial" w:cs="Arial" w:eastAsia="Arial" w:hAnsi="Arial"/>
                <w:sz w:val="16"/>
                <w:szCs w:val="16"/>
                <w:color w:val="auto"/>
                <w:w w:val="96"/>
              </w:rPr>
              <w:t>December 31, 2021, respectively; allowance for credit losses $0 as of September 30, 2022 and December 31, 2021)</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286,500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290,752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Accounts receivable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616,300</w:t>
            </w:r>
          </w:p>
        </w:tc>
        <w:tc>
          <w:tcPr>
            <w:tcW w:w="0" w:type="dxa"/>
            <w:vAlign w:val="bottom"/>
          </w:tcPr>
          <w:p>
            <w:pPr>
              <w:spacing w:after="0"/>
              <w:rPr>
                <w:sz w:val="1"/>
                <w:szCs w:val="1"/>
                <w:color w:val="auto"/>
              </w:rPr>
            </w:pPr>
          </w:p>
        </w:tc>
      </w:tr>
      <w:tr>
        <w:trPr>
          <w:trHeight w:val="213"/>
        </w:trPr>
        <w:tc>
          <w:tcPr>
            <w:tcW w:w="8180" w:type="dxa"/>
            <w:vAlign w:val="bottom"/>
          </w:tcPr>
          <w:p>
            <w:pPr>
              <w:ind w:left="26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45,869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27,904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179,932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126,278</w:t>
            </w:r>
          </w:p>
        </w:tc>
        <w:tc>
          <w:tcPr>
            <w:tcW w:w="0" w:type="dxa"/>
            <w:vAlign w:val="bottom"/>
          </w:tcPr>
          <w:p>
            <w:pPr>
              <w:spacing w:after="0"/>
              <w:rPr>
                <w:sz w:val="1"/>
                <w:szCs w:val="1"/>
                <w:color w:val="auto"/>
              </w:rPr>
            </w:pPr>
          </w:p>
        </w:tc>
      </w:tr>
      <w:tr>
        <w:trPr>
          <w:trHeight w:val="207"/>
        </w:trPr>
        <w:tc>
          <w:tcPr>
            <w:tcW w:w="818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3,821,111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3,118,674</w:t>
            </w:r>
          </w:p>
        </w:tc>
        <w:tc>
          <w:tcPr>
            <w:tcW w:w="0" w:type="dxa"/>
            <w:vAlign w:val="bottom"/>
          </w:tcPr>
          <w:p>
            <w:pPr>
              <w:spacing w:after="0"/>
              <w:rPr>
                <w:sz w:val="1"/>
                <w:szCs w:val="1"/>
                <w:color w:val="auto"/>
              </w:rPr>
            </w:pPr>
          </w:p>
        </w:tc>
      </w:tr>
      <w:tr>
        <w:trPr>
          <w:trHeight w:val="165"/>
        </w:trPr>
        <w:tc>
          <w:tcPr>
            <w:tcW w:w="8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Restricted cash and investments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1,720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 term investments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221,266</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55,264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29,034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715,733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723,920</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Finance lease right-of-use assets,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26,679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27,548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150,755</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155,593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155,593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asset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426,840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467,538</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 net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23,666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37,304</w:t>
            </w:r>
          </w:p>
        </w:tc>
        <w:tc>
          <w:tcPr>
            <w:tcW w:w="0" w:type="dxa"/>
            <w:vAlign w:val="bottom"/>
          </w:tcPr>
          <w:p>
            <w:pPr>
              <w:spacing w:after="0"/>
              <w:rPr>
                <w:sz w:val="1"/>
                <w:szCs w:val="1"/>
                <w:color w:val="auto"/>
              </w:rPr>
            </w:pPr>
          </w:p>
        </w:tc>
      </w:tr>
      <w:tr>
        <w:trPr>
          <w:trHeight w:val="234"/>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5,510,214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4,933,352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8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172,110</w:t>
            </w:r>
          </w:p>
        </w:tc>
        <w:tc>
          <w:tcPr>
            <w:tcW w:w="0" w:type="dxa"/>
            <w:vAlign w:val="bottom"/>
          </w:tcPr>
          <w:p>
            <w:pPr>
              <w:spacing w:after="0"/>
              <w:rPr>
                <w:sz w:val="1"/>
                <w:szCs w:val="1"/>
                <w:color w:val="auto"/>
              </w:rPr>
            </w:pPr>
          </w:p>
        </w:tc>
      </w:tr>
      <w:tr>
        <w:trPr>
          <w:trHeight w:val="213"/>
        </w:trPr>
        <w:tc>
          <w:tcPr>
            <w:tcW w:w="8180" w:type="dxa"/>
            <w:vAlign w:val="bottom"/>
          </w:tcPr>
          <w:p>
            <w:pPr>
              <w:ind w:left="260"/>
              <w:spacing w:after="0"/>
              <w:rPr>
                <w:sz w:val="20"/>
                <w:szCs w:val="20"/>
                <w:color w:val="auto"/>
              </w:rPr>
            </w:pPr>
            <w:r>
              <w:rPr>
                <w:rFonts w:ascii="Arial" w:cs="Arial" w:eastAsia="Arial" w:hAnsi="Arial"/>
                <w:sz w:val="16"/>
                <w:szCs w:val="16"/>
                <w:color w:val="auto"/>
              </w:rPr>
              <w:t>Accrued compensation</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106,309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108,962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Accrued and other current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699,814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533,595</w:t>
            </w:r>
          </w:p>
        </w:tc>
        <w:tc>
          <w:tcPr>
            <w:tcW w:w="0" w:type="dxa"/>
            <w:vAlign w:val="bottom"/>
          </w:tcPr>
          <w:p>
            <w:pPr>
              <w:spacing w:after="0"/>
              <w:rPr>
                <w:sz w:val="1"/>
                <w:szCs w:val="1"/>
                <w:color w:val="auto"/>
              </w:rPr>
            </w:pPr>
          </w:p>
        </w:tc>
      </w:tr>
      <w:tr>
        <w:trPr>
          <w:trHeight w:val="213"/>
        </w:trPr>
        <w:tc>
          <w:tcPr>
            <w:tcW w:w="8180" w:type="dxa"/>
            <w:vAlign w:val="bottom"/>
          </w:tcPr>
          <w:p>
            <w:pPr>
              <w:ind w:left="260"/>
              <w:spacing w:after="0"/>
              <w:rPr>
                <w:sz w:val="20"/>
                <w:szCs w:val="20"/>
                <w:color w:val="auto"/>
              </w:rPr>
            </w:pPr>
            <w:r>
              <w:rPr>
                <w:rFonts w:ascii="Arial" w:cs="Arial" w:eastAsia="Arial" w:hAnsi="Arial"/>
                <w:sz w:val="16"/>
                <w:szCs w:val="16"/>
                <w:color w:val="auto"/>
              </w:rPr>
              <w:t>Finance lease liabilities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2,635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Acquisition-related contingent consideration</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37,006</w:t>
            </w:r>
          </w:p>
        </w:tc>
        <w:tc>
          <w:tcPr>
            <w:tcW w:w="0" w:type="dxa"/>
            <w:vAlign w:val="bottom"/>
          </w:tcPr>
          <w:p>
            <w:pPr>
              <w:spacing w:after="0"/>
              <w:rPr>
                <w:sz w:val="1"/>
                <w:szCs w:val="1"/>
                <w:color w:val="auto"/>
              </w:rPr>
            </w:pPr>
          </w:p>
        </w:tc>
      </w:tr>
      <w:tr>
        <w:trPr>
          <w:trHeight w:val="207"/>
        </w:trPr>
        <w:tc>
          <w:tcPr>
            <w:tcW w:w="818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1,006,596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854,308</w:t>
            </w:r>
          </w:p>
        </w:tc>
        <w:tc>
          <w:tcPr>
            <w:tcW w:w="0" w:type="dxa"/>
            <w:vAlign w:val="bottom"/>
          </w:tcPr>
          <w:p>
            <w:pPr>
              <w:spacing w:after="0"/>
              <w:rPr>
                <w:sz w:val="1"/>
                <w:szCs w:val="1"/>
                <w:color w:val="auto"/>
              </w:rPr>
            </w:pPr>
          </w:p>
        </w:tc>
      </w:tr>
      <w:tr>
        <w:trPr>
          <w:trHeight w:val="165"/>
        </w:trPr>
        <w:tc>
          <w:tcPr>
            <w:tcW w:w="8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Acquisition-related contingent consideration</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171,814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206,994</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31,632</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74,677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70,414</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1,283,563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1,163,348</w:t>
            </w:r>
          </w:p>
        </w:tc>
        <w:tc>
          <w:tcPr>
            <w:tcW w:w="0" w:type="dxa"/>
            <w:vAlign w:val="bottom"/>
          </w:tcPr>
          <w:p>
            <w:pPr>
              <w:spacing w:after="0"/>
              <w:rPr>
                <w:sz w:val="1"/>
                <w:szCs w:val="1"/>
                <w:color w:val="auto"/>
              </w:rPr>
            </w:pPr>
          </w:p>
        </w:tc>
      </w:tr>
      <w:tr>
        <w:trPr>
          <w:trHeight w:val="145"/>
        </w:trPr>
        <w:tc>
          <w:tcPr>
            <w:tcW w:w="8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14)</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60"/>
              <w:spacing w:after="0"/>
              <w:rPr>
                <w:sz w:val="20"/>
                <w:szCs w:val="20"/>
                <w:color w:val="auto"/>
              </w:rPr>
            </w:pPr>
            <w:r>
              <w:rPr>
                <w:rFonts w:ascii="Arial" w:cs="Arial" w:eastAsia="Arial" w:hAnsi="Arial"/>
                <w:sz w:val="16"/>
                <w:szCs w:val="16"/>
                <w:color w:val="auto"/>
              </w:rPr>
              <w:t>Preferred stock, $0.001 par value; 5,000,000 shares authorized; none issued or outstanding</w:t>
            </w:r>
          </w:p>
        </w:tc>
        <w:tc>
          <w:tcPr>
            <w:tcW w:w="2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8180" w:type="dxa"/>
            <w:vAlign w:val="bottom"/>
            <w:shd w:val="clear" w:color="auto" w:fill="CCEEFF"/>
          </w:tcPr>
          <w:p>
            <w:pPr>
              <w:ind w:left="260"/>
              <w:spacing w:after="0" w:line="169" w:lineRule="exact"/>
              <w:rPr>
                <w:sz w:val="20"/>
                <w:szCs w:val="20"/>
                <w:color w:val="auto"/>
              </w:rPr>
            </w:pPr>
            <w:r>
              <w:rPr>
                <w:rFonts w:ascii="Arial" w:cs="Arial" w:eastAsia="Arial" w:hAnsi="Arial"/>
                <w:sz w:val="16"/>
                <w:szCs w:val="16"/>
                <w:color w:val="auto"/>
                <w:w w:val="96"/>
              </w:rPr>
              <w:t>Common stock, $0.001 par value; 400,000,000 shares authorized; 222,454,839 and 221,084,433 shares issued and</w:t>
            </w:r>
          </w:p>
        </w:tc>
        <w:tc>
          <w:tcPr>
            <w:tcW w:w="2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outstanding as of September 30, 2022 and December 31, 2021, respectively</w:t>
            </w:r>
          </w:p>
        </w:tc>
        <w:tc>
          <w:tcPr>
            <w:tcW w:w="2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4,721,166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4,567,111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(19,454)</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Accumulated deficit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(465,675)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(777,874)</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4,226,651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3,770,004</w:t>
            </w:r>
          </w:p>
        </w:tc>
        <w:tc>
          <w:tcPr>
            <w:tcW w:w="0" w:type="dxa"/>
            <w:vAlign w:val="bottom"/>
          </w:tcPr>
          <w:p>
            <w:pPr>
              <w:spacing w:after="0"/>
              <w:rPr>
                <w:sz w:val="1"/>
                <w:szCs w:val="1"/>
                <w:color w:val="auto"/>
              </w:rPr>
            </w:pPr>
          </w:p>
        </w:tc>
      </w:tr>
      <w:tr>
        <w:trPr>
          <w:trHeight w:val="206"/>
        </w:trPr>
        <w:tc>
          <w:tcPr>
            <w:tcW w:w="8180" w:type="dxa"/>
            <w:vAlign w:val="bottom"/>
          </w:tcPr>
          <w:p>
            <w:pPr>
              <w:ind w:left="36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5,510,214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4,933,352</w:t>
            </w: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condensed consolidated balance sheet at December 31, 2021 has been derived from the audited consolidated financial statements at that date.</w:t>
      </w:r>
    </w:p>
    <w:p>
      <w:pPr>
        <w:spacing w:after="0" w:line="86" w:lineRule="exact"/>
        <w:rPr>
          <w:rFonts w:ascii="Arial" w:cs="Arial" w:eastAsia="Arial" w:hAnsi="Arial"/>
          <w:sz w:val="16"/>
          <w:szCs w:val="16"/>
          <w:color w:val="auto"/>
        </w:rPr>
      </w:pPr>
    </w:p>
    <w:p>
      <w:pPr>
        <w:ind w:left="4720"/>
        <w:spacing w:after="0"/>
        <w:rPr>
          <w:rFonts w:ascii="Arial" w:cs="Arial" w:eastAsia="Arial" w:hAnsi="Arial"/>
          <w:sz w:val="16"/>
          <w:szCs w:val="16"/>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5"/>
                <w:szCs w:val="15"/>
                <w:color w:val="auto"/>
              </w:rPr>
            </w:pPr>
          </w:p>
        </w:tc>
      </w:tr>
      <w:tr>
        <w:trPr>
          <w:trHeight w:val="186"/>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6"/>
                <w:szCs w:val="16"/>
                <w:color w:val="auto"/>
              </w:rPr>
            </w:pPr>
          </w:p>
        </w:tc>
      </w:tr>
      <w:tr>
        <w:trPr>
          <w:trHeight w:val="39"/>
        </w:trPr>
        <w:tc>
          <w:tcPr>
            <w:tcW w:w="50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9"/>
        </w:trPr>
        <w:tc>
          <w:tcPr>
            <w:tcW w:w="5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9"/>
              </w:rPr>
              <w:t>2021</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Product revenues, net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713,010</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594,013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1,982,682</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1,673,974</w:t>
            </w:r>
          </w:p>
        </w:tc>
      </w:tr>
      <w:tr>
        <w:trPr>
          <w:trHeight w:val="229"/>
        </w:trPr>
        <w:tc>
          <w:tcPr>
            <w:tcW w:w="5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Product royalty revenues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110,293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350,253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404,440</w:t>
            </w:r>
          </w:p>
        </w:tc>
      </w:tr>
      <w:tr>
        <w:trPr>
          <w:trHeight w:val="229"/>
        </w:trPr>
        <w:tc>
          <w:tcPr>
            <w:tcW w:w="5040" w:type="dxa"/>
            <w:vAlign w:val="bottom"/>
          </w:tcPr>
          <w:p>
            <w:pPr>
              <w:ind w:left="260"/>
              <w:spacing w:after="0"/>
              <w:rPr>
                <w:sz w:val="20"/>
                <w:szCs w:val="20"/>
                <w:color w:val="auto"/>
              </w:rPr>
            </w:pPr>
            <w:r>
              <w:rPr>
                <w:rFonts w:ascii="Arial" w:cs="Arial" w:eastAsia="Arial" w:hAnsi="Arial"/>
                <w:sz w:val="18"/>
                <w:szCs w:val="18"/>
                <w:color w:val="auto"/>
              </w:rPr>
              <w:t>Milestone and contract revenues</w:t>
            </w:r>
          </w:p>
        </w:tc>
        <w:tc>
          <w:tcPr>
            <w:tcW w:w="3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45,000</w:t>
            </w:r>
          </w:p>
        </w:tc>
      </w:tr>
      <w:tr>
        <w:trPr>
          <w:trHeight w:val="250"/>
        </w:trPr>
        <w:tc>
          <w:tcPr>
            <w:tcW w:w="504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r>
      <w:tr>
        <w:trPr>
          <w:trHeight w:val="230"/>
        </w:trPr>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823,303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812,987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2,467,935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2,123,414</w:t>
            </w:r>
          </w:p>
        </w:tc>
      </w:tr>
      <w:tr>
        <w:trPr>
          <w:trHeight w:val="250"/>
        </w:trPr>
        <w:tc>
          <w:tcPr>
            <w:tcW w:w="50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76"/>
        </w:trPr>
        <w:tc>
          <w:tcPr>
            <w:tcW w:w="504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Cost of product revenues (including definite-lived intangible</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5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amortization)</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54,584</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39,869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147,834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107,117</w:t>
            </w: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384,007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334,945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1,084,576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985,352</w:t>
            </w:r>
          </w:p>
        </w:tc>
      </w:tr>
      <w:tr>
        <w:trPr>
          <w:trHeight w:val="229"/>
        </w:trPr>
        <w:tc>
          <w:tcPr>
            <w:tcW w:w="5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266,460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729,321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513,358</w:t>
            </w:r>
          </w:p>
        </w:tc>
      </w:tr>
      <w:tr>
        <w:trPr>
          <w:trHeight w:val="175"/>
        </w:trPr>
        <w:tc>
          <w:tcPr>
            <w:tcW w:w="5040" w:type="dxa"/>
            <w:vAlign w:val="bottom"/>
          </w:tcPr>
          <w:p>
            <w:pPr>
              <w:ind w:left="260"/>
              <w:spacing w:after="0" w:line="176" w:lineRule="exact"/>
              <w:rPr>
                <w:sz w:val="20"/>
                <w:szCs w:val="20"/>
                <w:color w:val="auto"/>
              </w:rPr>
            </w:pPr>
            <w:r>
              <w:rPr>
                <w:rFonts w:ascii="Arial" w:cs="Arial" w:eastAsia="Arial" w:hAnsi="Arial"/>
                <w:sz w:val="18"/>
                <w:szCs w:val="18"/>
                <w:color w:val="auto"/>
              </w:rPr>
              <w:t>(Gain) loss on change in fair value of acquisition-related</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5040" w:type="dxa"/>
            <w:vAlign w:val="bottom"/>
          </w:tcPr>
          <w:p>
            <w:pPr>
              <w:ind w:left="260"/>
              <w:spacing w:after="0"/>
              <w:rPr>
                <w:sz w:val="20"/>
                <w:szCs w:val="20"/>
                <w:color w:val="auto"/>
              </w:rPr>
            </w:pPr>
            <w:r>
              <w:rPr>
                <w:rFonts w:ascii="Arial" w:cs="Arial" w:eastAsia="Arial" w:hAnsi="Arial"/>
                <w:sz w:val="18"/>
                <w:szCs w:val="18"/>
                <w:color w:val="auto"/>
              </w:rPr>
              <w:t>contingent consideration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(21,893)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(12,198)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13,068</w:t>
            </w:r>
          </w:p>
        </w:tc>
      </w:tr>
      <w:tr>
        <w:trPr>
          <w:trHeight w:val="229"/>
        </w:trPr>
        <w:tc>
          <w:tcPr>
            <w:tcW w:w="5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Collaboration loss sharing</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29,476</w:t>
            </w:r>
          </w:p>
        </w:tc>
      </w:tr>
      <w:tr>
        <w:trPr>
          <w:trHeight w:val="250"/>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3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costs and expenses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684,927</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577,577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1,958,588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1,648,371</w:t>
            </w:r>
          </w:p>
        </w:tc>
      </w:tr>
      <w:tr>
        <w:trPr>
          <w:trHeight w:val="250"/>
        </w:trPr>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138,376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509,347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475,043</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11,513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13,295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4,931</w:t>
            </w: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loss on long term investments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(72,142)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(28,394)</w:t>
            </w:r>
          </w:p>
        </w:tc>
      </w:tr>
      <w:tr>
        <w:trPr>
          <w:trHeight w:val="250"/>
        </w:trPr>
        <w:tc>
          <w:tcPr>
            <w:tcW w:w="50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9"/>
        </w:trPr>
        <w:tc>
          <w:tcPr>
            <w:tcW w:w="5040" w:type="dxa"/>
            <w:vAlign w:val="bottom"/>
          </w:tcPr>
          <w:p>
            <w:pPr>
              <w:ind w:left="360"/>
              <w:spacing w:after="0"/>
              <w:rPr>
                <w:sz w:val="20"/>
                <w:szCs w:val="20"/>
                <w:color w:val="auto"/>
              </w:rPr>
            </w:pPr>
            <w:r>
              <w:rPr>
                <w:rFonts w:ascii="Arial" w:cs="Arial" w:eastAsia="Arial" w:hAnsi="Arial"/>
                <w:sz w:val="18"/>
                <w:szCs w:val="18"/>
                <w:color w:val="auto"/>
              </w:rPr>
              <w:t>Income before provision for income taxes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148,588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209,469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448,501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450,424</w:t>
            </w:r>
          </w:p>
        </w:tc>
      </w:tr>
      <w:tr>
        <w:trPr>
          <w:trHeight w:val="270"/>
        </w:trPr>
        <w:tc>
          <w:tcPr>
            <w:tcW w:w="50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35,813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136,302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65,694</w:t>
            </w:r>
          </w:p>
        </w:tc>
      </w:tr>
      <w:tr>
        <w:trPr>
          <w:trHeight w:val="250"/>
        </w:trPr>
        <w:tc>
          <w:tcPr>
            <w:tcW w:w="50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r>
      <w:tr>
        <w:trPr>
          <w:trHeight w:val="223"/>
        </w:trPr>
        <w:tc>
          <w:tcPr>
            <w:tcW w:w="50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112,775</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312,199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384,730</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5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1.73</w:t>
            </w:r>
          </w:p>
        </w:tc>
      </w:tr>
      <w:tr>
        <w:trPr>
          <w:trHeight w:val="270"/>
        </w:trPr>
        <w:tc>
          <w:tcPr>
            <w:tcW w:w="50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Shares used in computing net income per share: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9"/>
              </w:rPr>
              <w:t>222,415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221,801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220,243</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1120" w:type="dxa"/>
            <w:vAlign w:val="bottom"/>
          </w:tcPr>
          <w:p>
            <w:pPr>
              <w:ind w:left="520"/>
              <w:spacing w:after="0"/>
              <w:rPr>
                <w:sz w:val="20"/>
                <w:szCs w:val="20"/>
                <w:color w:val="auto"/>
              </w:rPr>
            </w:pPr>
            <w:r>
              <w:rPr>
                <w:rFonts w:ascii="Arial" w:cs="Arial" w:eastAsia="Arial" w:hAnsi="Arial"/>
                <w:sz w:val="18"/>
                <w:szCs w:val="18"/>
                <w:color w:val="auto"/>
                <w:w w:val="89"/>
              </w:rPr>
              <w:t>224,175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222,248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223,626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222,113</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2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4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5"/>
        </w:trPr>
        <w:tc>
          <w:tcPr>
            <w:tcW w:w="43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2021</w:t>
            </w: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112,775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384,730</w:t>
            </w:r>
          </w:p>
        </w:tc>
      </w:tr>
      <w:tr>
        <w:trPr>
          <w:trHeight w:val="270"/>
        </w:trPr>
        <w:tc>
          <w:tcPr>
            <w:tcW w:w="4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4320" w:type="dxa"/>
            <w:vAlign w:val="bottom"/>
          </w:tcPr>
          <w:p>
            <w:pPr>
              <w:ind w:left="260"/>
              <w:spacing w:after="0"/>
              <w:rPr>
                <w:sz w:val="20"/>
                <w:szCs w:val="20"/>
                <w:color w:val="auto"/>
              </w:rPr>
            </w:pPr>
            <w:r>
              <w:rPr>
                <w:rFonts w:ascii="Arial" w:cs="Arial" w:eastAsia="Arial" w:hAnsi="Arial"/>
                <w:sz w:val="18"/>
                <w:szCs w:val="18"/>
                <w:color w:val="auto"/>
              </w:rPr>
              <w:t>Foreign currency translation loss</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(5,132)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(4,061)</w:t>
            </w:r>
          </w:p>
        </w:tc>
      </w:tr>
      <w:tr>
        <w:trPr>
          <w:trHeight w:val="229"/>
        </w:trPr>
        <w:tc>
          <w:tcPr>
            <w:tcW w:w="43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9"/>
              </w:rPr>
              <w:t>Unrealized loss on marketable securities, net of tax</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30"/>
        </w:trPr>
        <w:tc>
          <w:tcPr>
            <w:tcW w:w="43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Defined benefit pension gain, net of tax</w:t>
            </w:r>
          </w:p>
        </w:tc>
        <w:tc>
          <w:tcPr>
            <w:tcW w:w="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r>
      <w:tr>
        <w:trPr>
          <w:trHeight w:val="223"/>
        </w:trPr>
        <w:tc>
          <w:tcPr>
            <w:tcW w:w="4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comprehensive loss</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r>
      <w:tr>
        <w:trPr>
          <w:trHeight w:val="270"/>
        </w:trPr>
        <w:tc>
          <w:tcPr>
            <w:tcW w:w="432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7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109,409</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302,591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381,444</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4320" w:type="dxa"/>
            <w:vAlign w:val="bottom"/>
          </w:tcPr>
          <w:p>
            <w:pPr>
              <w:spacing w:after="0"/>
              <w:rPr>
                <w:sz w:val="24"/>
                <w:szCs w:val="24"/>
                <w:color w:val="auto"/>
              </w:rPr>
            </w:pPr>
          </w:p>
        </w:tc>
        <w:tc>
          <w:tcPr>
            <w:tcW w:w="2280" w:type="dxa"/>
            <w:vAlign w:val="bottom"/>
            <w:gridSpan w:val="4"/>
          </w:tcPr>
          <w:p>
            <w:pPr>
              <w:ind w:left="400"/>
              <w:spacing w:after="0"/>
              <w:rPr>
                <w:sz w:val="20"/>
                <w:szCs w:val="20"/>
                <w:color w:val="auto"/>
              </w:rPr>
            </w:pPr>
            <w:r>
              <w:rPr>
                <w:rFonts w:ascii="Arial" w:cs="Arial" w:eastAsia="Arial" w:hAnsi="Arial"/>
                <w:sz w:val="18"/>
                <w:szCs w:val="18"/>
                <w:color w:val="auto"/>
                <w:w w:val="89"/>
              </w:rPr>
              <w:t>See accompanying notes.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810"/>
        </w:trPr>
        <w:tc>
          <w:tcPr>
            <w:tcW w:w="4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775"/>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number of shares)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9"/>
              </w:rPr>
              <w:t>Accumulated Other</w:t>
            </w:r>
          </w:p>
        </w:tc>
        <w:tc>
          <w:tcPr>
            <w:tcW w:w="180" w:type="dxa"/>
            <w:vAlign w:val="bottom"/>
          </w:tcPr>
          <w:p>
            <w:pPr>
              <w:spacing w:after="0"/>
              <w:rPr>
                <w:sz w:val="15"/>
                <w:szCs w:val="15"/>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5"/>
                <w:szCs w:val="15"/>
                <w:color w:val="auto"/>
              </w:rPr>
            </w:pPr>
          </w:p>
        </w:tc>
        <w:tc>
          <w:tcPr>
            <w:tcW w:w="118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00"/>
        </w:trPr>
        <w:tc>
          <w:tcPr>
            <w:tcW w:w="4080" w:type="dxa"/>
            <w:vAlign w:val="bottom"/>
          </w:tcPr>
          <w:p>
            <w:pPr>
              <w:spacing w:after="0"/>
              <w:rPr>
                <w:sz w:val="17"/>
                <w:szCs w:val="17"/>
                <w:color w:val="auto"/>
              </w:rPr>
            </w:pPr>
          </w:p>
        </w:tc>
        <w:tc>
          <w:tcPr>
            <w:tcW w:w="1000" w:type="dxa"/>
            <w:vAlign w:val="bottom"/>
          </w:tcPr>
          <w:p>
            <w:pPr>
              <w:jc w:val="right"/>
              <w:ind w:right="82"/>
              <w:spacing w:after="0"/>
              <w:rPr>
                <w:sz w:val="20"/>
                <w:szCs w:val="20"/>
                <w:color w:val="auto"/>
              </w:rPr>
            </w:pPr>
            <w:r>
              <w:rPr>
                <w:rFonts w:ascii="Arial" w:cs="Arial" w:eastAsia="Arial" w:hAnsi="Arial"/>
                <w:sz w:val="14"/>
                <w:szCs w:val="14"/>
                <w:b w:val="1"/>
                <w:bCs w:val="1"/>
                <w:color w:val="auto"/>
              </w:rPr>
              <w:t>Stock</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Paid-in Capital</w:t>
            </w: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Comprehensive Loss</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7"/>
                <w:szCs w:val="17"/>
                <w:color w:val="auto"/>
              </w:rPr>
            </w:pPr>
          </w:p>
        </w:tc>
        <w:tc>
          <w:tcPr>
            <w:tcW w:w="118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6"/>
        </w:trPr>
        <w:tc>
          <w:tcPr>
            <w:tcW w:w="4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January 1, 2022</w:t>
            </w: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4,567,111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(19,454)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(777,874)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3,770,004</w:t>
            </w:r>
          </w:p>
        </w:tc>
        <w:tc>
          <w:tcPr>
            <w:tcW w:w="0" w:type="dxa"/>
            <w:vAlign w:val="bottom"/>
          </w:tcPr>
          <w:p>
            <w:pPr>
              <w:spacing w:after="0"/>
              <w:rPr>
                <w:sz w:val="1"/>
                <w:szCs w:val="1"/>
                <w:color w:val="auto"/>
              </w:rPr>
            </w:pPr>
          </w:p>
        </w:tc>
      </w:tr>
      <w:tr>
        <w:trPr>
          <w:trHeight w:val="206"/>
        </w:trPr>
        <w:tc>
          <w:tcPr>
            <w:tcW w:w="4080" w:type="dxa"/>
            <w:vAlign w:val="bottom"/>
          </w:tcPr>
          <w:p>
            <w:pPr>
              <w:ind w:left="20"/>
              <w:spacing w:after="0"/>
              <w:rPr>
                <w:sz w:val="20"/>
                <w:szCs w:val="20"/>
                <w:color w:val="auto"/>
              </w:rPr>
            </w:pPr>
            <w:r>
              <w:rPr>
                <w:rFonts w:ascii="Arial" w:cs="Arial" w:eastAsia="Arial" w:hAnsi="Arial"/>
                <w:sz w:val="16"/>
                <w:szCs w:val="16"/>
                <w:color w:val="auto"/>
                <w:w w:val="93"/>
              </w:rPr>
              <w:t>Issuance of 323,582 shares of Common Stock upon exercise</w:t>
            </w: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rPr>
                <w:sz w:val="20"/>
                <w:szCs w:val="20"/>
                <w:color w:val="auto"/>
              </w:rPr>
            </w:pPr>
            <w:r>
              <w:rPr>
                <w:rFonts w:ascii="Arial" w:cs="Arial" w:eastAsia="Arial" w:hAnsi="Arial"/>
                <w:sz w:val="16"/>
                <w:szCs w:val="16"/>
                <w:color w:val="auto"/>
                <w:w w:val="95"/>
              </w:rPr>
              <w:t>of stock options and settlement of employee restricted stock</w:t>
            </w: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6"/>
                <w:szCs w:val="16"/>
                <w:color w:val="auto"/>
              </w:rPr>
              <w:t>units, net of shares withheld for taxes</w:t>
            </w:r>
          </w:p>
        </w:tc>
        <w:tc>
          <w:tcPr>
            <w:tcW w:w="100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14,237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14,237</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1,535 shares of Common Stock for services</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rendered</w:t>
            </w:r>
          </w:p>
        </w:tc>
        <w:tc>
          <w:tcPr>
            <w:tcW w:w="10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Stock compensation</w:t>
            </w:r>
          </w:p>
        </w:tc>
        <w:tc>
          <w:tcPr>
            <w:tcW w:w="10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44,320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44,320</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0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w:t>
            </w: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37,992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37,992</w:t>
            </w:r>
          </w:p>
        </w:tc>
        <w:tc>
          <w:tcPr>
            <w:tcW w:w="0" w:type="dxa"/>
            <w:vAlign w:val="bottom"/>
          </w:tcPr>
          <w:p>
            <w:pPr>
              <w:spacing w:after="0"/>
              <w:rPr>
                <w:sz w:val="1"/>
                <w:szCs w:val="1"/>
                <w:color w:val="auto"/>
              </w:rPr>
            </w:pPr>
          </w:p>
        </w:tc>
      </w:tr>
      <w:tr>
        <w:trPr>
          <w:trHeight w:val="238"/>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March 31, 2022</w:t>
            </w:r>
          </w:p>
        </w:tc>
        <w:tc>
          <w:tcPr>
            <w:tcW w:w="1000" w:type="dxa"/>
            <w:vAlign w:val="bottom"/>
            <w:tcBorders>
              <w:top w:val="single" w:sz="8" w:color="auto"/>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4,625,780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(739,882)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3,863,072</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w w:val="93"/>
              </w:rPr>
              <w:t>Issuance of 274,693 shares of Common Stock upon exercise</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0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rPr>
                <w:sz w:val="20"/>
                <w:szCs w:val="20"/>
                <w:color w:val="auto"/>
              </w:rPr>
            </w:pPr>
            <w:r>
              <w:rPr>
                <w:rFonts w:ascii="Arial" w:cs="Arial" w:eastAsia="Arial" w:hAnsi="Arial"/>
                <w:sz w:val="16"/>
                <w:szCs w:val="16"/>
                <w:color w:val="auto"/>
                <w:w w:val="95"/>
              </w:rPr>
              <w:t>of stock options and settlement of employee restricted stock</w:t>
            </w: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80" w:type="dxa"/>
            <w:vAlign w:val="bottom"/>
          </w:tcPr>
          <w:p>
            <w:pPr>
              <w:ind w:left="20"/>
              <w:spacing w:after="0"/>
              <w:rPr>
                <w:sz w:val="20"/>
                <w:szCs w:val="20"/>
                <w:color w:val="auto"/>
              </w:rPr>
            </w:pPr>
            <w:r>
              <w:rPr>
                <w:rFonts w:ascii="Arial" w:cs="Arial" w:eastAsia="Arial" w:hAnsi="Arial"/>
                <w:sz w:val="16"/>
                <w:szCs w:val="16"/>
                <w:color w:val="auto"/>
                <w:w w:val="91"/>
              </w:rPr>
              <w:t>units and performance shares, net of shares withheld for taxes</w:t>
            </w: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80" w:type="dxa"/>
            <w:vAlign w:val="bottom"/>
          </w:tcPr>
          <w:p>
            <w:pPr>
              <w:ind w:left="20"/>
              <w:spacing w:after="0"/>
              <w:rPr>
                <w:sz w:val="20"/>
                <w:szCs w:val="20"/>
                <w:color w:val="auto"/>
              </w:rPr>
            </w:pPr>
            <w:r>
              <w:rPr>
                <w:rFonts w:ascii="Arial" w:cs="Arial" w:eastAsia="Arial" w:hAnsi="Arial"/>
                <w:sz w:val="16"/>
                <w:szCs w:val="16"/>
                <w:color w:val="auto"/>
              </w:rPr>
              <w:t>and 189,684 shares of Common Stock under the ESPP</w:t>
            </w:r>
          </w:p>
        </w:tc>
        <w:tc>
          <w:tcPr>
            <w:tcW w:w="10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16,600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16,601</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1,469 shares of Common Stock for services</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rendered</w:t>
            </w:r>
          </w:p>
        </w:tc>
        <w:tc>
          <w:tcPr>
            <w:tcW w:w="10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Stock compensation</w:t>
            </w:r>
          </w:p>
        </w:tc>
        <w:tc>
          <w:tcPr>
            <w:tcW w:w="10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46,496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46,496</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0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(2,649)</w:t>
            </w: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161,432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161,432</w:t>
            </w:r>
          </w:p>
        </w:tc>
        <w:tc>
          <w:tcPr>
            <w:tcW w:w="0" w:type="dxa"/>
            <w:vAlign w:val="bottom"/>
          </w:tcPr>
          <w:p>
            <w:pPr>
              <w:spacing w:after="0"/>
              <w:rPr>
                <w:sz w:val="1"/>
                <w:szCs w:val="1"/>
                <w:color w:val="auto"/>
              </w:rPr>
            </w:pPr>
          </w:p>
        </w:tc>
      </w:tr>
      <w:tr>
        <w:trPr>
          <w:trHeight w:val="238"/>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June 30, 2022</w:t>
            </w:r>
          </w:p>
        </w:tc>
        <w:tc>
          <w:tcPr>
            <w:tcW w:w="1000" w:type="dxa"/>
            <w:vAlign w:val="bottom"/>
            <w:tcBorders>
              <w:top w:val="single" w:sz="8" w:color="auto"/>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4,688,985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(578,450)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4,085,061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w w:val="93"/>
              </w:rPr>
              <w:t>Issuance of 578,106 shares of Common Stock upon exercise</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08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080" w:type="dxa"/>
            <w:vAlign w:val="bottom"/>
          </w:tcPr>
          <w:p>
            <w:pPr>
              <w:ind w:left="20"/>
              <w:spacing w:after="0" w:line="162" w:lineRule="exact"/>
              <w:rPr>
                <w:sz w:val="20"/>
                <w:szCs w:val="20"/>
                <w:color w:val="auto"/>
              </w:rPr>
            </w:pPr>
            <w:r>
              <w:rPr>
                <w:rFonts w:ascii="Arial" w:cs="Arial" w:eastAsia="Arial" w:hAnsi="Arial"/>
                <w:sz w:val="16"/>
                <w:szCs w:val="16"/>
                <w:color w:val="auto"/>
                <w:w w:val="95"/>
              </w:rPr>
              <w:t>of stock options and settlement of employee restricted stock</w:t>
            </w:r>
          </w:p>
        </w:tc>
        <w:tc>
          <w:tcPr>
            <w:tcW w:w="1000" w:type="dxa"/>
            <w:vAlign w:val="bottom"/>
          </w:tcPr>
          <w:p>
            <w:pPr>
              <w:spacing w:after="0"/>
              <w:rPr>
                <w:sz w:val="14"/>
                <w:szCs w:val="14"/>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(13,572)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(13,572)</w:t>
            </w:r>
          </w:p>
        </w:tc>
        <w:tc>
          <w:tcPr>
            <w:tcW w:w="0" w:type="dxa"/>
            <w:vAlign w:val="bottom"/>
          </w:tcPr>
          <w:p>
            <w:pPr>
              <w:spacing w:after="0"/>
              <w:rPr>
                <w:sz w:val="1"/>
                <w:szCs w:val="1"/>
                <w:color w:val="auto"/>
              </w:rPr>
            </w:pPr>
          </w:p>
        </w:tc>
      </w:tr>
      <w:tr>
        <w:trPr>
          <w:trHeight w:val="209"/>
        </w:trPr>
        <w:tc>
          <w:tcPr>
            <w:tcW w:w="4080" w:type="dxa"/>
            <w:vAlign w:val="bottom"/>
          </w:tcPr>
          <w:p>
            <w:pPr>
              <w:ind w:left="20"/>
              <w:spacing w:after="0"/>
              <w:rPr>
                <w:sz w:val="20"/>
                <w:szCs w:val="20"/>
                <w:color w:val="auto"/>
              </w:rPr>
            </w:pPr>
            <w:r>
              <w:rPr>
                <w:rFonts w:ascii="Arial" w:cs="Arial" w:eastAsia="Arial" w:hAnsi="Arial"/>
                <w:sz w:val="16"/>
                <w:szCs w:val="16"/>
                <w:color w:val="auto"/>
              </w:rPr>
              <w:t>units, net of shares withheld for taxes</w:t>
            </w:r>
          </w:p>
        </w:tc>
        <w:tc>
          <w:tcPr>
            <w:tcW w:w="100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1,337 shares of Common Stock for services</w:t>
            </w:r>
          </w:p>
        </w:tc>
        <w:tc>
          <w:tcPr>
            <w:tcW w:w="100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rendered</w:t>
            </w:r>
          </w:p>
        </w:tc>
        <w:tc>
          <w:tcPr>
            <w:tcW w:w="100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Stock compensation</w:t>
            </w:r>
          </w:p>
        </w:tc>
        <w:tc>
          <w:tcPr>
            <w:tcW w:w="10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45,659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45,659</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0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(3,366)</w:t>
            </w: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112,775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112,775</w:t>
            </w:r>
          </w:p>
        </w:tc>
        <w:tc>
          <w:tcPr>
            <w:tcW w:w="0" w:type="dxa"/>
            <w:vAlign w:val="bottom"/>
          </w:tcPr>
          <w:p>
            <w:pPr>
              <w:spacing w:after="0"/>
              <w:rPr>
                <w:sz w:val="1"/>
                <w:szCs w:val="1"/>
                <w:color w:val="auto"/>
              </w:rPr>
            </w:pPr>
          </w:p>
        </w:tc>
      </w:tr>
      <w:tr>
        <w:trPr>
          <w:trHeight w:val="238"/>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September 30, 2022</w:t>
            </w:r>
          </w:p>
        </w:tc>
        <w:tc>
          <w:tcPr>
            <w:tcW w:w="1000" w:type="dxa"/>
            <w:vAlign w:val="bottom"/>
            <w:tcBorders>
              <w:top w:val="single" w:sz="8" w:color="auto"/>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4,721,166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(465,675)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4,226,651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number of shares)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Accumulated Other</w:t>
            </w:r>
          </w:p>
        </w:tc>
        <w:tc>
          <w:tcPr>
            <w:tcW w:w="180" w:type="dxa"/>
            <w:vAlign w:val="bottom"/>
          </w:tcPr>
          <w:p>
            <w:pPr>
              <w:spacing w:after="0"/>
              <w:rPr>
                <w:sz w:val="14"/>
                <w:szCs w:val="14"/>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1180" w:type="dxa"/>
            <w:vAlign w:val="bottom"/>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40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00"/>
              <w:spacing w:after="0" w:line="14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1000" w:type="dxa"/>
            <w:vAlign w:val="bottom"/>
          </w:tcPr>
          <w:p>
            <w:pPr>
              <w:jc w:val="right"/>
              <w:ind w:right="82"/>
              <w:spacing w:after="0"/>
              <w:rPr>
                <w:sz w:val="20"/>
                <w:szCs w:val="20"/>
                <w:color w:val="auto"/>
              </w:rPr>
            </w:pPr>
            <w:r>
              <w:rPr>
                <w:rFonts w:ascii="Arial" w:cs="Arial" w:eastAsia="Arial" w:hAnsi="Arial"/>
                <w:sz w:val="14"/>
                <w:szCs w:val="14"/>
                <w:b w:val="1"/>
                <w:bCs w:val="1"/>
                <w:color w:val="auto"/>
              </w:rPr>
              <w:t>Stock</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Paid-in Capital</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Comprehensive Loss</w:t>
            </w: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7"/>
                <w:szCs w:val="17"/>
                <w:color w:val="auto"/>
              </w:rPr>
            </w:pPr>
          </w:p>
        </w:tc>
        <w:tc>
          <w:tcPr>
            <w:tcW w:w="1180" w:type="dxa"/>
            <w:vAlign w:val="bottom"/>
          </w:tcPr>
          <w:p>
            <w:pPr>
              <w:jc w:val="center"/>
              <w:ind w:right="1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6"/>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January 1, 2021</w:t>
            </w:r>
          </w:p>
        </w:tc>
        <w:tc>
          <w:tcPr>
            <w:tcW w:w="1000" w:type="dxa"/>
            <w:vAlign w:val="bottom"/>
            <w:tcBorders>
              <w:top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219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4,352,864</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(1,726,455)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2,611,268</w:t>
            </w:r>
          </w:p>
        </w:tc>
        <w:tc>
          <w:tcPr>
            <w:tcW w:w="0" w:type="dxa"/>
            <w:vAlign w:val="bottom"/>
          </w:tcPr>
          <w:p>
            <w:pPr>
              <w:spacing w:after="0"/>
              <w:rPr>
                <w:sz w:val="1"/>
                <w:szCs w:val="1"/>
                <w:color w:val="auto"/>
              </w:rPr>
            </w:pPr>
          </w:p>
        </w:tc>
      </w:tr>
      <w:tr>
        <w:trPr>
          <w:trHeight w:val="166"/>
        </w:trPr>
        <w:tc>
          <w:tcPr>
            <w:tcW w:w="4080" w:type="dxa"/>
            <w:vAlign w:val="bottom"/>
          </w:tcPr>
          <w:p>
            <w:pPr>
              <w:ind w:left="20"/>
              <w:spacing w:after="0" w:line="166" w:lineRule="exact"/>
              <w:rPr>
                <w:sz w:val="20"/>
                <w:szCs w:val="20"/>
                <w:color w:val="auto"/>
              </w:rPr>
            </w:pPr>
            <w:r>
              <w:rPr>
                <w:rFonts w:ascii="Arial" w:cs="Arial" w:eastAsia="Arial" w:hAnsi="Arial"/>
                <w:sz w:val="16"/>
                <w:szCs w:val="16"/>
                <w:color w:val="auto"/>
                <w:w w:val="93"/>
              </w:rPr>
              <w:t>Issuance of 389,512 shares of Common Stock upon exercise</w:t>
            </w: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ind w:left="20"/>
              <w:spacing w:after="0" w:line="162" w:lineRule="exact"/>
              <w:rPr>
                <w:sz w:val="20"/>
                <w:szCs w:val="20"/>
                <w:color w:val="auto"/>
              </w:rPr>
            </w:pPr>
            <w:r>
              <w:rPr>
                <w:rFonts w:ascii="Arial" w:cs="Arial" w:eastAsia="Arial" w:hAnsi="Arial"/>
                <w:sz w:val="16"/>
                <w:szCs w:val="16"/>
                <w:color w:val="auto"/>
                <w:w w:val="95"/>
              </w:rPr>
              <w:t>of stock options and settlement of employee restricted stock</w:t>
            </w:r>
          </w:p>
        </w:tc>
        <w:tc>
          <w:tcPr>
            <w:tcW w:w="100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20,027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20,028</w:t>
            </w:r>
          </w:p>
        </w:tc>
        <w:tc>
          <w:tcPr>
            <w:tcW w:w="0" w:type="dxa"/>
            <w:vAlign w:val="bottom"/>
          </w:tcPr>
          <w:p>
            <w:pPr>
              <w:spacing w:after="0"/>
              <w:rPr>
                <w:sz w:val="1"/>
                <w:szCs w:val="1"/>
                <w:color w:val="auto"/>
              </w:rPr>
            </w:pPr>
          </w:p>
        </w:tc>
      </w:tr>
      <w:tr>
        <w:trPr>
          <w:trHeight w:val="209"/>
        </w:trPr>
        <w:tc>
          <w:tcPr>
            <w:tcW w:w="4080" w:type="dxa"/>
            <w:vAlign w:val="bottom"/>
          </w:tcPr>
          <w:p>
            <w:pPr>
              <w:ind w:left="20"/>
              <w:spacing w:after="0"/>
              <w:rPr>
                <w:sz w:val="20"/>
                <w:szCs w:val="20"/>
                <w:color w:val="auto"/>
              </w:rPr>
            </w:pPr>
            <w:r>
              <w:rPr>
                <w:rFonts w:ascii="Arial" w:cs="Arial" w:eastAsia="Arial" w:hAnsi="Arial"/>
                <w:sz w:val="16"/>
                <w:szCs w:val="16"/>
                <w:color w:val="auto"/>
              </w:rPr>
              <w:t>units, net of shares withheld for taxes</w:t>
            </w:r>
          </w:p>
        </w:tc>
        <w:tc>
          <w:tcPr>
            <w:tcW w:w="10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1,357 shares of Common Stock for services</w:t>
            </w:r>
          </w:p>
        </w:tc>
        <w:tc>
          <w:tcPr>
            <w:tcW w:w="100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rendered</w:t>
            </w:r>
          </w:p>
        </w:tc>
        <w:tc>
          <w:tcPr>
            <w:tcW w:w="100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Stock compensation</w:t>
            </w:r>
          </w:p>
        </w:tc>
        <w:tc>
          <w:tcPr>
            <w:tcW w:w="10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47,903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47,903</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0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w:t>
            </w: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53,535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53,535</w:t>
            </w:r>
          </w:p>
        </w:tc>
        <w:tc>
          <w:tcPr>
            <w:tcW w:w="0" w:type="dxa"/>
            <w:vAlign w:val="bottom"/>
          </w:tcPr>
          <w:p>
            <w:pPr>
              <w:spacing w:after="0"/>
              <w:rPr>
                <w:sz w:val="1"/>
                <w:szCs w:val="1"/>
                <w:color w:val="auto"/>
              </w:rPr>
            </w:pPr>
          </w:p>
        </w:tc>
      </w:tr>
      <w:tr>
        <w:trPr>
          <w:trHeight w:val="238"/>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March 31, 2021</w:t>
            </w:r>
          </w:p>
        </w:tc>
        <w:tc>
          <w:tcPr>
            <w:tcW w:w="1000" w:type="dxa"/>
            <w:vAlign w:val="bottom"/>
            <w:tcBorders>
              <w:top w:val="single" w:sz="8" w:color="auto"/>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4,420,902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(1,672,920)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2,727,844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w w:val="93"/>
              </w:rPr>
              <w:t>Issuance of 390,001 shares of Common Stock upon exercise</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08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080" w:type="dxa"/>
            <w:vAlign w:val="bottom"/>
          </w:tcPr>
          <w:p>
            <w:pPr>
              <w:ind w:left="20"/>
              <w:spacing w:after="0" w:line="162" w:lineRule="exact"/>
              <w:rPr>
                <w:sz w:val="20"/>
                <w:szCs w:val="20"/>
                <w:color w:val="auto"/>
              </w:rPr>
            </w:pPr>
            <w:r>
              <w:rPr>
                <w:rFonts w:ascii="Arial" w:cs="Arial" w:eastAsia="Arial" w:hAnsi="Arial"/>
                <w:sz w:val="16"/>
                <w:szCs w:val="16"/>
                <w:color w:val="auto"/>
                <w:w w:val="95"/>
              </w:rPr>
              <w:t>of stock options and settlement of employee restricted stock</w:t>
            </w: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ind w:left="20"/>
              <w:spacing w:after="0" w:line="162" w:lineRule="exact"/>
              <w:rPr>
                <w:sz w:val="20"/>
                <w:szCs w:val="20"/>
                <w:color w:val="auto"/>
              </w:rPr>
            </w:pPr>
            <w:r>
              <w:rPr>
                <w:rFonts w:ascii="Arial" w:cs="Arial" w:eastAsia="Arial" w:hAnsi="Arial"/>
                <w:sz w:val="16"/>
                <w:szCs w:val="16"/>
                <w:color w:val="auto"/>
                <w:w w:val="91"/>
              </w:rPr>
              <w:t>units and performance shares, net of shares withheld for taxes</w:t>
            </w:r>
          </w:p>
        </w:tc>
        <w:tc>
          <w:tcPr>
            <w:tcW w:w="1000" w:type="dxa"/>
            <w:vAlign w:val="bottom"/>
          </w:tcPr>
          <w:p>
            <w:pPr>
              <w:spacing w:after="0"/>
              <w:rPr>
                <w:sz w:val="14"/>
                <w:szCs w:val="14"/>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11,016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11,016</w:t>
            </w:r>
          </w:p>
        </w:tc>
        <w:tc>
          <w:tcPr>
            <w:tcW w:w="0" w:type="dxa"/>
            <w:vAlign w:val="bottom"/>
          </w:tcPr>
          <w:p>
            <w:pPr>
              <w:spacing w:after="0"/>
              <w:rPr>
                <w:sz w:val="1"/>
                <w:szCs w:val="1"/>
                <w:color w:val="auto"/>
              </w:rPr>
            </w:pPr>
          </w:p>
        </w:tc>
      </w:tr>
      <w:tr>
        <w:trPr>
          <w:trHeight w:val="209"/>
        </w:trPr>
        <w:tc>
          <w:tcPr>
            <w:tcW w:w="4080" w:type="dxa"/>
            <w:vAlign w:val="bottom"/>
          </w:tcPr>
          <w:p>
            <w:pPr>
              <w:ind w:left="20"/>
              <w:spacing w:after="0"/>
              <w:rPr>
                <w:sz w:val="20"/>
                <w:szCs w:val="20"/>
                <w:color w:val="auto"/>
              </w:rPr>
            </w:pPr>
            <w:r>
              <w:rPr>
                <w:rFonts w:ascii="Arial" w:cs="Arial" w:eastAsia="Arial" w:hAnsi="Arial"/>
                <w:sz w:val="16"/>
                <w:szCs w:val="16"/>
                <w:color w:val="auto"/>
              </w:rPr>
              <w:t>and 153,082 shares of Common Stock under the ESPP</w:t>
            </w:r>
          </w:p>
        </w:tc>
        <w:tc>
          <w:tcPr>
            <w:tcW w:w="100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1,288 shares of Common Stock for services</w:t>
            </w:r>
          </w:p>
        </w:tc>
        <w:tc>
          <w:tcPr>
            <w:tcW w:w="100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rendered</w:t>
            </w:r>
          </w:p>
        </w:tc>
        <w:tc>
          <w:tcPr>
            <w:tcW w:w="100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Stock compensation</w:t>
            </w:r>
          </w:p>
        </w:tc>
        <w:tc>
          <w:tcPr>
            <w:tcW w:w="10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45,351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45,351</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0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w:t>
            </w: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149,456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149,456</w:t>
            </w:r>
          </w:p>
        </w:tc>
        <w:tc>
          <w:tcPr>
            <w:tcW w:w="0" w:type="dxa"/>
            <w:vAlign w:val="bottom"/>
          </w:tcPr>
          <w:p>
            <w:pPr>
              <w:spacing w:after="0"/>
              <w:rPr>
                <w:sz w:val="1"/>
                <w:szCs w:val="1"/>
                <w:color w:val="auto"/>
              </w:rPr>
            </w:pPr>
          </w:p>
        </w:tc>
      </w:tr>
      <w:tr>
        <w:trPr>
          <w:trHeight w:val="238"/>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June 30, 2021</w:t>
            </w:r>
          </w:p>
        </w:tc>
        <w:tc>
          <w:tcPr>
            <w:tcW w:w="1000" w:type="dxa"/>
            <w:vAlign w:val="bottom"/>
            <w:tcBorders>
              <w:top w:val="single" w:sz="8" w:color="auto"/>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4,477,378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(1,523,464)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2,935,861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w w:val="93"/>
              </w:rPr>
              <w:t>Issuance of 459,084 shares of Common Stock upon exercise</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08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080" w:type="dxa"/>
            <w:vAlign w:val="bottom"/>
          </w:tcPr>
          <w:p>
            <w:pPr>
              <w:ind w:left="20"/>
              <w:spacing w:after="0" w:line="162" w:lineRule="exact"/>
              <w:rPr>
                <w:sz w:val="20"/>
                <w:szCs w:val="20"/>
                <w:color w:val="auto"/>
              </w:rPr>
            </w:pPr>
            <w:r>
              <w:rPr>
                <w:rFonts w:ascii="Arial" w:cs="Arial" w:eastAsia="Arial" w:hAnsi="Arial"/>
                <w:sz w:val="16"/>
                <w:szCs w:val="16"/>
                <w:color w:val="auto"/>
                <w:w w:val="95"/>
              </w:rPr>
              <w:t>of stock options and settlement of employee restricted stock</w:t>
            </w:r>
          </w:p>
        </w:tc>
        <w:tc>
          <w:tcPr>
            <w:tcW w:w="100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(11,993)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(11,992)</w:t>
            </w:r>
          </w:p>
        </w:tc>
        <w:tc>
          <w:tcPr>
            <w:tcW w:w="0" w:type="dxa"/>
            <w:vAlign w:val="bottom"/>
          </w:tcPr>
          <w:p>
            <w:pPr>
              <w:spacing w:after="0"/>
              <w:rPr>
                <w:sz w:val="1"/>
                <w:szCs w:val="1"/>
                <w:color w:val="auto"/>
              </w:rPr>
            </w:pPr>
          </w:p>
        </w:tc>
      </w:tr>
      <w:tr>
        <w:trPr>
          <w:trHeight w:val="209"/>
        </w:trPr>
        <w:tc>
          <w:tcPr>
            <w:tcW w:w="4080" w:type="dxa"/>
            <w:vAlign w:val="bottom"/>
          </w:tcPr>
          <w:p>
            <w:pPr>
              <w:ind w:left="20"/>
              <w:spacing w:after="0"/>
              <w:rPr>
                <w:sz w:val="20"/>
                <w:szCs w:val="20"/>
                <w:color w:val="auto"/>
              </w:rPr>
            </w:pPr>
            <w:r>
              <w:rPr>
                <w:rFonts w:ascii="Arial" w:cs="Arial" w:eastAsia="Arial" w:hAnsi="Arial"/>
                <w:sz w:val="16"/>
                <w:szCs w:val="16"/>
                <w:color w:val="auto"/>
              </w:rPr>
              <w:t>units, net of shares withheld for taxes</w:t>
            </w:r>
          </w:p>
        </w:tc>
        <w:tc>
          <w:tcPr>
            <w:tcW w:w="10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1,466 shares of Common Stock for services</w:t>
            </w:r>
          </w:p>
        </w:tc>
        <w:tc>
          <w:tcPr>
            <w:tcW w:w="1000" w:type="dxa"/>
            <w:vAlign w:val="bottom"/>
            <w:shd w:val="clear" w:color="auto" w:fill="CCEEFF"/>
          </w:tcPr>
          <w:p>
            <w:pPr>
              <w:spacing w:after="0"/>
              <w:rPr>
                <w:sz w:val="14"/>
                <w:szCs w:val="14"/>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rendered</w:t>
            </w:r>
          </w:p>
        </w:tc>
        <w:tc>
          <w:tcPr>
            <w:tcW w:w="100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Stock compensation</w:t>
            </w:r>
          </w:p>
        </w:tc>
        <w:tc>
          <w:tcPr>
            <w:tcW w:w="10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43,314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43,314</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0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181,739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181,739</w:t>
            </w:r>
          </w:p>
        </w:tc>
        <w:tc>
          <w:tcPr>
            <w:tcW w:w="0" w:type="dxa"/>
            <w:vAlign w:val="bottom"/>
          </w:tcPr>
          <w:p>
            <w:pPr>
              <w:spacing w:after="0"/>
              <w:rPr>
                <w:sz w:val="1"/>
                <w:szCs w:val="1"/>
                <w:color w:val="auto"/>
              </w:rPr>
            </w:pPr>
          </w:p>
        </w:tc>
      </w:tr>
      <w:tr>
        <w:trPr>
          <w:trHeight w:val="237"/>
        </w:trPr>
        <w:tc>
          <w:tcPr>
            <w:tcW w:w="4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September 30, 2021</w:t>
            </w:r>
          </w:p>
        </w:tc>
        <w:tc>
          <w:tcPr>
            <w:tcW w:w="1000" w:type="dxa"/>
            <w:vAlign w:val="bottom"/>
            <w:tcBorders>
              <w:top w:val="single" w:sz="8" w:color="auto"/>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4,508,807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(1,341,725)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3,148,657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56"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September 30,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312,199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384,730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49,637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42,986</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134,784</w:t>
            </w:r>
          </w:p>
        </w:tc>
        <w:tc>
          <w:tcPr>
            <w:tcW w:w="0" w:type="dxa"/>
            <w:vAlign w:val="bottom"/>
          </w:tcPr>
          <w:p>
            <w:pPr>
              <w:spacing w:after="0"/>
              <w:rPr>
                <w:sz w:val="1"/>
                <w:szCs w:val="1"/>
                <w:color w:val="auto"/>
              </w:rPr>
            </w:pPr>
          </w:p>
        </w:tc>
      </w:tr>
      <w:tr>
        <w:trPr>
          <w:trHeight w:val="229"/>
        </w:trPr>
        <w:tc>
          <w:tcPr>
            <w:tcW w:w="818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40,432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29"/>
        </w:trPr>
        <w:tc>
          <w:tcPr>
            <w:tcW w:w="8180" w:type="dxa"/>
            <w:vAlign w:val="bottom"/>
          </w:tcPr>
          <w:p>
            <w:pPr>
              <w:ind w:left="260"/>
              <w:spacing w:after="0"/>
              <w:rPr>
                <w:sz w:val="20"/>
                <w:szCs w:val="20"/>
                <w:color w:val="auto"/>
              </w:rPr>
            </w:pPr>
            <w:r>
              <w:rPr>
                <w:rFonts w:ascii="Arial" w:cs="Arial" w:eastAsia="Arial" w:hAnsi="Arial"/>
                <w:sz w:val="18"/>
                <w:szCs w:val="18"/>
                <w:color w:val="auto"/>
              </w:rPr>
              <w:t>Unrealized loss on long term investments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72,142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28,394</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(Gain) loss on change in fair value of acquisition-related contingent consideration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13,068</w:t>
            </w:r>
          </w:p>
        </w:tc>
        <w:tc>
          <w:tcPr>
            <w:tcW w:w="0" w:type="dxa"/>
            <w:vAlign w:val="bottom"/>
          </w:tcPr>
          <w:p>
            <w:pPr>
              <w:spacing w:after="0"/>
              <w:rPr>
                <w:sz w:val="1"/>
                <w:szCs w:val="1"/>
                <w:color w:val="auto"/>
              </w:rPr>
            </w:pPr>
          </w:p>
        </w:tc>
      </w:tr>
      <w:tr>
        <w:trPr>
          <w:trHeight w:val="230"/>
        </w:trPr>
        <w:tc>
          <w:tcPr>
            <w:tcW w:w="818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(34,695)</w:t>
            </w:r>
          </w:p>
        </w:tc>
        <w:tc>
          <w:tcPr>
            <w:tcW w:w="0" w:type="dxa"/>
            <w:vAlign w:val="bottom"/>
          </w:tcPr>
          <w:p>
            <w:pPr>
              <w:spacing w:after="0"/>
              <w:rPr>
                <w:sz w:val="1"/>
                <w:szCs w:val="1"/>
                <w:color w:val="auto"/>
              </w:rPr>
            </w:pPr>
          </w:p>
        </w:tc>
      </w:tr>
      <w:tr>
        <w:trPr>
          <w:trHeight w:val="229"/>
        </w:trPr>
        <w:tc>
          <w:tcPr>
            <w:tcW w:w="8180" w:type="dxa"/>
            <w:vAlign w:val="bottom"/>
          </w:tcPr>
          <w:p>
            <w:pPr>
              <w:ind w:left="44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(24,784)</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(16,215)</w:t>
            </w:r>
          </w:p>
        </w:tc>
        <w:tc>
          <w:tcPr>
            <w:tcW w:w="0" w:type="dxa"/>
            <w:vAlign w:val="bottom"/>
          </w:tcPr>
          <w:p>
            <w:pPr>
              <w:spacing w:after="0"/>
              <w:rPr>
                <w:sz w:val="1"/>
                <w:szCs w:val="1"/>
                <w:color w:val="auto"/>
              </w:rPr>
            </w:pPr>
          </w:p>
        </w:tc>
      </w:tr>
      <w:tr>
        <w:trPr>
          <w:trHeight w:val="229"/>
        </w:trPr>
        <w:tc>
          <w:tcPr>
            <w:tcW w:w="818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15,742</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85,037</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686,279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634,137</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Purchase of long term investments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(8,662)</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 of long term investments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10,473</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(56,560)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(146,543)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(228,170)</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 and maturities of marketable securities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231,250</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(141,652)</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common stock under stock plans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48,432</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Tax withholdings related to restricted and performance share vesting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(29,380)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finance lease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 of contingent consideration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(20,093)</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Effect of exchange rates on cash, cash equivalents, restricted cash and investments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restricted cash and investments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633,063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485,938</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restricted cash and investments at beginning of period</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2,059,160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1,514,765</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restricted cash and investments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2,692,223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2,000,703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Schedule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paid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45,872</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Unpaid purchases of property and equipment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8,836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23,892</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Business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Incyte Corporation (including its subsidiaries, “Incyte,” “we,” “us,” or “our”) is a biopharmaceutical company focused on developing and commercializing proprietary therapeutics. Our portfolio includes compounds in various stages, ranging from preclinical to late stage development, and commercialized products JAKAFI® (ruxolitinib), ICLUSIG® (ponatinib), PEMAZYRE® (pemigatinib), OPZELURA™ (ruxolitinib cream), MINJUVI® (tafasitamab) and MONJUVI® (tafasitamab-cxix), which is co-commercialized. Our operations are treated as one operating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The condensed consolidated balance sheet as of September 30, 2022, the condensed consolidated statements of operations, comprehensive income (loss), and stockholders’ equity for the three and nine months ended September 30, 2022 and 2021, and the condensed consolidated statements of cash flows for the nine months ended September 30, 2022 and 2021,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2021 has been derived from our audited consolidated financial statements.</w:t>
      </w:r>
    </w:p>
    <w:p>
      <w:pPr>
        <w:spacing w:after="0" w:line="177"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Although we believe that the disclosures in these financial statements are adequate to make the information presented not misleading, certain information and footnote information normally included in financial statements prepared in accordance with accounting principles generally accepted in the United States (“U.S. GAAP”) have been condensed or omitted pursuant to the rules and regulations of the Securities and Exchange Commission.</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2021.</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Principles of Consolidation. </w:t>
      </w:r>
      <w:r>
        <w:rPr>
          <w:rFonts w:ascii="Arial" w:cs="Arial" w:eastAsia="Arial" w:hAnsi="Arial"/>
          <w:sz w:val="18"/>
          <w:szCs w:val="18"/>
          <w:color w:val="auto"/>
        </w:rPr>
        <w:t>The condensed consolidated financial statements include the accounts of Incyte Corporation and our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All inter-company accounts, transactions, and profits have been eliminated in consolidation.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preparation of financial statements in conformity with accounting principles generally accepted in the United States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make estimates and assumptions that affect the amounts reported in the financial statements and accompanying notes. Actual results could differ from those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new accounting pronouncements issued nor adopted since our filing of the Annual Report on Form 10-K for the year ended December 31, 2021, which could have a significant effect on our condensed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Revenues are recognized under guidance within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following table presents our disaggregated revenue for the periods presented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5"/>
        </w:trPr>
        <w:tc>
          <w:tcPr>
            <w:tcW w:w="50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9"/>
              </w:rPr>
              <w:t>2021</w:t>
            </w:r>
          </w:p>
        </w:tc>
      </w:tr>
      <w:tr>
        <w:trPr>
          <w:trHeight w:val="230"/>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JAKAFI revenues, net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619,595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1,761,732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1,542,138</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ICLUSIG revenues,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25,929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78,222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82,356</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PEMAZYRE revenues,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48,924</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MINJUVI revenues,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5,932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14,845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OPZELURA revenues,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40" w:type="dxa"/>
            <w:vAlign w:val="bottom"/>
          </w:tcPr>
          <w:p>
            <w:pPr>
              <w:ind w:left="180"/>
              <w:spacing w:after="0"/>
              <w:rPr>
                <w:sz w:val="20"/>
                <w:szCs w:val="20"/>
                <w:color w:val="auto"/>
              </w:rPr>
            </w:pPr>
            <w:r>
              <w:rPr>
                <w:rFonts w:ascii="Arial" w:cs="Arial" w:eastAsia="Arial" w:hAnsi="Arial"/>
                <w:sz w:val="18"/>
                <w:szCs w:val="18"/>
                <w:color w:val="auto"/>
              </w:rPr>
              <w:t>Total product revenues, net</w:t>
            </w: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713,010</w:t>
            </w: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594,013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1,982,682</w:t>
            </w: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1,673,974</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JAKAVI product royalty revenues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240,386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242,295</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OLUMIANT product royalty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20,371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86,572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98,689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154,875</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TABRECTA product royalty revenues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7,270</w:t>
            </w:r>
          </w:p>
        </w:tc>
      </w:tr>
      <w:tr>
        <w:trPr>
          <w:trHeight w:val="223"/>
        </w:trPr>
        <w:tc>
          <w:tcPr>
            <w:tcW w:w="5040" w:type="dxa"/>
            <w:vAlign w:val="bottom"/>
          </w:tcPr>
          <w:p>
            <w:pPr>
              <w:ind w:left="180"/>
              <w:spacing w:after="0"/>
              <w:rPr>
                <w:sz w:val="20"/>
                <w:szCs w:val="20"/>
                <w:color w:val="auto"/>
              </w:rPr>
            </w:pPr>
            <w:r>
              <w:rPr>
                <w:rFonts w:ascii="Arial" w:cs="Arial" w:eastAsia="Arial" w:hAnsi="Arial"/>
                <w:sz w:val="18"/>
                <w:szCs w:val="18"/>
                <w:color w:val="auto"/>
              </w:rPr>
              <w:t>Total product royalty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110,293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183,974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350,253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404,440</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Milestone and contract revenues</w:t>
            </w: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r>
      <w:tr>
        <w:trPr>
          <w:trHeight w:val="223"/>
        </w:trPr>
        <w:tc>
          <w:tcPr>
            <w:tcW w:w="504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823,303</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812,987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2,467,935</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2,123,414</w:t>
            </w:r>
          </w:p>
        </w:tc>
      </w:tr>
      <w:tr>
        <w:trPr>
          <w:trHeight w:val="21"/>
        </w:trPr>
        <w:tc>
          <w:tcPr>
            <w:tcW w:w="5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information on our revenue-generating contracts, refer to Note 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marketable security portfolio for the periods presented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Net</w:t>
            </w:r>
          </w:p>
        </w:tc>
        <w:tc>
          <w:tcPr>
            <w:tcW w:w="260" w:type="dxa"/>
            <w:vAlign w:val="bottom"/>
          </w:tcPr>
          <w:p>
            <w:pPr>
              <w:spacing w:after="0"/>
              <w:rPr>
                <w:sz w:val="14"/>
                <w:szCs w:val="14"/>
                <w:color w:val="auto"/>
              </w:rPr>
            </w:pPr>
          </w:p>
        </w:tc>
        <w:tc>
          <w:tcPr>
            <w:tcW w:w="122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7"/>
                <w:szCs w:val="17"/>
                <w:color w:val="auto"/>
              </w:rPr>
            </w:pPr>
          </w:p>
        </w:tc>
        <w:tc>
          <w:tcPr>
            <w:tcW w:w="1220" w:type="dxa"/>
            <w:vAlign w:val="bottom"/>
          </w:tcPr>
          <w:p>
            <w:pPr>
              <w:jc w:val="right"/>
              <w:ind w:right="33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6"/>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2022</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Debt securities (government)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292,941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(6,441)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286,500</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December 31, 2021</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 (government)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290,752</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available-for-sale debt securities generally have contractual maturity dates of between 12 to 18 months. Debt security assets were assessed for risk of expected credit losses. As of September 30, 2022 and December 31, 2021, the available-for-sale debt securities were held in U.S.-government backed securities and in Treasury bonds and were assessed on an individual security basis to have a de minimis risk of credit loss.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3—Valuations based on inputs that are unobservable and models that are significant to the overall fair value measurement.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marketable securities consist of investments in U.S. government debt securities that are classified as available-for-sale.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September 30, 2022 and December 31, 2021, our Level 2 U.S. government debt securities were valued using readily available pricing sources which utilize market observable inputs, including the current interest rate and other characteristics for similar types of investments. Our long term investments classified as Level 1 were valued using their respective closing stock prices on The Nasdaq Stock Market. We did not experience any transfers of financial instruments between the fair value hierarchy levels during the nine months ended September 30, 2022.</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assets measured at fair value on a recurring basis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4"/>
              </w:rPr>
              <w:t>Fair Value Measurement at Reporting Date Using:</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73"/>
        </w:trPr>
        <w:tc>
          <w:tcPr>
            <w:tcW w:w="5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00" w:type="dxa"/>
            <w:vAlign w:val="bottom"/>
          </w:tcPr>
          <w:p>
            <w:pPr>
              <w:spacing w:after="0"/>
              <w:rPr>
                <w:sz w:val="15"/>
                <w:szCs w:val="15"/>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5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Active Markets for</w:t>
            </w:r>
          </w:p>
        </w:tc>
        <w:tc>
          <w:tcPr>
            <w:tcW w:w="16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5"/>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6"/>
                <w:szCs w:val="16"/>
                <w:color w:val="auto"/>
              </w:rPr>
            </w:pPr>
          </w:p>
        </w:tc>
        <w:tc>
          <w:tcPr>
            <w:tcW w:w="1360" w:type="dxa"/>
            <w:vAlign w:val="bottom"/>
          </w:tcPr>
          <w:p>
            <w:pPr>
              <w:jc w:val="center"/>
              <w:ind w:right="76"/>
              <w:spacing w:after="0"/>
              <w:rPr>
                <w:sz w:val="20"/>
                <w:szCs w:val="20"/>
                <w:color w:val="auto"/>
              </w:rPr>
            </w:pPr>
            <w:r>
              <w:rPr>
                <w:rFonts w:ascii="Arial" w:cs="Arial" w:eastAsia="Arial" w:hAnsi="Arial"/>
                <w:sz w:val="14"/>
                <w:szCs w:val="14"/>
                <w:b w:val="1"/>
                <w:bCs w:val="1"/>
                <w:color w:val="auto"/>
                <w:w w:val="88"/>
              </w:rPr>
              <w:t>Balance as of</w:t>
            </w:r>
          </w:p>
        </w:tc>
      </w:tr>
      <w:tr>
        <w:trPr>
          <w:trHeight w:val="196"/>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7"/>
                <w:szCs w:val="17"/>
                <w:color w:val="auto"/>
              </w:rPr>
            </w:pPr>
          </w:p>
        </w:tc>
        <w:tc>
          <w:tcPr>
            <w:tcW w:w="136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September 30, 2022</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2,690,622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2,690,622</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Debt securities (government)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286,500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286,500</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term investments (Note 7)</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149,124</w:t>
            </w:r>
          </w:p>
        </w:tc>
      </w:tr>
      <w:tr>
        <w:trPr>
          <w:trHeight w:val="223"/>
        </w:trPr>
        <w:tc>
          <w:tcPr>
            <w:tcW w:w="502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2,839,746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286,500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3,126,246</w:t>
            </w: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08"/>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4"/>
              </w:rPr>
              <w:t>Fair Value Measurement at Reporting Date Using:</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60"/>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60"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w w:val="93"/>
              </w:rPr>
              <w:t>Significant Other</w:t>
            </w:r>
          </w:p>
        </w:tc>
        <w:tc>
          <w:tcPr>
            <w:tcW w:w="200" w:type="dxa"/>
            <w:vAlign w:val="bottom"/>
          </w:tcPr>
          <w:p>
            <w:pPr>
              <w:spacing w:after="0"/>
              <w:rPr>
                <w:sz w:val="13"/>
                <w:szCs w:val="13"/>
                <w:color w:val="auto"/>
              </w:rPr>
            </w:pPr>
          </w:p>
        </w:tc>
        <w:tc>
          <w:tcPr>
            <w:tcW w:w="138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75"/>
        </w:trPr>
        <w:tc>
          <w:tcPr>
            <w:tcW w:w="5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Active Markets for</w:t>
            </w:r>
          </w:p>
        </w:tc>
        <w:tc>
          <w:tcPr>
            <w:tcW w:w="16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4"/>
                <w:szCs w:val="14"/>
                <w:color w:val="auto"/>
              </w:rPr>
            </w:pPr>
          </w:p>
        </w:tc>
        <w:tc>
          <w:tcPr>
            <w:tcW w:w="1360" w:type="dxa"/>
            <w:vAlign w:val="bottom"/>
          </w:tcPr>
          <w:p>
            <w:pPr>
              <w:jc w:val="center"/>
              <w:ind w:right="36"/>
              <w:spacing w:after="0"/>
              <w:rPr>
                <w:sz w:val="20"/>
                <w:szCs w:val="20"/>
                <w:color w:val="auto"/>
              </w:rPr>
            </w:pPr>
            <w:r>
              <w:rPr>
                <w:rFonts w:ascii="Arial" w:cs="Arial" w:eastAsia="Arial" w:hAnsi="Arial"/>
                <w:sz w:val="14"/>
                <w:szCs w:val="14"/>
                <w:b w:val="1"/>
                <w:bCs w:val="1"/>
                <w:color w:val="auto"/>
                <w:w w:val="88"/>
              </w:rPr>
              <w:t>Balance as of</w:t>
            </w:r>
          </w:p>
        </w:tc>
      </w:tr>
      <w:tr>
        <w:trPr>
          <w:trHeight w:val="200"/>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7"/>
                <w:szCs w:val="17"/>
                <w:color w:val="auto"/>
              </w:rPr>
            </w:pPr>
          </w:p>
        </w:tc>
        <w:tc>
          <w:tcPr>
            <w:tcW w:w="136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December 31, 2021</w:t>
            </w:r>
          </w:p>
        </w:tc>
      </w:tr>
      <w:tr>
        <w:trPr>
          <w:trHeight w:val="39"/>
        </w:trPr>
        <w:tc>
          <w:tcPr>
            <w:tcW w:w="5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2,057,440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2,057,440</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Debt securities (government)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290,752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290,752</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term investments (Note 7)</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221,266</w:t>
            </w:r>
          </w:p>
        </w:tc>
      </w:tr>
      <w:tr>
        <w:trPr>
          <w:trHeight w:val="223"/>
        </w:trPr>
        <w:tc>
          <w:tcPr>
            <w:tcW w:w="502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2,278,706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290,752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2,569,458</w:t>
            </w: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liabilities measured at fair value on a recurring basis as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4"/>
              </w:rPr>
              <w:t>Fair Value Measurement at Reporting Date Using:</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73"/>
        </w:trPr>
        <w:tc>
          <w:tcPr>
            <w:tcW w:w="5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Significant Other</w:t>
            </w:r>
          </w:p>
        </w:tc>
        <w:tc>
          <w:tcPr>
            <w:tcW w:w="200" w:type="dxa"/>
            <w:vAlign w:val="bottom"/>
          </w:tcPr>
          <w:p>
            <w:pPr>
              <w:spacing w:after="0"/>
              <w:rPr>
                <w:sz w:val="15"/>
                <w:szCs w:val="15"/>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6"/>
        </w:trPr>
        <w:tc>
          <w:tcPr>
            <w:tcW w:w="5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Observable</w:t>
            </w: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5"/>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Identical Liabilities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6"/>
                <w:szCs w:val="16"/>
                <w:color w:val="auto"/>
              </w:rPr>
            </w:pPr>
          </w:p>
        </w:tc>
        <w:tc>
          <w:tcPr>
            <w:tcW w:w="1360" w:type="dxa"/>
            <w:vAlign w:val="bottom"/>
          </w:tcPr>
          <w:p>
            <w:pPr>
              <w:jc w:val="right"/>
              <w:ind w:right="259"/>
              <w:spacing w:after="0"/>
              <w:rPr>
                <w:sz w:val="20"/>
                <w:szCs w:val="20"/>
                <w:color w:val="auto"/>
              </w:rPr>
            </w:pPr>
            <w:r>
              <w:rPr>
                <w:rFonts w:ascii="Arial" w:cs="Arial" w:eastAsia="Arial" w:hAnsi="Arial"/>
                <w:sz w:val="14"/>
                <w:szCs w:val="14"/>
                <w:b w:val="1"/>
                <w:bCs w:val="1"/>
                <w:color w:val="auto"/>
              </w:rPr>
              <w:t>Balance as of</w:t>
            </w:r>
          </w:p>
        </w:tc>
      </w:tr>
      <w:tr>
        <w:trPr>
          <w:trHeight w:val="197"/>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7"/>
                <w:szCs w:val="17"/>
                <w:color w:val="auto"/>
              </w:rPr>
            </w:pPr>
          </w:p>
        </w:tc>
        <w:tc>
          <w:tcPr>
            <w:tcW w:w="1360" w:type="dxa"/>
            <w:vAlign w:val="bottom"/>
          </w:tcPr>
          <w:p>
            <w:pPr>
              <w:jc w:val="right"/>
              <w:ind w:right="59"/>
              <w:spacing w:after="0"/>
              <w:rPr>
                <w:sz w:val="20"/>
                <w:szCs w:val="20"/>
                <w:color w:val="auto"/>
              </w:rPr>
            </w:pPr>
            <w:r>
              <w:rPr>
                <w:rFonts w:ascii="Arial" w:cs="Arial" w:eastAsia="Arial" w:hAnsi="Arial"/>
                <w:sz w:val="14"/>
                <w:szCs w:val="14"/>
                <w:b w:val="1"/>
                <w:bCs w:val="1"/>
                <w:color w:val="auto"/>
                <w:w w:val="91"/>
              </w:rPr>
              <w:t>September 30, 2022</w:t>
            </w: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Acquisition-related contingent consideration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206,000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206,000</w:t>
            </w:r>
          </w:p>
        </w:tc>
      </w:tr>
      <w:tr>
        <w:trPr>
          <w:trHeight w:val="223"/>
        </w:trPr>
        <w:tc>
          <w:tcPr>
            <w:tcW w:w="502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206,000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206,000</w:t>
            </w: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911"/>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70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4"/>
              </w:rPr>
              <w:t>Fair Value Measurement at Reporting Date Using:</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5"/>
              </w:rPr>
              <w:t>Significant Other</w:t>
            </w: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142"/>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4"/>
              </w:rPr>
              <w:t>Observable</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2"/>
                <w:szCs w:val="12"/>
                <w:color w:val="auto"/>
              </w:rPr>
            </w:pPr>
          </w:p>
        </w:tc>
        <w:tc>
          <w:tcPr>
            <w:tcW w:w="136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Identical Liabilities</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7"/>
                <w:szCs w:val="17"/>
                <w:color w:val="auto"/>
              </w:rPr>
            </w:pPr>
          </w:p>
        </w:tc>
        <w:tc>
          <w:tcPr>
            <w:tcW w:w="136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Acquisition-related contingent consideration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244,000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8"/>
              </w:rPr>
              <w:t>244,000</w:t>
            </w:r>
          </w:p>
        </w:tc>
        <w:tc>
          <w:tcPr>
            <w:tcW w:w="0" w:type="dxa"/>
            <w:vAlign w:val="bottom"/>
          </w:tcPr>
          <w:p>
            <w:pPr>
              <w:spacing w:after="0"/>
              <w:rPr>
                <w:sz w:val="1"/>
                <w:szCs w:val="1"/>
                <w:color w:val="auto"/>
              </w:rPr>
            </w:pPr>
          </w:p>
        </w:tc>
      </w:tr>
      <w:tr>
        <w:trPr>
          <w:trHeight w:val="223"/>
        </w:trPr>
        <w:tc>
          <w:tcPr>
            <w:tcW w:w="502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244,000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8"/>
              </w:rPr>
              <w:t>244,000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600" w:type="dxa"/>
            <w:vAlign w:val="bottom"/>
            <w:gridSpan w:val="4"/>
          </w:tcPr>
          <w:p>
            <w:pPr>
              <w:ind w:left="660"/>
              <w:spacing w:after="0"/>
              <w:rPr>
                <w:sz w:val="20"/>
                <w:szCs w:val="20"/>
                <w:color w:val="auto"/>
              </w:rPr>
            </w:pPr>
            <w:r>
              <w:rPr>
                <w:rFonts w:ascii="Arial" w:cs="Arial" w:eastAsia="Arial" w:hAnsi="Arial"/>
                <w:sz w:val="18"/>
                <w:szCs w:val="18"/>
                <w:color w:val="auto"/>
              </w:rPr>
              <w:t>The following is a rollforward of our Level 3 liabilities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ind w:right="36"/>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6"/>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8"/>
              </w:rPr>
              <w:t>244,000</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w w:val="94"/>
              </w:rPr>
              <w:t>Contingent consideration earned during the period but not yet paid</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ind w:left="720"/>
              <w:spacing w:after="0"/>
              <w:rPr>
                <w:sz w:val="20"/>
                <w:szCs w:val="20"/>
                <w:color w:val="auto"/>
              </w:rPr>
            </w:pPr>
            <w:r>
              <w:rPr>
                <w:rFonts w:ascii="Arial" w:cs="Arial" w:eastAsia="Arial" w:hAnsi="Arial"/>
                <w:sz w:val="18"/>
                <w:szCs w:val="18"/>
                <w:color w:val="auto"/>
                <w:w w:val="92"/>
              </w:rPr>
              <w:t>(25,802)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2"/>
              </w:rPr>
              <w:t>(12,198)</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Balance at September 30,</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8"/>
              </w:rPr>
              <w:t>206,000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fair value of the contingent consideration was determined on the date of acquisition, June 1, 2016, using an income approach based on projected future net revenues of ICLUSIG in the European Union and other countries for the approved third line treatment over 18 years, and discounted to present value at a rate of 10%. The fair value of the contingent consideration is remeasured each reporting period, with changes in fair value recorded in the condensed consolidated statements of operations. The valuation inputs utilized to estimate the fair value of the contingent consideration as of September 30, 2022 and December 31, 2021 included a discount rate of 10% and updated projections of future net revenues of ICLUSIG in the European Union and other countries for the approved third line treatment. The gain on change in fair value of the contingent consideration during the three and nine months ended September 30, 2022 was due primarily to the changes in foreign currency exchange rates included within the updated projections of future net revenues of ICLUSIG.</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generally make payments to Takeda Pharmaceutical Company Limited quarterly based on the royalties or any additional milestone payments earned in the previous quarter. At September 30, 2022 and December 31, 2021, contingent consideration earned but not yet paid was $25.8 million and $19.6 million, respectively, and was included in accrued and other current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Concentration of Credit Risk and Current Expected Credit Losses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November 2009, we entered into a collaboration and license agreement with Novartis Pharmaceutical International Ltd. (“Novartis”). In December 2009, we entered into a license, development and commercialization agreement with Eli Lilly and Company (“Lilly”). In December 2018, we entered into a research collaboration and licensing agreement with Innovent Biologics, Inc. (“Innovent”). In July 2019, we entered into a collaboration and license agreement with Zai Lab (Shanghai) Co., Ltd., a subsidiary of Zai Lab Limited (collectively, “Zai Lab”). The above collaboration partners comprised, in aggregate, 19% and 36% of the accounts receivable balance as of September 30, 2022 and December 31, 2021, respectively. For further information relating to these collaboration and license agreements, refer to Note 7.</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November 2011, we began commercialization and distribution of JAKAFI, in April 2020, we began commercialization and distribution of PEMAZYRE, and in October 2021, we began commercialization and distribution of OPZELURA. Our product revenues are concentrated in a number of these customers. The concentration of credit risk related to our JAKAFI, PEMAZYRE and OPZELURA product revenues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2680" w:type="dxa"/>
            <w:vAlign w:val="bottom"/>
            <w:gridSpan w:val="4"/>
          </w:tcPr>
          <w:p>
            <w:pPr>
              <w:jc w:val="center"/>
              <w:ind w:left="448"/>
              <w:spacing w:after="0"/>
              <w:rPr>
                <w:sz w:val="20"/>
                <w:szCs w:val="20"/>
                <w:color w:val="auto"/>
              </w:rPr>
            </w:pPr>
            <w:r>
              <w:rPr>
                <w:rFonts w:ascii="Arial" w:cs="Arial" w:eastAsia="Arial" w:hAnsi="Arial"/>
                <w:sz w:val="14"/>
                <w:szCs w:val="14"/>
                <w:b w:val="1"/>
                <w:bCs w:val="1"/>
                <w:color w:val="auto"/>
                <w:w w:val="92"/>
              </w:rPr>
              <w:t>Percentage of Total Net</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4"/>
          </w:tcPr>
          <w:p>
            <w:pPr>
              <w:jc w:val="center"/>
              <w:ind w:left="448"/>
              <w:spacing w:after="0"/>
              <w:rPr>
                <w:sz w:val="20"/>
                <w:szCs w:val="20"/>
                <w:color w:val="auto"/>
              </w:rPr>
            </w:pPr>
            <w:r>
              <w:rPr>
                <w:rFonts w:ascii="Arial" w:cs="Arial" w:eastAsia="Arial" w:hAnsi="Arial"/>
                <w:sz w:val="14"/>
                <w:szCs w:val="14"/>
                <w:b w:val="1"/>
                <w:bCs w:val="1"/>
                <w:color w:val="auto"/>
                <w:w w:val="92"/>
              </w:rPr>
              <w:t>Percentage of Total Net</w:t>
            </w:r>
          </w:p>
        </w:tc>
        <w:tc>
          <w:tcPr>
            <w:tcW w:w="520" w:type="dxa"/>
            <w:vAlign w:val="bottom"/>
          </w:tcPr>
          <w:p>
            <w:pPr>
              <w:spacing w:after="0"/>
              <w:rPr>
                <w:sz w:val="15"/>
                <w:szCs w:val="15"/>
                <w:color w:val="auto"/>
              </w:rPr>
            </w:pPr>
          </w:p>
        </w:tc>
      </w:tr>
      <w:tr>
        <w:trPr>
          <w:trHeight w:val="176"/>
        </w:trPr>
        <w:tc>
          <w:tcPr>
            <w:tcW w:w="4740" w:type="dxa"/>
            <w:vAlign w:val="bottom"/>
          </w:tcPr>
          <w:p>
            <w:pPr>
              <w:spacing w:after="0"/>
              <w:rPr>
                <w:sz w:val="15"/>
                <w:szCs w:val="15"/>
                <w:color w:val="auto"/>
              </w:rPr>
            </w:pPr>
          </w:p>
        </w:tc>
        <w:tc>
          <w:tcPr>
            <w:tcW w:w="2680" w:type="dxa"/>
            <w:vAlign w:val="bottom"/>
            <w:gridSpan w:val="4"/>
          </w:tcPr>
          <w:p>
            <w:pPr>
              <w:jc w:val="center"/>
              <w:ind w:left="448"/>
              <w:spacing w:after="0"/>
              <w:rPr>
                <w:sz w:val="20"/>
                <w:szCs w:val="20"/>
                <w:color w:val="auto"/>
              </w:rPr>
            </w:pPr>
            <w:r>
              <w:rPr>
                <w:rFonts w:ascii="Arial" w:cs="Arial" w:eastAsia="Arial" w:hAnsi="Arial"/>
                <w:sz w:val="14"/>
                <w:szCs w:val="14"/>
                <w:b w:val="1"/>
                <w:bCs w:val="1"/>
                <w:color w:val="auto"/>
                <w:w w:val="91"/>
              </w:rPr>
              <w:t>Product Revenues for the</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4"/>
          </w:tcPr>
          <w:p>
            <w:pPr>
              <w:jc w:val="center"/>
              <w:ind w:left="448"/>
              <w:spacing w:after="0"/>
              <w:rPr>
                <w:sz w:val="20"/>
                <w:szCs w:val="20"/>
                <w:color w:val="auto"/>
              </w:rPr>
            </w:pPr>
            <w:r>
              <w:rPr>
                <w:rFonts w:ascii="Arial" w:cs="Arial" w:eastAsia="Arial" w:hAnsi="Arial"/>
                <w:sz w:val="14"/>
                <w:szCs w:val="14"/>
                <w:b w:val="1"/>
                <w:bCs w:val="1"/>
                <w:color w:val="auto"/>
                <w:w w:val="91"/>
              </w:rPr>
              <w:t>Product Revenues for the</w:t>
            </w:r>
          </w:p>
        </w:tc>
        <w:tc>
          <w:tcPr>
            <w:tcW w:w="520" w:type="dxa"/>
            <w:vAlign w:val="bottom"/>
          </w:tcPr>
          <w:p>
            <w:pPr>
              <w:spacing w:after="0"/>
              <w:rPr>
                <w:sz w:val="15"/>
                <w:szCs w:val="15"/>
                <w:color w:val="auto"/>
              </w:rPr>
            </w:pPr>
          </w:p>
        </w:tc>
      </w:tr>
      <w:tr>
        <w:trPr>
          <w:trHeight w:val="186"/>
        </w:trPr>
        <w:tc>
          <w:tcPr>
            <w:tcW w:w="4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Nine Months Ended</w:t>
            </w:r>
          </w:p>
        </w:tc>
        <w:tc>
          <w:tcPr>
            <w:tcW w:w="520" w:type="dxa"/>
            <w:vAlign w:val="bottom"/>
          </w:tcPr>
          <w:p>
            <w:pPr>
              <w:spacing w:after="0"/>
              <w:rPr>
                <w:sz w:val="16"/>
                <w:szCs w:val="16"/>
                <w:color w:val="auto"/>
              </w:rPr>
            </w:pPr>
          </w:p>
        </w:tc>
      </w:tr>
      <w:tr>
        <w:trPr>
          <w:trHeight w:val="26"/>
        </w:trPr>
        <w:tc>
          <w:tcPr>
            <w:tcW w:w="4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9"/>
        </w:trPr>
        <w:tc>
          <w:tcPr>
            <w:tcW w:w="47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Borders>
              <w:bottom w:val="single" w:sz="8" w:color="auto"/>
            </w:tcBorders>
          </w:tcPr>
          <w:p>
            <w:pPr>
              <w:spacing w:after="0"/>
              <w:rPr>
                <w:sz w:val="16"/>
                <w:szCs w:val="16"/>
                <w:color w:val="auto"/>
              </w:rPr>
            </w:pPr>
          </w:p>
        </w:tc>
      </w:tr>
      <w:tr>
        <w:trPr>
          <w:trHeight w:val="196"/>
        </w:trPr>
        <w:tc>
          <w:tcPr>
            <w:tcW w:w="47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7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7"/>
                <w:szCs w:val="17"/>
                <w:color w:val="auto"/>
              </w:rPr>
            </w:pP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9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Customer B</w:t>
            </w:r>
          </w:p>
        </w:tc>
        <w:tc>
          <w:tcPr>
            <w:tcW w:w="62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C</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29"/>
        </w:trPr>
        <w:tc>
          <w:tcPr>
            <w:tcW w:w="5680" w:type="dxa"/>
            <w:vAlign w:val="bottom"/>
            <w:gridSpan w:val="2"/>
          </w:tcPr>
          <w:p>
            <w:pPr>
              <w:ind w:left="20"/>
              <w:spacing w:after="0"/>
              <w:rPr>
                <w:sz w:val="20"/>
                <w:szCs w:val="20"/>
                <w:color w:val="auto"/>
              </w:rPr>
            </w:pPr>
            <w:r>
              <w:rPr>
                <w:rFonts w:ascii="Arial" w:cs="Arial" w:eastAsia="Arial" w:hAnsi="Arial"/>
                <w:sz w:val="18"/>
                <w:szCs w:val="18"/>
                <w:color w:val="auto"/>
              </w:rPr>
              <w:t>Customer D</w:t>
            </w:r>
          </w:p>
        </w:tc>
        <w:tc>
          <w:tcPr>
            <w:tcW w:w="620" w:type="dxa"/>
            <w:vAlign w:val="bottom"/>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5 %</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5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bl>
    <w:p>
      <w:pPr>
        <w:spacing w:after="0" w:line="2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exposed to risks associated with extending credit to customers related to the sale of products. Customers A, B, C, D and E comprised, in aggregate, 36% and 31% of the accounts receivable balance as of September 30, 2022 and December 31, 2021, respectively. The concentration of credit risk relating to our other product revenues or accounts receivable is not significant.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assessed our collaborative and customer receivable assets as of September 30, 2022 according to our accounting policy for applying reserves for expected credit losses, noting minimal history of uncollectible receivables and the continued perceived creditworthiness of our third party sales relationships, upon which the expected credit losses were considered de minimis. As of September 30, 2022 and December 31, 2021, we had no allowance for doubtful accounts.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inventory balance consists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35,465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39,895</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15,768</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101,133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56,938</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Inventories, stated at the lower of cost and net realizable value, consist of raw materials, work in process and finished goods. At September 30, 2022, $45.9 million of inventory was classified as current on the condensed consolidated balance sheet as we expect this inventory to be consumed for commercial use within the next twelve months. At September 30, 2022, $55.3 million of inventory was classified as non-current on the condensed consolidated balance sheet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capitalize inventory after U.S. Food and Drug Administration (FDA) approval as the related costs are expected to be recoverable through the commercialization of the product. Costs incurred prior to FDA approval are recorded as research and development expense in our statements of operations. At September 30, 2022, inventory with approximately $56.8 million of product costs incurred prior to FDA approval had not yet been sold. We expect to sell the pre-commercialization inventory over the next 28 months and, as a result, cost of product revenues will reflect a lower average per unit cost of materials.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w:t>
      </w:r>
    </w:p>
    <w:p>
      <w:pPr>
        <w:spacing w:after="0" w:line="16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Under this agreement, we were initially eligible to receive up to $174.0 million for the achievement of development milestones, up to $495.0 million for the achievement of regulatory milestones and up to $500.0 million for the achievement of sales milestones. In addition, under an amendment to this agreement, we were initially eligible to receive up to $75.0 million of additional potential development and regulatory milestones relating to graft-versus-host-disease (“GVHD”). We have recognized and received, in the aggregate, $157.0 million for the achievement of development milestones, $340.0 million for the achievement of regulatory milestones, and $200.0 million for the achievement of sales milestones through September 30, 2022.</w:t>
      </w:r>
    </w:p>
    <w:p>
      <w:pPr>
        <w:spacing w:after="0" w:line="16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April 2022, we recognized a $15.0 million regulatory milestone for the positive opinion issued by the Committee for Medicinal Products for Human Use (CHMP) of the European Medicines Agency (EMA) that recommends granting marketing authorization for capmatinib (TABRECTA) as a monotherapy for the treatment of adults with advanced non-small cell lung cancer. Additionally, in May 2022, we recognized a $45.0 million regulatory milestone as a result of the European Commission’s approval of JAKAVI (ruxolitinib) as the first post-steroid treatment for acute and chronic GVHD.</w:t>
      </w:r>
    </w:p>
    <w:p>
      <w:pPr>
        <w:spacing w:after="0" w:line="15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also are eligible to receive tiered, double-digit royalties ranging from the upper-teens to the mid-twenties on future JAKAVI net sales outside of the United States, and tiered, worldwide royalties on TABRECTA net sales that range from 12% to 14%. We are obligated to pay to Novartis tiered royalties in the low single-digits on future JAKAFI net sales within the United States contingent on certain conditions. During the three and nine months ended September 30, 2022, such royalties on net sales within the United States totaled $30.3 million and $81.3 million, respectively, and were reflected in cost of product revenues on the condensed consolidated statements of operations. During the three and nine months ended September 30, 2021, such royalties on net sales within the United States totaled $26.9 million and $70.6 million, respectively, and were reflected in cost of product revenues on the condensed consolidated statements of operations. At September 30, 2022 and December 31, 2021, $221.7 million and $148.1 million, respectively, of accrued royalties were included in accrued and other current liabilities on the condensed consolidated balance sheets.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had no milestone and contract revenue under the Novartis agreement for the three months ended September 30, 2022, and we had $60.0 million for the nine months ended September 30, 2022. Product royalty revenue related to Novartis net sales of JAKAVI outside of the United States for the three and nine months ended September 30, 2022 was $85.8 million and $240.4 million, respectively. Product royalty revenue related to Novartis net sales of JAKAVI outside of the United States for the three and nine months ended September 30, 2021 was $94.7 million and $242.3 million, respectively. Product royalty revenue related to Novartis net sales of TABRECTA worldwide for the three and nine months ended September 30, 2022 was $4.1 million and $11.2 million, respectively. Product royalty revenue related to Novartis net sales of TABRECTA worldwide for the three and nine months ended September 30, 2021 was $2.7 million and $7.3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Lilly – Baricitinib</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Under this agreement, we were initially eligible to receive up to $150.0 million for the achievement of development milestones, up to $365.0 million for the achievement of regulatory milestones and up to $150.0 million for the achievement of sales milestones. We have recognized and received, in aggregate, $149.0 million for the achievement of development milestones, $335.0 million for the achievement of regulatory milestones and $50.0 million for the achievement of sales milestones through September 30, 2022. We are also eligible to receive tiered, double-digit royalty payments on future global sales with rates ranging up to the mid-twenties if a product is successfully commercialized.</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May 2020, we amended our agreement with Lilly to enable Lilly to develop and commercialize baricitinib for the treatment of COVID-19. As part of the amended agreement, in addition to the royalties described above, we will be entitled to receive additional royalty payments with rates in the low teens on global net sales of baricitinib for the treatment of COVID-19 that exceed a specified aggregate global net sales threshold.</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June 2022, we recognized a $40.0 million regulatory milestone for the FDA approval of OLUMIANT as a first-in-disease systemic treatment for adults with severe alopecia areata. Additionally, in June 2022 we recognized a $20.0 million regulatory milestone for the European Commission’s approval for OLUMIANT for the treatment of adults with severe alopecia areata, and a $10.0 million regulatory milestone for the Ministry of Health, Labour and Welfare of Japan’s approval for OLUMIANT for the treatment of adults with severe alopecia areata in Japan.</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had no milestone and contract revenue under the Lilly agreement for the three months ended September 30, 2022, and we had $70.0 million for the nine months ended September 30, 2022. Product royalty revenue related to Lilly net sales of OLUMIANT outside of the United States for the three and nine months ended September 30, 2022 was $20.4 million and $98.7 million, respectively. Product royalty revenue related to Lilly net sales of OLUMIANT outside of the United States for the three and nine months ended September 30, 2021 was $86.6 million and $154.9 million,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Lilly - Ruxolitinib</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2016, we entered into an amendment to the agreement with Lilly that amended the non-compete provision of the agreement to allow us to engage in the development and commercialization of ruxolitinib in the GVHD field. Lilly is eligible to receive up to $40.0 million in regulatory milestone payments relating to ruxolitinib in the GVHD field. In May 2019, the approval of JAKAFI in steroid-refractory acute GVHD triggered a $20.0 million milestone payment to Lilly. In March 2022, the positive recommendation from the European Medicines Agency for regulatory approval of ruxolitinib in the GVHD field triggered an additional $20.0 million milestone payment to Lilly, which was recorded as research and development expense in our condensed consolidated statements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January 2015, we entered into a License, Development and Commercialization Agreement with Agenus Inc. and its wholly-owned subsidiary, 4-Antibody AG (now known as Agenus Switzerland Inc.), which we collectively refer to as Agenus. Under this agreement, which was amended in February 2017, the parties have agreed to collaborate on the discovery of novel immuno-therapeutics using Agenus’ antibody discovery platforms. Under the terms of the amended agreement, we received exclusive worldwide development and commercialization rights to four checkpoint modulators directed against GITR, OX40, LAG-3 and TIM-3 as well as two undisclosed targets. Targets may be designated profit-share programs, where all costs and profits are shared equally by us and Agenus, or royalty-bearing programs, where we are responsible for all costs associated with discovery, preclinical, clinical development and commercialization activities. There are currently no profit-share programs. For each royalty-bearing product other than GITR and one undisclosed target, Agenus will be eligible to receive tiered royalties on global net sales ranging from 6% to 12%. For GITR and one undisclosed target, Agenus will be eligible to receive 15% royalties on global net sales. The agreement may be terminated by us for convenience upon 12 months’ notice and may also be terminated under certain other circumstances, including material breach. On October 19, 2022 we notified Agenus that we were terminating the OX40 project.</w:t>
      </w:r>
    </w:p>
    <w:p>
      <w:pPr>
        <w:spacing w:after="0" w:line="18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September 30, 2022, we have paid Agenus milestones totaling $30.0 million and Agenus is eligible to receive up to an additional $500.0 million in future contingent development, regulatory and commercialization milestones across all programs in the collaboration.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in 2017 we purchased 10.0 million shares of Agenus Inc.’s common stock for an aggregate purchase price of $60.0 million in cash, or $6.00 per share. In 2020, we sold an aggregate of approximately 3.7 million shares of Agenus Inc.’s common stock resulting in gross proceeds of approximately $17.2 million. In 2021, we sold an aggregate of approximately 2.0 million shares of Agenus Inc.’s common stock resulting in gross proceeds of approximately $10.5 million. The fair market value of our long term investment in Agenus Inc. at September 30, 2022 and December 31, 2021 was $24.8 million and $38.9 million, respectively.</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intend to hold the investment in Agenus Inc. for the foreseeable future and therefore, are accounting for our shares held in Agenus Inc. at fair value whereby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and nine months ended September 30, 2022, we recorded an unrealized gain of $1.3 million and an unrealized loss of $14.1 million, respectively, based on the change in fair value of Agenus Inc.’s common stock during the respective periods. For the three and nine months ended September 30, 2021, we recorded an unrealized loss of $2.8 million and an unrealized gain of $29.1 million, respectively, based on the change in fair value of Agenus Inc.’s common stock during the respective periods.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December 2016, we entered into a Collaboration and License Agreement with Merus N.V. (“Merus”). Under this agreement, the parties have agreed to collaborate with respect to the research, discovery and development of bispecific antibodies utilizing Merus’ technology platform. The collaboration encompasses up to ten independent programs.</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January 2022, we decided to opt-out of the continued development of MCLA-145, a bispecific antibody targeting PD-L1 and CD137. We continue to collaborate with Merus and leverage the Merus platform to develop a pipeline of novel agents, as we continue to hold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each program as to which Merus does not have commercialization or development co-funding rights, Merus is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is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 As of September 30, 2022, we have paid Merus milestones totaling $3.0 million.</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in 2016 we entered into a Share Subscription Agreement with Merus, pursuant to which we purchased 3.2 million common shares of Merus for an aggregate purchase price of $80.0 million in cash, or $25.00 per share. In January 2021, we purchased 350,000 common shares in Merus’ underwritten public offering of 4,848,485 common shares at the public offering price of $24.75 per share, or an aggregate purchase price of $8.7 million. The fair market value of our total long term investment in Merus at September 30, 2022 and December 31, 2021 was $71.1 million and $112.9 million, respectively. As of September 30, 2022, we owned approximately 8% of the outstanding common shares of Merus.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concluded that we have the ability to exercise significant influence, but not control, over Merus based primarily on our ownership interest, the level of intra-entity transactions between us and Merus related to development expenses, as well as other qualitative factors. We have elected the fair value option to account for our long term investment in Merus whereby the investment is marked to market through earnings in each reporting period. We believe the fair value option to be the most appropriate accounting method to account for securities in publicly held collaborators for which we have significant influence. For the three and nine months ended September 30, 2022, we recorded an unrealized loss of $9.3 million and $41.8 million, respectively, based on the change in fair value of Merus’ common shares during the respective periods. For the three and nine months ended September 30, 2021, we recorded an unrealized gain of $3.3 million and $13.3 million, respectively, based on the change in fair value of Merus’ common shares during the respective periods.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January 2017, we entered into a Collaboration and License Agreement with Calithera Biosciences, Inc. (“Calithera”). Under this agreement, we received an exclusive, worldwide license to develop and commercialize small molecule arginase inhibitors, including INCB01158. We had initially agreed to co-fund 70% of the global development costs for the development of the licensed products for hematology and oncology indications, but effective September 30, 2020 Calithera opted out of its co-funding obligation, and we became responsible for funding all of the development costs of INCB01158 and any other licensed products. In September 2022, we notified Calithera of our exercise of our right to terminate the Collaboration and License Agreement for convenience, effective in December 2022. As a result of the termination, rights to INCB01158 and the other licensed products will revert to Calithera.</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in 2017, we entered into a Stock Purchase Agreement with Calithera, pursuant to which we purchased 1.7 million shares of Calithera common stock for an aggregate purchase price of $8.0 million in cash, or $4.65 per share. In June 2022, Calithera effected a one-for-twenty stock split of its outstanding common stock, adjusting our ownership to 86,021 shares of Calithera’s common stock. The fair market value of our long term investment in Calithera at September 30, 2022 and December 31, 2021 was $0.3 million and $1.1 million, respectively.</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intend to hold the investment in Calithera for the foreseeable future and therefore, are accounting for our shares held in Calithera at fair value whereby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months ended September 30, 2022 we recorded a nominal unrealized gain, and for the nine months ended September 30, 2022 we recorded an unrealized loss of $0.9 million, based on the change in fair value of Calithera’s common stock during the respective periods. For the three and nine months ended September 30, 2021 we recorded an unrealized gain of $0.2 million and an unrealized loss of $4.6 million, respectively, based on the change in fair value of Calithera’s common stock during the respective periods.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MacroGenics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2022, we amended our agreement with MacroGenics to reflect changes related to the payment of certain milestones and paid MacroGenics $30.0 million. As of September 30, 2022, we have paid MacroGenics developmental milestones totaling $100.0 million. After the amendment, MacroGenics will be eligible to receive up to an additional $335.0 million in future contingent development and regulatory milestones, and up to $330.0 million in sales milestones as well as tiered royalties ranging from 15% to 24% of global net sales.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Research and development expenses for the three and nine months ended September 30, 2022 also included $41.6 million and $69.9 million, respectively, of development costs incurred pursuant to the MacroGenics agreement. Research and development expenses for the three and nine months ended September 30, 2021 also included $17.8 million and $49.0 million, respectively, of development costs incurred pursuant to the MacroGenics agreement. At September 30, 2022 and December 31, 2021, a total of $2.7 million and $0.7 million of such costs were included in accrued and other liabilities on the condensed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Syros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January 2018, we entered into a Target Discovery, Research Collaboration and Option Agreement with Syros Pharmaceuticals, Inc. (“Syros”).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sales milestones. Syros is also eligible to receive low single-digit royalties on net sales of products resulting from the collaboration.</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in 2018, we entered into a Stock Purchase Agreement with Syros, pursuant to which we purchased 0.8 million shares of Syros common stock for an aggregate purchase price of $10.0 million in cash, or $12.61 per share. Subsequently in 2018, we entered into an Amended Stock Purchase Agreement with Syros, pursuant to which we purchased an additional 0.1 million shares of Syros common stock for an aggregate purchase price of $1.4 million in cash, or $9.55 per share. In September 2022, Syros effected a one-for-ten stock split of its outstanding common stock, adjusting our ownership to 93,753 shares of Syros’s common stock. The fair market value of our long term investment in Syros as of September 30, 2022 and December 31, 2021 was $0.6 million and $3.1 million, respectively.</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intend to hold the investment in Syros for the foreseeable future and therefore, are accounting for our shares held in Syros at fair value whereby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and nine months ended September 30, 2022, we recorded an unrealized loss of $0.3 million and $2.5 million, respectively, based on the change in fair value of Syros’ common stock during the respective periods. For the three and nine months ended September 30, 2021, we recorded an unrealized loss of $0.9 million and $6.0 million, respectively, based on the change in fair value of Syros’ common stock during the respective periods.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2018, we entered into a Research Collaboration and Licensing Agreement with Innovent. Under the terms of this agreement, Innovent received exclusive development and commercialization rights to our clinical-stage product candidates pemigatinib, itacitinib and parsaclisib in hematology and oncology in mainland China, Hong Kong, Macau and Taiwan. We are eligible to receive up to an additional $94.0 million in potential development and regulatory milestones.</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recognize development and regulatory milestones upon confirmation of achievement of the event, as development and regulatory approvals are events not controllable by us but rather development activities of Innovent and decisions made by regulatory agencies. In March 2022, we recognized a $5.0 million milestone for approval of PEMAZYRE (pemigatinib) in China.</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event of commercialization of the licensed molecule, we are eligible to receive up to $202.5 million in potential sales milestones from Innovent. We will recognize sales milestones in the corresponding period of the product sale upon confirmation of net sales milestone threshold achievement by Innovent. We are also eligible to receive tiered royalties from the high-teens to the low-twenties on future sales of products resulting from the collaboration. We retain an option to assist in the promotion of the three product candidates in the Innovent territories.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Zai Lab</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July 2019, we entered into a Collaboration and License Agreement with Zai Lab. Under the terms of this agreement, Zai Lab received development and exclusive commercialization rights to INCMGA0012 in hematology and oncology in mainland China, Hong Kong, Macau and Taiwan.</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agreement allows for Zai Lab to continue development of the licensed molecule and to submit the licensed molecule to authorities for regulatory approval within the agreement territory, upon which we are eligible for up to $22.5 million in potential development and regulatory milestones. We recognize development and regulatory milestones upon confirmation of achievement of the event, as development and regulatory approvals are events not controllable by us but rather development activities of Zai Lab and decisions made by regulatory agencies.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of commercialization of the licensed molecule, we are eligible to receive up to $37.5 million in potential sales milestones from Zai Lab. We will recognize sales milestones in the corresponding period of the product sale upon confirmation of net sales milestone threshold achievement by Zai Lab. We are also eligible to receive tiered royalties from the low to mid-twenties on future product sales resulting from the collaboration. We also retain an option to assist in the promotion of INCMGA0012 in Zai Lab’s licensed territories.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MorphoSys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January 2020, we entered into a Collaboration and License Agreement with MorphoSys AG and MorphoSys US Inc., a wholly-owned subsidiary of MorphoSys AG (together with MorphoSys AG, “MorphoSys”), covering the worldwide development and commercialization of MOR208 (tafasitamab), an investigational Fc engineered monoclonal antibody directed against the target molecule CD19 that is currently in clinical development by MorphoSys. MorphoSys has exclusive worldwide development and commercialization rights to tafasitamab under a June 2010 collaboration and license agreement with Xencor, Inc.</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Under the terms of the agreement, we received exclusive commercialization rights outside of the United States, and MorphoSys and we have co-commercialization rights in the United States, with respect to tafasitamab. MorphoSys is responsible for leading the commercialization strategy and booking all revenue from sales of tafasitamab in the United States, and we and MorphoSys are both responsible for commercialization efforts in the United States and will share equally the profits and losses from the co-commercialization efforts. We will lead the commercialization strategy outside of the United States, and will be responsible for commercialization efforts and book all revenue from sales of tafasitamab outside of the United States, subject to our royalty payment obligations set forth below. We and MorphoSys have agreed to co-develop tafasitamab and to share development costs associated with global and U.S.-specific clinical trials, with Incyte responsible for 55% of such costs and MorphoSys responsible for 45% of such costs. Each company is responsible for funding any independent development activities, and we are responsible for funding development activities specific to territories outside of the United States. All development costs related to the collaboration are subject to a joint development plan.</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MorphoSys is eligible to receive up to $737.5 million in future contingent development and regulatory milestones and up to $315.0 million in commercialization milestones as well as tiered royalties ranging from the mid-teens to mid-twenties of net sales outside of the United States. MorphoSys’ right to receive royalties in any particular country will expire upon the last to occur of (a) the expiration of patent rights in that particular country, (b) a specified period of time after the first post-marketing authorization sale of a licensed product comprising tafasitamab in that country, and (c) the expiration of any regulatory exclusivity for that licensed product in that country. As of September 30, 2022, we have paid MorphoSys milestones totaling $2.5 million.</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under the terms of the agreement and pursuant to a related purchase agreement, we purchased American Depositary Shares (“ADSs”), each representing 0.25 of an ordinary share of MorphoSys AG, for an aggregate purchase price of $150.0 million or $41.33 per ADS (such ADSs to be purchased, the “New ADSs”). The fair market value of our long term investment in MorphoSys as of September 30, 2022 and December 31, 2021 was $18.3 million and $34.2 million, respectively.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intend to hold the investment in MorphoSys for the foreseeable future and therefore, are accounting for our shares held in MorphoSys at fair value whereby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and nine months ended September 30, 2022, we recorded an unrealized gain of $0.8 million and an unrealized loss of $15.9 million, respectively, based on the change in fair value of MorphoSys’ ordinary shares during the respective periods. For the three and nine months ended September 30, 2021, we recorded an unrealized loss of $27.3 million and $60.2 million, respectively, based on the change in fair value of MorphoSys’ ordinary shares during the respective periods.</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50% share of the United States loss for the commercialization of tafasitamab for the three and nine months ended September 30, 2022 was $1.8 million and $9.1 million, respectively, and is recorded as collaboration loss sharing on the condensed consolidated statement of operations. Our 50% share of the United States loss for the commercialization of tafasitamab for the three and nine months ended September 30, 2021 was $9.1 million and $29.5 million, respectively, and is recorded as collaboration loss sharing on the condensed consolidated statement of operations. Research and development expenses for the three and nine months ended September 30, 2022, includes $21.9 million and $70.4 million, respectively, related to our 55% share of the co-development costs for tafasitamab. Research and development expenses for the three and nine months ended September 30, 2021, includes $21.5 million and $55.8 million, respectively, related to our 55% share of the co-development costs for tafasitamab. At September 30, 2022 and December 31, 2021, $72.5 million and $21.5 million, respectively, was included in accrued and other liabilities on the condensed consolidated balance sheets for amounts due to MorphoSys under the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Nimble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September 2020, we entered into a Collaboration and License Agreement with Nimble Therapeutics, Inc. (“Nimble”). Under the terms of this agreement, Nimble will utilize their peptide synthesis, screening and optimization platform for discovery and validation of peptides against specified targets. Under the agreement, Nimble is eligible to receive up to $8.0 million in future contingent discovery milestones and up to $127.0 million in future contingent development and regulatory milestones. Additionally, in the event of successful commercialization, Nimble is eligible to receive up to $130.0 million in future contingent sales milestones and tiered royalties on net sales in the low single digits.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InnoCare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August 2021, we entered into a Collaboration and License Agreement with Sunny Investments Limited, a wholly-owned subsidiary of InnoCare Pharma Limited (“InnoCare”). InnoCare received development and exclusive commercialization rights to tafasitamab in hematology and oncology in mainland China, Hong Kong, Macau and Taiwan. In September 2021, we recognized an upfront payment under this agreement of $35.0 million upon our transfer of technology related to the licensed product candidate to InnoCare, which was recorded in milestone and contract revenues on the consolidated statement of operations for the year ended December 31, 2021. Under the terms of this agreement, we are eligible to receive up to an additional $82.5 million in potential development, regulatory and commercial milestones. We recognize development and regulatory milestones upon confirmation of achievement of the event, as development and regulatory approvals are events not controllable by us but rather development activities of InnoCare and decisions made by regulatory agencies. In the event of commercialization, we will recognize sales milestones in the corresponding period of the product sale upon confirmation of net sales milestone threshold achievement by InnoCare.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Syndax</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September 2021, we entered into a Collaboration and License Agreement with Syndax Pharmaceuticals, Inc. (“Syndax”), covering the worldwide development and commercialization of SNDX-6352 (“axatilimab”). Axatilimab, currently in clinical development by Syndax, is a monoclonal antibody that blocks the colony stimulating factor-1 (CSF-1) receptor. Syndax has exclusive worldwide development and commercialization rights to axatilimab under a June 2016 license agreement with UCB Biopharma Sprl. The agreement became effective in December 2021.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terms of the agreement, we received exclusive commercialization rights outside of the United States, and Syndax and we have co-commercialization rights in the United States, with respect to axatilimab. We will be responsible for leading the commercialization strategy and booking all revenue from sales of axatilimab globally, and Syndax will have the option to co-commercialization axatilimab with Incyte in the United States. Incyte and Syndax will share equally the profits and losses from the co-commercialization efforts in the United States. Sales of axatilimab outside the United States will be subject to our royalty payment obligations to Syndax, as set forth below. We and Syndax have agreed to co-develop axatilimab and to share development costs associated with global and U.S.-specific clinical trials, with Incyte responsible for 55% of such costs and Syndax responsible for 45% of such costs. Each company is responsible for funding any independent development activities. All development costs related to the collaboration are subject to a joint development plan.</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December 2021, we paid Syndax an upfront, non-refundable payment of $117.0 million, which was recorded in research and development expense on the consolidated statement of operations for the year ended December 31, 2021. Syndax is eligible to receive up to $220.0 million in future contingent development and regulatory milestones and up to $230.0 million in sales milestones as well as tiered royalties ranging in the mid-teens on net sales in Europe and Japan and low double digit percentage on net sales in the rest of the world outside of the United States. Syndax’ right to receive royalties in any particular country will expire upon the last to occur of (a) the expiration of patent rights in that particular country, (b) a specified period of time after the first post-marketing authorization sale of a licensed product comprising axatilimab in that country, and (c) the expiration of any regulatory exclusivity for that licensed product in that country.</w:t>
      </w:r>
    </w:p>
    <w:p>
      <w:pPr>
        <w:spacing w:after="0" w:line="19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under the terms of the agreement and pursuant to a related stock purchase agreement, we purchased approximately 1.4 million shares of Syndax common stock for an aggregate purchase price of $35.0 million, or $24.62 per share. We completed the purchase of the shares on December 9, 2021 when the closing price on The Nasdaq Stock Market was $17.48 per share. Of the $35.0 million aggregate purchase price paid, $24.8 million was allocated to our stock purchase and was recorded within long term investments and $10.2 million, representing premium paid on the purchase, was allocated to research and development expense on the consolidated statement of operations for the year ended December 31, 2021. The fair market value of our long term investment in Syndax as of September 30, 2022 and December 31, 2021 was $34.2 million and $31.1 million.</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intend to hold the investment in Syndax for the foreseeable future and therefore, are accounting for our shares held in Syndax at fair value whereby the investment is marked to market through earnings in each reporting period. Given our intent to hold the investment for the foreseeable future, we have classified the investment within long term investments on the accompanying condensed consolidated balance sheets. For the three and nine months ended September 30, 2022, we recorded an unrealized gain of $6.8 million and $3.1 million, respectively, based on the change in fair value of Syndax’s common stock during the respective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Maruho</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April 2022, we entered into a strategic alliance agreement with Maruho, Co., Ltd (“Maruho”) for the development, manufacturing and exclusive commercialization of ruxolitinib cream, for treatment of autoimmune and inflammatory dermatology indications in Japan. Maruho will receive the rights to develop, manufacture and exclusively commercialize ruxolitinib cream, and other potential future topical formulations of ruxolitinib, in autoimmune and inflammatory dermatologic diseases, including vitiligo and atopic dermatitis, in Japan. Under the terms of the agreement, we received an upfront payment from Maruho which was deferred and recorded in other liabilities on the condensed consolidated balance sheet and we are eligible to receive additional potential development, regulatory and commercial milestones and royalties on net sales of the licensed product in Japan.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and Equipment,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3"/>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22,554</w:t>
            </w:r>
          </w:p>
        </w:tc>
      </w:tr>
      <w:tr>
        <w:trPr>
          <w:trHeight w:val="270"/>
        </w:trPr>
        <w:tc>
          <w:tcPr>
            <w:tcW w:w="8180" w:type="dxa"/>
            <w:vAlign w:val="bottom"/>
          </w:tcPr>
          <w:p>
            <w:pPr>
              <w:ind w:left="20"/>
              <w:spacing w:after="0"/>
              <w:rPr>
                <w:sz w:val="20"/>
                <w:szCs w:val="20"/>
                <w:color w:val="auto"/>
              </w:rPr>
            </w:pPr>
            <w:r>
              <w:rPr>
                <w:rFonts w:ascii="Arial" w:cs="Arial" w:eastAsia="Arial" w:hAnsi="Arial"/>
                <w:sz w:val="18"/>
                <w:szCs w:val="18"/>
                <w:color w:val="auto"/>
              </w:rPr>
              <w:t>Laboratory equipment</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115,507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105,040</w:t>
            </w:r>
          </w:p>
        </w:tc>
      </w:tr>
      <w:tr>
        <w:trPr>
          <w:trHeight w:val="27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88,239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79,871</w:t>
            </w:r>
          </w:p>
        </w:tc>
      </w:tr>
      <w:tr>
        <w:trPr>
          <w:trHeight w:val="270"/>
        </w:trPr>
        <w:tc>
          <w:tcPr>
            <w:tcW w:w="8180" w:type="dxa"/>
            <w:vAlign w:val="bottom"/>
          </w:tcPr>
          <w:p>
            <w:pPr>
              <w:ind w:left="20"/>
              <w:spacing w:after="0"/>
              <w:rPr>
                <w:sz w:val="20"/>
                <w:szCs w:val="20"/>
                <w:color w:val="auto"/>
              </w:rPr>
            </w:pPr>
            <w:r>
              <w:rPr>
                <w:rFonts w:ascii="Arial" w:cs="Arial" w:eastAsia="Arial" w:hAnsi="Arial"/>
                <w:sz w:val="18"/>
                <w:szCs w:val="18"/>
                <w:color w:val="auto"/>
              </w:rPr>
              <w:t>Land</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10,139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10,494</w:t>
            </w:r>
          </w:p>
        </w:tc>
      </w:tr>
      <w:tr>
        <w:trPr>
          <w:trHeight w:val="27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and leasehold improvements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432,748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434,321</w:t>
            </w:r>
          </w:p>
        </w:tc>
      </w:tr>
      <w:tr>
        <w:trPr>
          <w:trHeight w:val="270"/>
        </w:trPr>
        <w:tc>
          <w:tcPr>
            <w:tcW w:w="81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23,111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27,308</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220,052</w:t>
            </w:r>
          </w:p>
        </w:tc>
      </w:tr>
      <w:tr>
        <w:trPr>
          <w:trHeight w:val="223"/>
        </w:trPr>
        <w:tc>
          <w:tcPr>
            <w:tcW w:w="8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917,713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899,640</w:t>
            </w:r>
          </w:p>
        </w:tc>
      </w:tr>
      <w:tr>
        <w:trPr>
          <w:trHeight w:val="27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(201,980)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(175,720)</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715,733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723,920</w:t>
            </w:r>
          </w:p>
        </w:tc>
      </w:tr>
      <w:tr>
        <w:trPr>
          <w:trHeight w:val="21"/>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2017, we acquired additional adjacent buildings to our global headquarters in Wilmington, Delaware and in 2019, began demolition of these buildings and construction of a new laboratory and office building totaling approximately 200,000 square feet. The certificate of occupancy was received in December 2021 and we capitalized approximately $158.2 million in building and office equipment that was previously included in construction in progress as of December 31, 2021.</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February 2018, we signed an agreement to rent a building in Morges, Switzerland for an initial term of 15 years plus one year of free rent, with multiple options to extend for an additional 20 years. The building serves as our new European headquarters and consists of approximately 100,000 square feet of office space. This building allowed for consolidation of our European operations that were located in Geneva and Lausanne, Switzerland. In June 2019, we obtained control of the Morges building to begin our construction activity, which was completed in 2020. At that time, we determined the lease to be a finance lease and recorded a lease liability of $31.1 million and a finance lease right-of-use asset of $29.1 million, net of a lease incentive from our landlord of $2.0 million. We have capitalized approximately $19.5 million in leasehold improvements as of September 30, 2022 relating to Morges.</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2018, we signed an agreement to purchase land located in Yverdon, Switzerland. The land was purchased, in cash, for approximately $4.8 million. Upon this parcel, we are constructing a large molecule production facility. Construction activity commenced in July 2018, and as of September 30, 2022, we have capitalized approximately $190.5 million in costs for construction, ground preparation and architectural and engineering studies. Inspection from competent authorities was finalized in March 2022, and in June 2022 Swissmedic authorities granted the GMP drug manufacturing license for this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Accrued and Other Current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25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248,455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168,412</w:t>
            </w:r>
          </w:p>
        </w:tc>
      </w:tr>
      <w:tr>
        <w:trPr>
          <w:trHeight w:val="263"/>
        </w:trPr>
        <w:tc>
          <w:tcPr>
            <w:tcW w:w="8220" w:type="dxa"/>
            <w:vAlign w:val="bottom"/>
          </w:tcPr>
          <w:p>
            <w:pPr>
              <w:ind w:left="20"/>
              <w:spacing w:after="0"/>
              <w:rPr>
                <w:sz w:val="20"/>
                <w:szCs w:val="20"/>
                <w:color w:val="auto"/>
              </w:rPr>
            </w:pPr>
            <w:r>
              <w:rPr>
                <w:rFonts w:ascii="Arial" w:cs="Arial" w:eastAsia="Arial" w:hAnsi="Arial"/>
                <w:sz w:val="18"/>
                <w:szCs w:val="18"/>
                <w:color w:val="auto"/>
              </w:rPr>
              <w:t>Clinical related costs</w:t>
            </w: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152,764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109,486</w:t>
            </w:r>
          </w:p>
        </w:tc>
      </w:tr>
      <w:tr>
        <w:trPr>
          <w:trHeight w:val="26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allowances</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186,112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136,541</w:t>
            </w:r>
          </w:p>
        </w:tc>
      </w:tr>
      <w:tr>
        <w:trPr>
          <w:trHeight w:val="263"/>
        </w:trPr>
        <w:tc>
          <w:tcPr>
            <w:tcW w:w="82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31,001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35,750</w:t>
            </w:r>
          </w:p>
        </w:tc>
      </w:tr>
      <w:tr>
        <w:trPr>
          <w:trHeight w:val="27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27,098</w:t>
            </w:r>
          </w:p>
        </w:tc>
      </w:tr>
      <w:tr>
        <w:trPr>
          <w:trHeight w:val="250"/>
        </w:trPr>
        <w:tc>
          <w:tcPr>
            <w:tcW w:w="82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10,554</w:t>
            </w:r>
          </w:p>
        </w:tc>
      </w:tr>
      <w:tr>
        <w:trPr>
          <w:trHeight w:val="27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64,154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45,754</w:t>
            </w:r>
          </w:p>
        </w:tc>
      </w:tr>
      <w:tr>
        <w:trPr>
          <w:trHeight w:val="257"/>
        </w:trPr>
        <w:tc>
          <w:tcPr>
            <w:tcW w:w="8220" w:type="dxa"/>
            <w:vAlign w:val="bottom"/>
          </w:tcPr>
          <w:p>
            <w:pPr>
              <w:ind w:left="20"/>
              <w:spacing w:after="0"/>
              <w:rPr>
                <w:sz w:val="20"/>
                <w:szCs w:val="20"/>
                <w:color w:val="auto"/>
              </w:rPr>
            </w:pPr>
            <w:r>
              <w:rPr>
                <w:rFonts w:ascii="Arial" w:cs="Arial" w:eastAsia="Arial" w:hAnsi="Arial"/>
                <w:sz w:val="18"/>
                <w:szCs w:val="18"/>
                <w:color w:val="auto"/>
              </w:rPr>
              <w:t>Total accrued and other current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699,814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533,595</w:t>
            </w: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 Compensation</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recorded $45.4 million and $135.7 million of stock compensation expense on our condensed consolidated statements of operations for the three and nine months ended September 30, 2022, respectively. We recorded $42.7 million and $134.8 million of stock compensation expense on our condensed consolidated statements of operations for the three and nine months ended September 30, 2021, respectively. Stock compensation expense included within our condensed consolidated statements of operations included research and development expense of $25.8 million, $80.2 million, $26.3 million and $84.2 million for the three and nine months ended September 30, 2022 and 2021, respectively. Stock compensation expense included within our condensed consolidated statements of operations also included selling, general and administrative expense of $18.9 million, $53.5 million, $15.9 million and $49.5 million for the three and nine months ended September 30, 2022 and 2021, respectively. Stock compensation expense included within our condensed consolidated statements of operations also included cost of product revenues of $0.7 million, $2.0 million, $0.5 million and $1.1 million, respectively, for the three and nine months ended September 30, 2022 and 2021.</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utilized the Black-Scholes valuation model for estimating the fair value of the stock compensation granted, with the following weighted-average assumptions:</w:t>
      </w:r>
    </w:p>
    <w:p>
      <w:pPr>
        <w:sectPr>
          <w:pgSz w:w="11900" w:h="16838" w:orient="portrait"/>
          <w:cols w:equalWidth="0" w:num="1">
            <w:col w:w="11240"/>
          </w:cols>
          <w:pgMar w:left="320" w:top="125" w:right="339" w:bottom="1440" w:gutter="0" w:footer="0" w:header="0"/>
        </w:sectPr>
      </w:pPr>
    </w:p>
    <w:p>
      <w:pPr>
        <w:spacing w:after="0" w:line="202" w:lineRule="exact"/>
        <w:rPr>
          <w:sz w:val="20"/>
          <w:szCs w:val="20"/>
          <w:color w:val="auto"/>
        </w:rPr>
      </w:pPr>
    </w:p>
    <w:p>
      <w:pPr>
        <w:ind w:left="3580"/>
        <w:spacing w:after="0"/>
        <w:rPr>
          <w:sz w:val="20"/>
          <w:szCs w:val="20"/>
          <w:color w:val="auto"/>
        </w:rPr>
      </w:pPr>
      <w:r>
        <w:rPr>
          <w:rFonts w:ascii="Arial" w:cs="Arial" w:eastAsia="Arial" w:hAnsi="Arial"/>
          <w:sz w:val="14"/>
          <w:szCs w:val="14"/>
          <w:b w:val="1"/>
          <w:bCs w:val="1"/>
          <w:color w:val="auto"/>
        </w:rPr>
        <w:t>Employee Stock Options</w:t>
      </w:r>
    </w:p>
    <w:p>
      <w:pPr>
        <w:spacing w:after="0" w:line="31" w:lineRule="exact"/>
        <w:rPr>
          <w:sz w:val="20"/>
          <w:szCs w:val="20"/>
          <w:color w:val="auto"/>
        </w:rPr>
      </w:pPr>
    </w:p>
    <w:tbl>
      <w:tblPr>
        <w:tblLayout w:type="fixed"/>
        <w:tblInd w:w="2080" w:type="dxa"/>
        <w:tblCellMar>
          <w:top w:w="0" w:type="dxa"/>
          <w:left w:w="0" w:type="dxa"/>
          <w:bottom w:w="0" w:type="dxa"/>
          <w:right w:w="0" w:type="dxa"/>
        </w:tblCellMar>
      </w:tblPr>
      <w:tr>
        <w:trPr>
          <w:trHeight w:val="209"/>
        </w:trPr>
        <w:tc>
          <w:tcPr>
            <w:tcW w:w="2280" w:type="dxa"/>
            <w:vAlign w:val="bottom"/>
            <w:tcBorders>
              <w:top w:val="single" w:sz="8" w:color="auto"/>
              <w:bottom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For the Three Months Ended</w:t>
            </w:r>
          </w:p>
        </w:tc>
        <w:tc>
          <w:tcPr>
            <w:tcW w:w="2240" w:type="dxa"/>
            <w:vAlign w:val="bottom"/>
            <w:tcBorders>
              <w:top w:val="single" w:sz="8" w:color="auto"/>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11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2"/>
          </w:tcPr>
          <w:p>
            <w:pPr>
              <w:jc w:val="right"/>
              <w:ind w:right="628"/>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Borders>
              <w:bottom w:val="single" w:sz="8" w:color="auto"/>
            </w:tcBorders>
          </w:tcPr>
          <w:p>
            <w:pPr>
              <w:spacing w:after="0"/>
              <w:rPr>
                <w:sz w:val="17"/>
                <w:szCs w:val="17"/>
                <w:color w:val="auto"/>
              </w:rPr>
            </w:pPr>
          </w:p>
        </w:tc>
      </w:tr>
      <w:tr>
        <w:trPr>
          <w:trHeight w:val="186"/>
        </w:trPr>
        <w:tc>
          <w:tcPr>
            <w:tcW w:w="1100" w:type="dxa"/>
            <w:vAlign w:val="bottom"/>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18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120" w:type="dxa"/>
            <w:vAlign w:val="bottom"/>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120" w:type="dxa"/>
            <w:vAlign w:val="bottom"/>
          </w:tcPr>
          <w:p>
            <w:pPr>
              <w:jc w:val="right"/>
              <w:ind w:right="328"/>
              <w:spacing w:after="0"/>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Employee Stock Purchase Plan</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280" w:type="dxa"/>
            <w:vAlign w:val="bottom"/>
            <w:tcBorders>
              <w:top w:val="single" w:sz="8" w:color="auto"/>
              <w:bottom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For the Three Months Ended</w:t>
            </w:r>
          </w:p>
        </w:tc>
        <w:tc>
          <w:tcPr>
            <w:tcW w:w="2260" w:type="dxa"/>
            <w:vAlign w:val="bottom"/>
            <w:tcBorders>
              <w:top w:val="single" w:sz="8" w:color="auto"/>
              <w:bottom w:val="single" w:sz="8" w:color="auto"/>
            </w:tcBorders>
            <w:gridSpan w:val="2"/>
          </w:tcPr>
          <w:p>
            <w:pPr>
              <w:jc w:val="right"/>
              <w:ind w:right="188"/>
              <w:spacing w:after="0"/>
              <w:rPr>
                <w:sz w:val="20"/>
                <w:szCs w:val="20"/>
                <w:color w:val="auto"/>
              </w:rPr>
            </w:pPr>
            <w:r>
              <w:rPr>
                <w:rFonts w:ascii="Arial" w:cs="Arial" w:eastAsia="Arial" w:hAnsi="Arial"/>
                <w:sz w:val="14"/>
                <w:szCs w:val="14"/>
                <w:b w:val="1"/>
                <w:bCs w:val="1"/>
                <w:color w:val="auto"/>
              </w:rPr>
              <w:t>For the Nine Months Ended</w:t>
            </w:r>
          </w:p>
        </w:tc>
      </w:tr>
      <w:tr>
        <w:trPr>
          <w:trHeight w:val="196"/>
        </w:trPr>
        <w:tc>
          <w:tcPr>
            <w:tcW w:w="11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2"/>
          </w:tcPr>
          <w:p>
            <w:pPr>
              <w:jc w:val="right"/>
              <w:ind w:right="648"/>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Borders>
              <w:bottom w:val="single" w:sz="8" w:color="auto"/>
            </w:tcBorders>
          </w:tcPr>
          <w:p>
            <w:pPr>
              <w:spacing w:after="0"/>
              <w:rPr>
                <w:sz w:val="17"/>
                <w:szCs w:val="17"/>
                <w:color w:val="auto"/>
              </w:rPr>
            </w:pPr>
          </w:p>
        </w:tc>
      </w:tr>
      <w:tr>
        <w:trPr>
          <w:trHeight w:val="186"/>
        </w:trPr>
        <w:tc>
          <w:tcPr>
            <w:tcW w:w="1100" w:type="dxa"/>
            <w:vAlign w:val="bottom"/>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180" w:type="dxa"/>
            <w:vAlign w:val="bottom"/>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1140" w:type="dxa"/>
            <w:vAlign w:val="bottom"/>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120" w:type="dxa"/>
            <w:vAlign w:val="bottom"/>
          </w:tcPr>
          <w:p>
            <w:pPr>
              <w:jc w:val="right"/>
              <w:ind w:right="308"/>
              <w:spacing w:after="0"/>
              <w:rPr>
                <w:sz w:val="20"/>
                <w:szCs w:val="20"/>
                <w:color w:val="auto"/>
              </w:rPr>
            </w:pPr>
            <w:r>
              <w:rPr>
                <w:rFonts w:ascii="Arial" w:cs="Arial" w:eastAsia="Arial" w:hAnsi="Arial"/>
                <w:sz w:val="14"/>
                <w:szCs w:val="14"/>
                <w:b w:val="1"/>
                <w:bCs w:val="1"/>
                <w:color w:val="auto"/>
              </w:rPr>
              <w:t>2021</w:t>
            </w:r>
          </w:p>
        </w:tc>
      </w:tr>
    </w:tbl>
    <w:p>
      <w:pPr>
        <w:spacing w:after="0" w:line="1" w:lineRule="exact"/>
        <w:rPr>
          <w:sz w:val="20"/>
          <w:szCs w:val="20"/>
          <w:color w:val="auto"/>
        </w:rPr>
      </w:pPr>
    </w:p>
    <w:p>
      <w:pPr>
        <w:sectPr>
          <w:pgSz w:w="11900" w:h="16838" w:orient="portrait"/>
          <w:cols w:equalWidth="0" w:num="2">
            <w:col w:w="6600" w:space="100"/>
            <w:col w:w="45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80" w:type="dxa"/>
            <w:vAlign w:val="bottom"/>
            <w:tcBorders>
              <w:top w:val="single" w:sz="8" w:color="CCEEFF"/>
            </w:tcBorders>
            <w:shd w:val="clear" w:color="auto" w:fill="CCEEFF"/>
          </w:tcPr>
          <w:p>
            <w:pPr>
              <w:ind w:left="20"/>
              <w:spacing w:after="0" w:line="172" w:lineRule="exact"/>
              <w:rPr>
                <w:sz w:val="20"/>
                <w:szCs w:val="20"/>
                <w:color w:val="auto"/>
              </w:rPr>
            </w:pPr>
            <w:r>
              <w:rPr>
                <w:rFonts w:ascii="Arial" w:cs="Arial" w:eastAsia="Arial" w:hAnsi="Arial"/>
                <w:sz w:val="18"/>
                <w:szCs w:val="18"/>
                <w:color w:val="auto"/>
              </w:rPr>
              <w:t>Average risk-free interest</w:t>
            </w:r>
          </w:p>
        </w:tc>
        <w:tc>
          <w:tcPr>
            <w:tcW w:w="2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rates</w:t>
            </w: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2.03 %</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0.22 %</w:t>
            </w:r>
          </w:p>
        </w:tc>
      </w:tr>
      <w:tr>
        <w:trPr>
          <w:trHeight w:val="175"/>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rPr>
              <w:t>Average expected life (in</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years)</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29"/>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176"/>
        </w:trPr>
        <w:tc>
          <w:tcPr>
            <w:tcW w:w="2080" w:type="dxa"/>
            <w:vAlign w:val="bottom"/>
          </w:tcPr>
          <w:p>
            <w:pPr>
              <w:ind w:left="20"/>
              <w:spacing w:after="0" w:line="176" w:lineRule="exact"/>
              <w:rPr>
                <w:sz w:val="20"/>
                <w:szCs w:val="20"/>
                <w:color w:val="auto"/>
              </w:rPr>
            </w:pPr>
            <w:r>
              <w:rPr>
                <w:rFonts w:ascii="Arial" w:cs="Arial" w:eastAsia="Arial" w:hAnsi="Arial"/>
                <w:sz w:val="18"/>
                <w:szCs w:val="18"/>
                <w:color w:val="auto"/>
                <w:w w:val="90"/>
              </w:rPr>
              <w:t>Weighted-average fair value</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(in dollars)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28.84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25.96</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18.20</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18.82</w:t>
            </w:r>
          </w:p>
        </w:tc>
      </w:tr>
    </w:tbl>
    <w:p>
      <w:pPr>
        <w:spacing w:after="0" w:line="29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Option activity under our 2010 Stock Incentive Plan (the “2010 Stock Plan”)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060" w:type="dxa"/>
            <w:vAlign w:val="bottom"/>
            <w:gridSpan w:val="4"/>
          </w:tcPr>
          <w:p>
            <w:pPr>
              <w:jc w:val="right"/>
              <w:ind w:right="915"/>
              <w:spacing w:after="0"/>
              <w:rPr>
                <w:sz w:val="20"/>
                <w:szCs w:val="20"/>
                <w:color w:val="auto"/>
              </w:rPr>
            </w:pPr>
            <w:r>
              <w:rPr>
                <w:rFonts w:ascii="Arial" w:cs="Arial" w:eastAsia="Arial" w:hAnsi="Arial"/>
                <w:sz w:val="14"/>
                <w:szCs w:val="14"/>
                <w:b w:val="1"/>
                <w:bCs w:val="1"/>
                <w:color w:val="auto"/>
              </w:rPr>
              <w:t>Shares Subject to</w:t>
            </w:r>
          </w:p>
        </w:tc>
        <w:tc>
          <w:tcPr>
            <w:tcW w:w="0" w:type="dxa"/>
            <w:vAlign w:val="bottom"/>
          </w:tcPr>
          <w:p>
            <w:pPr>
              <w:spacing w:after="0"/>
              <w:rPr>
                <w:sz w:val="1"/>
                <w:szCs w:val="1"/>
                <w:color w:val="auto"/>
              </w:rPr>
            </w:pPr>
          </w:p>
        </w:tc>
      </w:tr>
      <w:tr>
        <w:trPr>
          <w:trHeight w:val="196"/>
        </w:trPr>
        <w:tc>
          <w:tcPr>
            <w:tcW w:w="8180" w:type="dxa"/>
            <w:vAlign w:val="bottom"/>
          </w:tcPr>
          <w:p>
            <w:pPr>
              <w:spacing w:after="0"/>
              <w:rPr>
                <w:sz w:val="17"/>
                <w:szCs w:val="17"/>
                <w:color w:val="auto"/>
              </w:rPr>
            </w:pPr>
          </w:p>
        </w:tc>
        <w:tc>
          <w:tcPr>
            <w:tcW w:w="306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4"/>
                <w:szCs w:val="14"/>
                <w:b w:val="1"/>
                <w:bCs w:val="1"/>
                <w:color w:val="auto"/>
              </w:rPr>
              <w:t>Outstanding Options</w:t>
            </w:r>
          </w:p>
        </w:tc>
        <w:tc>
          <w:tcPr>
            <w:tcW w:w="0" w:type="dxa"/>
            <w:vAlign w:val="bottom"/>
          </w:tcPr>
          <w:p>
            <w:pPr>
              <w:spacing w:after="0"/>
              <w:rPr>
                <w:sz w:val="1"/>
                <w:szCs w:val="1"/>
                <w:color w:val="auto"/>
              </w:rPr>
            </w:pPr>
          </w:p>
        </w:tc>
      </w:tr>
      <w:tr>
        <w:trPr>
          <w:trHeight w:val="135"/>
        </w:trPr>
        <w:tc>
          <w:tcPr>
            <w:tcW w:w="8180" w:type="dxa"/>
            <w:vAlign w:val="bottom"/>
          </w:tcPr>
          <w:p>
            <w:pPr>
              <w:spacing w:after="0"/>
              <w:rPr>
                <w:sz w:val="11"/>
                <w:szCs w:val="11"/>
                <w:color w:val="auto"/>
              </w:rPr>
            </w:pPr>
          </w:p>
        </w:tc>
        <w:tc>
          <w:tcPr>
            <w:tcW w:w="148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ind w:right="95"/>
              <w:spacing w:after="0" w:line="135" w:lineRule="exact"/>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12,763,460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88.39</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1,755,963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75.32</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66.69</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cancelled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(989,465)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88.60</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13,052,587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annual stock option grants generally have a 10-year term and vest over four years, with 25% vesting after one year and the remainder vesting in 36 equal monthly installments.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Restricted stock unit (“RSU”) and performance share (“PSU”) award activity under the 2010 Stock Plan was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3060" w:type="dxa"/>
            <w:vAlign w:val="bottom"/>
            <w:gridSpan w:val="4"/>
          </w:tcPr>
          <w:p>
            <w:pPr>
              <w:jc w:val="right"/>
              <w:ind w:right="912"/>
              <w:spacing w:after="0"/>
              <w:rPr>
                <w:sz w:val="20"/>
                <w:szCs w:val="20"/>
                <w:color w:val="auto"/>
              </w:rPr>
            </w:pPr>
            <w:r>
              <w:rPr>
                <w:rFonts w:ascii="Arial" w:cs="Arial" w:eastAsia="Arial" w:hAnsi="Arial"/>
                <w:sz w:val="14"/>
                <w:szCs w:val="14"/>
                <w:b w:val="1"/>
                <w:bCs w:val="1"/>
                <w:color w:val="auto"/>
              </w:rPr>
              <w:t>Shares Subject to</w:t>
            </w:r>
          </w:p>
        </w:tc>
      </w:tr>
      <w:tr>
        <w:trPr>
          <w:trHeight w:val="192"/>
        </w:trPr>
        <w:tc>
          <w:tcPr>
            <w:tcW w:w="81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Outstanding Awards</w:t>
            </w:r>
          </w:p>
        </w:tc>
      </w:tr>
      <w:tr>
        <w:trPr>
          <w:trHeight w:val="196"/>
        </w:trPr>
        <w:tc>
          <w:tcPr>
            <w:tcW w:w="81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9"/>
              </w:rPr>
              <w:t>Grant Date Value</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3,966,888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84.91</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RSUs 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2,473,892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77.14</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PSUs granted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RSUs released</w:t>
            </w:r>
          </w:p>
        </w:tc>
        <w:tc>
          <w:tcPr>
            <w:tcW w:w="1480" w:type="dxa"/>
            <w:vAlign w:val="bottom"/>
          </w:tcPr>
          <w:p>
            <w:pPr>
              <w:jc w:val="right"/>
              <w:spacing w:after="0"/>
              <w:rPr>
                <w:sz w:val="20"/>
                <w:szCs w:val="20"/>
                <w:color w:val="auto"/>
              </w:rPr>
            </w:pPr>
            <w:r>
              <w:rPr>
                <w:rFonts w:ascii="Arial" w:cs="Arial" w:eastAsia="Arial" w:hAnsi="Arial"/>
                <w:sz w:val="18"/>
                <w:szCs w:val="18"/>
                <w:color w:val="auto"/>
              </w:rPr>
              <w:t>(845,095)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87.06</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PSUs released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RSUs cancelled</w:t>
            </w:r>
          </w:p>
        </w:tc>
        <w:tc>
          <w:tcPr>
            <w:tcW w:w="1480" w:type="dxa"/>
            <w:vAlign w:val="bottom"/>
          </w:tcPr>
          <w:p>
            <w:pPr>
              <w:jc w:val="right"/>
              <w:spacing w:after="0"/>
              <w:rPr>
                <w:sz w:val="20"/>
                <w:szCs w:val="20"/>
                <w:color w:val="auto"/>
              </w:rPr>
            </w:pPr>
            <w:r>
              <w:rPr>
                <w:rFonts w:ascii="Arial" w:cs="Arial" w:eastAsia="Arial" w:hAnsi="Arial"/>
                <w:sz w:val="18"/>
                <w:szCs w:val="18"/>
                <w:color w:val="auto"/>
              </w:rPr>
              <w:t>(337,265)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83.94</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PSUs cancelled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Balance at September 30, 2022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5,226,984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81.29</w:t>
            </w:r>
          </w:p>
        </w:tc>
      </w:tr>
      <w:tr>
        <w:trPr>
          <w:trHeight w:val="21"/>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RSUs and PSUs are granted to our employees at the share price on the date of grant. Each RSU represents the right to acquire one share of our common stock. Each RSU granted in connection with our annual equity awards will vest 25% annually over four years, while each RSU granted as outstanding merit awards or as part of retention award programs will vest in a single installment at the end of four years.</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grant PSUs with performance and/or service-based milestones with graded and/or cliff vesting over three to four years. The shares of our common stock into which each PSU may convert is subject to a multiplier based on the level at which the financial, developmental and market performance conditions are achieved over the service period. Compensation expense for PSUs with financial and developmental performance conditions is recorded over the estimated service period for each milestone when the performance conditions are deemed probable of achievement. For PSUs containing performance conditions which were not deemed probable of achievement, no stock compensation expense is recorded. Compensation expense for PSUs with market performance conditions is calculated using a Monte Carlo simulation model as of the date of grant and recorded over the requisite service period. For the three and nine months ended September 30, 2022 we recorded $3.2 million and $5.1 million, respectively, of stock compensation expense for PSUs on our condensed consolidated statements of operations. For the three and nine months ended September 30, 2021 we recorded $1.7 million and $5.0 million of stock compensation expense for PSUs on our condensed consolidated statements of operations.</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summarizes our shares available for grant under the 2010 Stock Plan. Each RSU and PSU grant reduces the available share pool by 2 shares.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Options, RSUs and PSUs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Options, RSUs and PSUs cancelled</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September 30, 2022</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240"/>
        <w:spacing w:after="0"/>
        <w:rPr>
          <w:sz w:val="20"/>
          <w:szCs w:val="20"/>
          <w:color w:val="auto"/>
        </w:rPr>
      </w:pPr>
      <w:r>
        <w:rPr>
          <w:rFonts w:ascii="Arial" w:cs="Arial" w:eastAsia="Arial" w:hAnsi="Arial"/>
          <w:sz w:val="12"/>
          <w:szCs w:val="12"/>
          <w:b w:val="1"/>
          <w:bCs w:val="1"/>
          <w:color w:val="auto"/>
        </w:rPr>
        <w:t>Shares Available</w:t>
      </w:r>
    </w:p>
    <w:p>
      <w:pPr>
        <w:spacing w:after="0" w:line="40"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for Grant</w:t>
      </w:r>
    </w:p>
    <w:p>
      <w:pPr>
        <w:spacing w:after="0" w:line="6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10,113,298</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(7,013,475)</w:t>
      </w:r>
    </w:p>
    <w:p>
      <w:pPr>
        <w:spacing w:after="0" w:line="5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1,680,482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23495</wp:posOffset>
            </wp:positionV>
            <wp:extent cx="9429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4,780,305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38100</wp:posOffset>
            </wp:positionV>
            <wp:extent cx="9429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2975" cy="8890"/>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63500</wp:posOffset>
            </wp:positionV>
            <wp:extent cx="9429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9260" w:space="720"/>
            <w:col w:w="1260"/>
          </w:cols>
          <w:pgMar w:left="320" w:top="125" w:right="339" w:bottom="1440" w:gutter="0" w:footer="0" w:header="0"/>
          <w:type w:val="continuous"/>
        </w:sectPr>
      </w:pP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on our historical experience of employee turnover, we have assumed an annualized forfeiture rate of 5% for our options, RSUs and PSUs. Under the true-up provisions of the stock compensation guidance, we will record additional expense if the actual forfeiture rate is lower than we estimated, and will record a recovery of prior expense if the actual forfeiture is higher than we estimated.</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Total compensation cost of options granted but not yet vested, as of September 30, 2022, was $51.2 million, which is expected to be recognized over the weighted average period of approximately 1.1 years. Total compensation cost of RSUs granted but not yet vested, as of September 30, 2022, was $235.5 million, which is expected to be recognized over the weighted average period of approximately 2.0 years. Total compensation cost of PSUs granted but not yet vested, as of September 30, 2022, was $19.6 million, which is expected to be recognized over the weighted average period of 2.2 years, should the underlying performance conditions be deemed probable of achievement.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and nine months ended September 30, 2022, we recorded income tax expense of approximately $35.8 million and $136.3 million, respectively. For the three and nine months ended September 30, 2021, we recorded income tax expense of approximately $27.7 million and $65.7 million, respectively. The tax expense for the three and nine months ended September 30, 2022 increased as compared to that for the prior year periods due to the release of our valuation allowance against a majority of our U.S. research and development tax credit carryforwards and other deferred tax assets at December 31, 2021.</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fourth quarter of 2021, we assessed the valuation allowance and considered positive evidence, including significant cumulative consolidated and U.S. income over the three years ended December 31, 2021, consistent growth in product revenues, and expectations regarding future profitability. We also assessed negative evidence, including the potential impact of competition, clinical failures and patent expirations on our projections. After assessing both the positive evidence and negative evidence, we determined it was more likely than not that the majority of our U.S. deferred tax assets would be realized in the future and released the associated valuation allowance as of December 31, 2021. This resulted in a benefit of $569.0 million. As of December 31, 2021, we maintained a valuation allowance of $408.2 million against a portion of our remaining U.S. deferred tax assets as well as select state and foreign deferred tax assets.</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balance of our unrecognized tax benefits (including penalties and interest) increased by approximately $11.2 million during the nine months ended September 30, 2022, resulting in movements to other liabilities and deferred income tax asset on the condensed consolidated balance sheet. The overall increase is primarily driven by unrecognized tax benefits related to current year operations and research and development tax credits. We accrue interest and penalties related to unrecognized tax benefits as a component of its provision for income taxes.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August 2022, the Inflation Reduction Act of 2022 (“IRA”) was enacted into law. The IRA includes a 15% corporate alternative minimum tax and a 1% excise tax on share repurchases. We do not expect the IRA to have a material impact on our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Net Income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income per share was calculated as follows for the periods indicated below: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2"/>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5"/>
        </w:trPr>
        <w:tc>
          <w:tcPr>
            <w:tcW w:w="50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2021</w:t>
            </w:r>
          </w:p>
        </w:tc>
      </w:tr>
      <w:tr>
        <w:trPr>
          <w:trHeight w:val="257"/>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112,775</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181,739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312,199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384,730</w:t>
            </w:r>
          </w:p>
        </w:tc>
      </w:tr>
      <w:tr>
        <w:trPr>
          <w:trHeight w:val="270"/>
        </w:trPr>
        <w:tc>
          <w:tcPr>
            <w:tcW w:w="5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0"/>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222,415</w:t>
            </w: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220,845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221,801</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220,243</w:t>
            </w:r>
          </w:p>
        </w:tc>
      </w:tr>
      <w:tr>
        <w:trPr>
          <w:trHeight w:val="270"/>
        </w:trPr>
        <w:tc>
          <w:tcPr>
            <w:tcW w:w="504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48"/>
        </w:trPr>
        <w:tc>
          <w:tcPr>
            <w:tcW w:w="5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Basic net income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23"/>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 net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112,775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384,730</w:t>
            </w:r>
          </w:p>
        </w:tc>
      </w:tr>
      <w:tr>
        <w:trPr>
          <w:trHeight w:val="270"/>
        </w:trPr>
        <w:tc>
          <w:tcPr>
            <w:tcW w:w="5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30"/>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222,415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221,801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220,243</w:t>
            </w:r>
          </w:p>
        </w:tc>
      </w:tr>
      <w:tr>
        <w:trPr>
          <w:trHeight w:val="229"/>
        </w:trPr>
        <w:tc>
          <w:tcPr>
            <w:tcW w:w="5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Dilutive stock options and awards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w:t>
            </w:r>
          </w:p>
        </w:tc>
      </w:tr>
      <w:tr>
        <w:trPr>
          <w:trHeight w:val="209"/>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Weighted average shares used to compute diluted net income per</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57"/>
        </w:trPr>
        <w:tc>
          <w:tcPr>
            <w:tcW w:w="5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224,175</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222,248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223,626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222,113</w:t>
            </w:r>
          </w:p>
        </w:tc>
      </w:tr>
      <w:tr>
        <w:trPr>
          <w:trHeight w:val="270"/>
        </w:trPr>
        <w:tc>
          <w:tcPr>
            <w:tcW w:w="504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48"/>
        </w:trPr>
        <w:tc>
          <w:tcPr>
            <w:tcW w:w="5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Diluted net income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potential common shares that were excluded from the diluted net income per share computation are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1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2160" w:type="dxa"/>
            <w:vAlign w:val="bottom"/>
            <w:gridSpan w:val="3"/>
          </w:tcPr>
          <w:p>
            <w:pPr>
              <w:jc w:val="center"/>
              <w:ind w:left="824"/>
              <w:spacing w:after="0"/>
              <w:rPr>
                <w:sz w:val="20"/>
                <w:szCs w:val="20"/>
                <w:color w:val="auto"/>
              </w:rPr>
            </w:pPr>
            <w:r>
              <w:rPr>
                <w:rFonts w:ascii="Arial" w:cs="Arial" w:eastAsia="Arial" w:hAnsi="Arial"/>
                <w:sz w:val="14"/>
                <w:szCs w:val="14"/>
                <w:b w:val="1"/>
                <w:bCs w:val="1"/>
                <w:color w:val="auto"/>
                <w:w w:val="93"/>
              </w:rPr>
              <w:t>Nine Months Ended</w:t>
            </w:r>
          </w:p>
        </w:tc>
        <w:tc>
          <w:tcPr>
            <w:tcW w:w="900" w:type="dxa"/>
            <w:vAlign w:val="bottom"/>
          </w:tcPr>
          <w:p>
            <w:pPr>
              <w:spacing w:after="0"/>
              <w:rPr>
                <w:sz w:val="14"/>
                <w:szCs w:val="14"/>
                <w:color w:val="auto"/>
              </w:rPr>
            </w:pPr>
          </w:p>
        </w:tc>
      </w:tr>
      <w:tr>
        <w:trPr>
          <w:trHeight w:val="192"/>
        </w:trPr>
        <w:tc>
          <w:tcPr>
            <w:tcW w:w="5020" w:type="dxa"/>
            <w:vAlign w:val="bottom"/>
          </w:tcPr>
          <w:p>
            <w:pPr>
              <w:spacing w:after="0"/>
              <w:rPr>
                <w:sz w:val="16"/>
                <w:szCs w:val="16"/>
                <w:color w:val="auto"/>
              </w:rPr>
            </w:pPr>
          </w:p>
        </w:tc>
        <w:tc>
          <w:tcPr>
            <w:tcW w:w="2080" w:type="dxa"/>
            <w:vAlign w:val="bottom"/>
            <w:tcBorders>
              <w:bottom w:val="single" w:sz="8" w:color="auto"/>
            </w:tcBorders>
            <w:gridSpan w:val="3"/>
          </w:tcPr>
          <w:p>
            <w:pPr>
              <w:jc w:val="center"/>
              <w:ind w:left="884"/>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auto"/>
            </w:tcBorders>
            <w:gridSpan w:val="3"/>
          </w:tcPr>
          <w:p>
            <w:pPr>
              <w:jc w:val="center"/>
              <w:ind w:left="804"/>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r>
      <w:tr>
        <w:trPr>
          <w:trHeight w:val="196"/>
        </w:trPr>
        <w:tc>
          <w:tcPr>
            <w:tcW w:w="50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w w:val="89"/>
              </w:rPr>
              <w:t>2021</w:t>
            </w: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stock options and awards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11,150,022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11,841,440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10,979,096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9,917,824</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for the three and nine months ended September 30, 2022 was $5.1 million and $14.7 million, respectively. Defined contribution expense for the three and nine months ended September 30, 2021 was $4.4 million and $12.8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periodic benefit cost was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50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6"/>
        </w:trPr>
        <w:tc>
          <w:tcPr>
            <w:tcW w:w="50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r>
      <w:tr>
        <w:trPr>
          <w:trHeight w:val="196"/>
        </w:trPr>
        <w:tc>
          <w:tcPr>
            <w:tcW w:w="506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2021</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1,975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Amortization of prior service cost</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actuarial losses</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2,325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5,255</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6,976</w:t>
            </w:r>
          </w:p>
        </w:tc>
      </w:tr>
      <w:tr>
        <w:trPr>
          <w:trHeight w:val="20"/>
        </w:trPr>
        <w:tc>
          <w:tcPr>
            <w:tcW w:w="5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components of net periodic benefit cost other than the service cost component are included in other income (expense), net on the condensed consolidated statements of operations. We expect to contribute a total of $6.4 million to the pension plans in 2022 inclusive of the amounts contributed to the plan during the current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entered into the collaboration agreements described in Note 7, as well as various other collaboration agreements that are not individually, or in the aggregate, significant to our operating results or financial condition at this time. We may in the future seek to license additional rights relating to technologies or drug development candidates in connection with our drug discovery and development programs. Under these agreements, we may be required to pay upfront fees, milestone payments, and royalties on sales of future products.</w:t>
      </w:r>
    </w:p>
    <w:p>
      <w:pPr>
        <w:spacing w:after="0" w:line="18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the ordinary course of our business, we may become involved in lawsuits, proceedings, and other disputes, including commercial, intellectual property, regulatory, employment, and other matters. We record a reserve for these matters when it is both probable that a liability has been incurred and the amount of the loss can be reasonably estimated.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Villaris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October 2022, we announced that we entered into an agreement to acquire Villaris Therapeutics, Inc. ("Villaris"), a biopharmaceutical company focused on the development of novel antibody therapeutics for vitiligo. Under the terms of the agreement, Incyte will acquire Villaris and the exclusive global rights to develop and commercialize auremolimab (VM6), an anti-IL-15Rβ monoclonal antibody, for all uses, including in vitiligo and other autoimmune and inflammatory diseases. Upon effectiveness of the agreement, Incyte will make an upfront payment of $70.0 million, and Villaris shareholders will be eligible for up to $310.0 million upon achievement of certain development and regulatory milestones, as well as up to an additional $1.05 billion in commercial milestones on net sales of the product. The agreement is subject to clearance by the U.S. antitrust authorities under the Hart-Scott-Rodino Act and will become effective as soon as this condition has been met.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The following discussion of our financial condition and results of operations as of and for the three and nine months ended September 30, 2022 should be read in conjunction with the unaudited condensed consolidated financial statements and notes to those statements included elsewhere in this Quarterly Report on Form 10-Q and our audited consolidated financial statements as of and for the year ended December 31, 2021 included in our Annual Report on Form 10-K for the year ended December 31, 2021 previously filed with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171" w:lineRule="exact"/>
        <w:rPr>
          <w:sz w:val="20"/>
          <w:szCs w:val="20"/>
          <w:color w:val="auto"/>
        </w:rPr>
      </w:pPr>
    </w:p>
    <w:p>
      <w:pPr>
        <w:jc w:val="both"/>
        <w:ind w:left="980" w:hanging="324"/>
        <w:spacing w:after="0" w:line="234"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discovery, development, formulation, manufacturing and commercialization of our compounds, our drug candidates and JAKAFI</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/JAKAVI</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(ruxolitinib), PEMAZYRE</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(pemigatinib), ICLUSIG</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(ponatinib), MONJUVI</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(tafasitamab-cxix) /MINJUVI</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(tafasitamab), and OPZELURA™ (ruxolitinib) cream;</w:t>
      </w:r>
    </w:p>
    <w:p>
      <w:pPr>
        <w:spacing w:after="0" w:line="20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plans to further develop our operations outside of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conducting clinical trials internally, with collaborators, or with clinical research organizations;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our collaboration and strategic relationship strategy, and anticipated benefits and disadvantages of entering into collaboration agreements;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our licensing, investment and commercialization strategies, including our plans to commercialize our drug products and drug candidates;</w:t>
      </w:r>
    </w:p>
    <w:p>
      <w:pPr>
        <w:spacing w:after="0" w:line="236" w:lineRule="exact"/>
        <w:rPr>
          <w:rFonts w:ascii="Arial" w:cs="Arial" w:eastAsia="Arial" w:hAnsi="Arial"/>
          <w:sz w:val="17"/>
          <w:szCs w:val="17"/>
          <w:color w:val="auto"/>
        </w:rPr>
      </w:pPr>
    </w:p>
    <w:p>
      <w:pPr>
        <w:ind w:left="980" w:right="2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regulatory approval process, including obtaining U.S. Food and Drug Administration and other international regulatory authorities’ approval for our products in the United States and abroad;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safety, effectiveness and potential benefits and indications of our drug candidates and other compounds under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timing and size of our clinical trials; the compounds expected to enter clinical trials; timing of clinical trial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manage expansion of our drug discovery and development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future required expertise relating to clinical trials, manufacturing, sales and marketing;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obtaining and terminating licenses to products, drug candidates or technology, or other intellectual property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receipt from or payments pursuant to collaboration or license agreements resulting from milestones or royalties;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plans to develop and commercialize products on our own;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plans to use third-party manufacturers;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plans for our manufacturing operations;</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expected expenses and expenditure levels; expected uses of cash; expected revenues and sources of revenues, including milestone payments; expectations with respect to inventory;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expectations with respect to reimbursement for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expected impact of recent accounting pronouncements and changes in tax laws;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expected losses; fluctuation of losses; currency translation impact associated with non-U.S. operations and collaboration royalties;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profitability; the adequacy of our capital resources to continue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need to raise additional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costs associated with resolving matters in litigation and governmental proceedings;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expectations regarding competition;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investments, including anticipated expenditures, losses and expenses;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patent prosecution and maintenance efforts; and</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potential effects of the COVID-19 pandemic and efforts undertaken or to be undertaken by us or applicable governmental authorities on local and global economic conditions, and on our business, results of operations and financial condition.</w:t>
      </w:r>
    </w:p>
    <w:p>
      <w:pPr>
        <w:spacing w:after="0" w:line="170"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i w:val="1"/>
          <w:iCs w:val="1"/>
          <w:color w:val="auto"/>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46"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successfully commercialize our drug products and drug candidates;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obtain, or maintain at anticipated levels, coverage and reimbursement for our products from government health administration authorities, private health insurers and other organizations;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establish and maintain effective sales, marketing and distribution capabilities;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of reliance on other parties to manufacture our products, which could result in a short supply of our products, increased costs, and withdrawal of regulatory approval;</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maintain regulatory approvals to market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achieve a significant market share in order to achieve or maintain profitability;</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of civil or criminal penalties if we market our products in a manner that violates health care fraud and abuse and other applicable laws, rules and regulations;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discover, develop, formulate, manufacture and commercialize our drug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of unanticipated delays in, or discontinuations of, research and development efforts;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that previous preclinical testing or clinical trial results are not necessarily indicative of future clinical trial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risks relating to the conduct of our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changing regulatory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 of adverse safety findings;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risk that results of our clinical trials do not support submission of a marketing approval application for our drug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risk of significant delays or costs in obtaining regulatory approvals;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relating to our reliance on third-party manufacturers, collaborators, and clinical research organizations;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relating to the development of new products and their use by us and our current and potential collaborators;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relating to our inability to control the development of out-licensed compounds or drug candidates;</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relating to our collaborators’ ability to develop and commercialize JAKAVI, OLUMIANT, TABRECTA and the drug candidates licensed from us;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costs associated with prosecuting, maintaining, defending and enforcing patent claims and other intellectual property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maintain or obtain adequate product liability and other insurance coverage;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risk that our drug candidates may not obtain or maintain regulatory approval;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impact of technological advances and competition, including potential generic competition;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compete against third parties with greater resources than ours;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relating to changes in pricing and reimbursement in the markets in which we may compete;</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relating to governmental healthcare reform efforts, including efforts to control, set or cap pricing for our commercial drugs in the U.S and abroad;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competition to develop and commercialize similar drug products;</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obtain and maintain patent protection and freedom to operate for our discoveries and to continue to be effective in expanding our patent coverage;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impact of changing laws on our patent portfolio;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developments in and expenses relating to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in-license drug candidates or other technology;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unanticipated delays or changes in plans or regulatory agency interactions or other issues relating to our large molecule production facility;</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integrate successfully acquired businesses, development programs or technology;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obtain additional capital when needed;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fluctuations in net cash provided and used by operating, financing and investing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our ability to analyze the effects of new accounting pronouncements and apply new accounting rules;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relating to our ability to sustain profitability;</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related to public health pandemics such as the COVID-19 pandemic, natural disasters, or geopolitical events such as the Russian invasion of Ukraine; and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risks set forth under “Risk Factors.”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Incyte, JAKAFI and PEMAZYRE are our registered trademarks and OPZELURA is our trademark. We also refer to trademarks of other corporations and organizations in this Quarterly Report on Form 10-Q.</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business is subject to numerous risks and uncertainties that could affect our ability to successfully implement our business strategy and affect our financial results. You should carefully consider all of the information in this report and, in particular, the following principal risks and all of the other specific factors described in Item 1A. of this report, “Risk Factors,” before deciding whether to invest in our company.</w:t>
      </w:r>
    </w:p>
    <w:p>
      <w:pPr>
        <w:spacing w:after="0" w:line="165" w:lineRule="exact"/>
        <w:rPr>
          <w:sz w:val="20"/>
          <w:szCs w:val="20"/>
          <w:color w:val="auto"/>
        </w:rPr>
      </w:pPr>
    </w:p>
    <w:p>
      <w:pPr>
        <w:ind w:left="98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depend heavily on JAKAFI/JAKAVI (ruxolitinib), and if we are not able to maintain revenues from JAKAFI/JAKAVI or those revenues decrease, our business may be materially harmed.</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or our collaborators are unable to obtain, or maintain at anticipated levels, coverage and reimbursement for our products from government and other third-party payors, our results of operations and financial condition could be harmed.</w:t>
      </w:r>
    </w:p>
    <w:p>
      <w:pPr>
        <w:spacing w:after="0" w:line="116"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limited number of specialty pharmacies and wholesalers represent a significant portion of revenues from JAKAFI and most of our other products, and the loss of, or significant reduction in sales to, any one of these specialty pharmacies or wholesalers could harm our operations and financial condition.</w:t>
      </w:r>
    </w:p>
    <w:p>
      <w:pPr>
        <w:spacing w:after="0" w:line="129"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comply with applicable laws and regulations, we could lose our approval to market our products or be subject to other governmental enforcement activity.</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use of our products harms or is perceived to harm patients, our regulatory approvals could be revoked or otherwise negatively impacted or we could be subject to costly product liability claims.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market our products in a manner that violates various laws and regulations, we may be subject to civil or criminal penalties.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for our products could harm our business and result in a decrease in our revenue.</w:t>
      </w:r>
    </w:p>
    <w:p>
      <w:pPr>
        <w:spacing w:after="0" w:line="171"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COVID-19 pandemic and measures to address the pandemic, as well as other geopolitical events, have adversely affected and could in the future adversely affect our business and results of operations.</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or our collaborators may be unsuccessful in discovering and developing drug candidates, and we may spend significant time and money attempting to do so, in particular with our later stage drug candidates.</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or our collaborators are unable to obtain regulatory approval in and outside of the United States for drug candidates, we and our collaborators will be unable to commercialize those drug candidates.</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Health care reform measures could impact the pricing and profitability of pharmaceuticals, and adversely affect the commercial viability of our or our collaborators’ products and drug candidates.</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Conflicts between us and our collaborators or termination of our collaboration agreements could limit future development and commercialization of our drug candidates and harm our business.</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establish collaborations to fully exploit our drug discovery and development capabilities or if future collaborations are unsuccessful, our future revenue prospects could be diminished.</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enter into additional in-licensing agreements or if these arrangements are unsuccessful, we may be unable to increase our number of successfully marketed products and our revenues.</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Even if one of our drug candidates receives regulatory approval, we may determine that commercialization would not be worth the investment.</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approved drug product that we bring to the market may not gain market acceptance by physicians, patients, healthcare payors and others in the medical community.</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limited capacity to conduct preclinical testing and clinical trials, and our resulting dependence on other parties could result in delays in and additional costs for our drug development efforts.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8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face significant competition for our drug discovery and development efforts, and if we do not compete effectively, our commercial opportunities will be reduced or eliminated.</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reliance on others to manufacture our drug products and drug candidates could result in drug supply constraints, delays in clinical trials, increased costs, and withdrawal or denial of regulatory approvals.</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fail to comply with the extensive legal and regulatory requirements affecting the health care industry, we could face increased costs, penalties and a loss of business.</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illegal distribution and sale by third parties of counterfeit or unfit versions of our or our collaborators’ products or stolen products could harm our business and reputation.</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most of our drug discovery and development operations are conducted at our headquarters in Wilmington, Delaware, the loss of access to this facility would negatively impact our business.</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lose any of our key employees or are unable to attract and retain additional personnel, our business and ability to achieve our objectives could be harmed.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fail to manage our growth effectively, our ability to develop and commercialize products could suffer.</w:t>
      </w:r>
    </w:p>
    <w:p>
      <w:pPr>
        <w:spacing w:after="0" w:line="171"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acquire businesses or assets, form joint ventures or make investments in other companies that may be unsuccessful, divert our management’s attention and harm our operating results and prospects.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our operations outside of the United States could adversely affect our business.</w:t>
      </w:r>
    </w:p>
    <w:p>
      <w:pPr>
        <w:spacing w:after="0" w:line="171"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product liability lawsuits are brought against us, we could face substantial liabilities and may be required to limit commercialization of our products, and our results of operations could be harmed.</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Because our activities involve the use of hazardous materials, we may be subject to claims relating to improper handling, storage or disposal of these materials that could be time consuming and costly.</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expect to continue to incur significant expenses to discover and develop drugs, which could result in future losses and impair our achievement of and ability to sustain profitability in the future.</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raise additional capital in the future when we require it, our efforts to broaden our product portfolio or commercialization efforts could be limited.</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marketable securities and long term investments are subject to risks that could adversely affect our overall financial position, and tax law changes could adversely affect our results of operations and financial condition.</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achieve milestones, develop product candidates to license or renew or enter into new collaborations, our royalty and milestone revenues and future prospects for those revenues may decrease.</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arbitration or litigation involving us and regarding intellectual property infringement claims could be costly and disrupt our drug discovery and development efforts.</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adequately protect or enforce our proprietary information may result in loss of revenues or otherwise reduce our ability to compete.</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effective term of our patents is decreased or if we need to refile some of our patent applications, the value of our patent portfolio and the revenues we derive from it may be decreased.</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International patent protection is particularly uncertain and costly, and our involvement in opposition proceedings may result in the expenditure of substantial sums and management resources.</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breaches of data security, or unauthorized disclosures of sensitive data could harm our business and subject us to liability or reputational damage.</w:t>
      </w:r>
    </w:p>
    <w:p>
      <w:pPr>
        <w:spacing w:after="0" w:line="116"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use of social media could give rise to liability, breaches of data security, or reputational damage, which could harm our business and results of operations.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Incyte is a biopharmaceutical company focused on the discovery, development and commercialization of proprietary therapeutics. Our global headquarters is located in Wilmington, Delaware, where we conduct global clinical development and commercial operations. We also conduct clinical development and commercial operations from our country offices across Europe, including our European headquarters in Morges, Switzerland, our Japanese office in Tokyo and our Canadian headquarters in Montreal.</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described in more detail below, we operate in two therapeutic areas that are defined by the indications of our approved medicines and the diseases for which our clinical candidates are being developed. One therapeutic area is Hematology/Oncology, which is comprised of Myeloproliferative Neoplasms (MPNs), Graft-Versus-Host Disease (GVHD), as well as solid tumors and hematologic malignancies. The other therapeutic area is Inflammation and Autoimmunity (IAI), which includes our newly established Dermatology commercial franchise. We are also eligible to receive milestones and royalties on molecules discovered by us and licensed to third parties.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Hematology and Oncology</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hematology and oncology franchise is comprised of four approved products, which are JAKAFI (ruxolitinib), MONJUVI (tafasitamab-cxix)/MINJUVI (tafasitamab), PEMAZYRE (pemigatinib) and ICLUSIG (ponatinib), as well as numerous clinical development programs.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JAKAFI (ruxolitinib)</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JAKAFI (ruxolitinib) is our first product to be approved for sale in the United States. It was approved by the U.S. Food and Drug Administration (FDA) in November 2011 for the treatment of adults with intermediate or high-risk myelofibrosis (MF), in December 2014 for the treatment of adults with polycythemia vera (PV) who have had an inadequate response to or are intolerant of hydroxyurea, in May 2019 for the treatment of steroid-refractory acute graft-versus-host disease (GVHD) in adult and pediatric patients 12 years and older and in September 2021 for the treatment of chronic GVHD after failure of one or two lines of systemic therapy in adult and pediatric patients 12 years and older. Myelofibrosis and polycythemia vera are both myeloproliferative neoplasms (MPNs), a type of rare blood cancer, and GVHD is an adverse immune response to an allogeneic hematopoietic stem cell transplant (HSCT). Under our collaboration agreement with our collaboration partner Novartis Pharmaceutical International Ltd., Novartis received exclusive development and commercialization rights to ruxolitinib outside of the United States for all hematologic and oncologic indications and sells ruxolitinib outside of the United States under the name JAKAVI.</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JAK-STAT signaling pathway has been associated with a number of diseases, including myeloproliferative neoplasms, other hematological malignancies, rheumatoid arthritis and other chronic inflammatory diseases.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JAKAFI is marketed in the United States through our own specialty sales force and commercial team. JAKAFI was the first FDA-approved JAK inhibitor for any indication, was the first FDA-approved product in MF, PV and steroid-refractory acute GVHD, and was recently approved in steroid-refractory chronic GVHD. JAKAFI remains the first-line standard of care in MF and remains the only FDA-approved product for steroid-refractory acute GVHD. The FDA has granted JAKAFI orphan drug status for MF, PV and GVHD.</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well-established and familiar to physicians who practice within the oncology field.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Myelofibrosis. </w:t>
      </w:r>
      <w:r>
        <w:rPr>
          <w:rFonts w:ascii="Arial" w:cs="Arial" w:eastAsia="Arial" w:hAnsi="Arial"/>
          <w:sz w:val="16"/>
          <w:szCs w:val="16"/>
          <w:color w:val="auto"/>
        </w:rPr>
        <w:t>MF is a rare, life-threatening condition. MF, considered the most serious of the myeloproliferative neoplasms, can occur either 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FDA approval was based on results from two randomized Phase III trials (COMFORT-I and COMFORT-II), which demonstrated that patients treated with JAKAFI experienced significant reductions in splenomegaly (enlarged spleen). COMFORT-I also demonstrated improvements in symptoms. The most common hematologic adverse reactions in both trials were thrombocytopenia and anemia. These events rarely led to discontinuation of JAKAFI treatment. The most common non-hematologic adverse reactions were bruising, dizziness and headache.</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August 2014, the FDA approved supplemental labeling for JAKAFI to include Kaplan-Meier overall survival curves as well as additional safety and dosing information. The overall survival information is based on three-year data from COMFORT-I and II, and shows that at three years the probability of survival for patients treated with JAKAFI in COMFORT-I was 70% and for those patients originally randomized to placebo it was 61%. In COMFORT-II,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long-term clinical benefits seen in patients treated with JAKAFI.</w:t>
      </w:r>
    </w:p>
    <w:p>
      <w:pPr>
        <w:spacing w:after="0" w:line="18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Fatigue total score) was reported in 35% of patients treated with JAKAFI versus 14% of the patients treated with placebo.</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Polycythemia Vera. </w:t>
      </w:r>
      <w:r>
        <w:rPr>
          <w:rFonts w:ascii="Arial" w:cs="Arial" w:eastAsia="Arial" w:hAnsi="Arial"/>
          <w:sz w:val="18"/>
          <w:szCs w:val="18"/>
          <w:color w:val="auto"/>
        </w:rPr>
        <w:t>PV is a myeloproliferative neoplasm typically characterized by elevated hematocrit, the volume percentage of red blood cells</w:t>
      </w:r>
      <w:r>
        <w:rPr>
          <w:rFonts w:ascii="Arial" w:cs="Arial" w:eastAsia="Arial" w:hAnsi="Arial"/>
          <w:sz w:val="18"/>
          <w:szCs w:val="18"/>
          <w:i w:val="1"/>
          <w:iCs w:val="1"/>
          <w:color w:val="auto"/>
        </w:rPr>
        <w:t xml:space="preserve"> </w:t>
      </w:r>
      <w:r>
        <w:rPr>
          <w:rFonts w:ascii="Arial" w:cs="Arial" w:eastAsia="Arial" w:hAnsi="Arial"/>
          <w:sz w:val="18"/>
          <w:szCs w:val="18"/>
          <w:color w:val="auto"/>
        </w:rPr>
        <w:t>in 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 are considered uncontrolled because they have an inadequate response to or are intolerant of hydroxyurea, the most commonly used chemotherapeutic agent for the treatment of PV.</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December 2014, the FDA approved JAKAFI for the treatment of patients with PV who have had an inadequate response to or are intolerant of hydroxyurea. The approval of JAKAFI for PV was based on data from the pivotal Phase III RESPONSE trial. In this trial, patients treated with JAKAFI demonstrated superior hematocrit control and reductions in spleen volume compared to best available therapy. In addition, a greater proportion of patients treated with JAKAFI achieved complete hematologic remission—which was defined as achieving hematocrit control, and lowering platelet and white blood cell counts. In the RESPONSE trial, the most common hematologic adverse reactions (incidence &gt; 20%) were thrombocytopenia and anemia. The most common non-hematologic adverse events (incidence &gt;10%) were headache, abdominal pain, diarrhea, dizziness, fatigue, pruritus, dyspnea and muscle spasms.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June 2016, we announced data from the Phase III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Graft-versus-host disease. </w:t>
      </w:r>
      <w:r>
        <w:rPr>
          <w:rFonts w:ascii="Arial" w:cs="Arial" w:eastAsia="Arial" w:hAnsi="Arial"/>
          <w:sz w:val="18"/>
          <w:szCs w:val="18"/>
          <w:color w:val="auto"/>
        </w:rPr>
        <w:t>GVHD is a condition that can occur after an allogeneic HSCT (the transfer of genetically dissimilar stem cells or</w:t>
      </w:r>
      <w:r>
        <w:rPr>
          <w:rFonts w:ascii="Arial" w:cs="Arial" w:eastAsia="Arial" w:hAnsi="Arial"/>
          <w:sz w:val="18"/>
          <w:szCs w:val="18"/>
          <w:i w:val="1"/>
          <w:iCs w:val="1"/>
          <w:color w:val="auto"/>
        </w:rPr>
        <w:t xml:space="preserve"> </w:t>
      </w:r>
      <w:r>
        <w:rPr>
          <w:rFonts w:ascii="Arial" w:cs="Arial" w:eastAsia="Arial" w:hAnsi="Arial"/>
          <w:sz w:val="18"/>
          <w:szCs w:val="18"/>
          <w:color w:val="auto"/>
        </w:rPr>
        <w:t>tissue). In GVHD, the donated bone marrow or peripheral blood stem cells view the recipient’s body as foreign and attack various tissues. 12-month survival rates in patients with Grade III or IV steroid-refractory acute GVHD are 50% or less, and the incidence of steroid-refractory acute and chronic GVHD is approximately 3,000 per year in the United States.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June 2016, we announced that the FDA granted Breakthrough Therapy designation for ruxolitinib in patients with acute GVHD. In May 2019, the FDA approved JAKAFI for the treatment of steroid-refractory acute GVHD in adult and pediatric patients 12 years and older. The approval was based on data from REACH1, an open-label, single-arm, multicenter study of JAKAFI in combination with corticosteroids in patients with steroid-refractory grade II-IV acute GVHD. The overall response rate (ORR) in patients refractory to steroids alone was 57% with a complete response (CR) rate of 31%. The most frequently reported adverse reactions among all study participants were infections (55%) and edema (51%), and the most common laboratory abnormalities were anemia (75%), thrombocytopenia (75%) and neutropenia (58%).</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September 2021, the FDA approved JAKAFI for the treatment of chronic GVHD after failure of one or two lines of systemic therapy in adult and pediatric patients 12 years and older. This approval was based on data from REACH3, a Phase III, randomized, open-label, multicenter study of JAKAFI in comparison to best available therapy for treatment of steroid-refractory chronic GVHD after allogeneic stem cell transplantation. The overall response rate through Cycle 7 Day 1 was 70% for JAKAFI compared to 57% for best available therapy. The most common hematologic adverse reactions (incidence &gt; 35%) were anemia and thrombocytopenia. The most common non-hematologic adverse reactions (incidence ≥ 20%) were infections (pathogen not specified) and viral infection. In addition, the FDA updated labeling for JAKAFI to include warnings of increased risk of major adverse cardiovascular events, thrombosis, and secondary malignancies related to another JAK-inhibitor treating rheumatoid arthritis, a condition for which JAKAFI is not indicated. In patients with MF and PV treated with JAKAFI in clinical trials, the rates of thromboembolic events were similar in JAKAFI and control treated patients.</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retained all development and commercialization rights to JAKAFI in the United States and are eligible to receive development and sales milestones as well as royalties from product sales outside the United States. We hold patents that cover the composition of matter and use of ruxolitinib. These patents, including applicable extensions, currently expire in mid-2028. A determination of pediatric exclusivity would add six months to the expiration.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MONJUVI (tafasitamab-cxix) / MINJUVI (tafasitamab)</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January 2020, we and MorphoSys AG entered into a collaboration and license agreement to further develop and commercialize MorphoSys' proprietary anti-CD19 antibody tafasitamab (MOR208) globally. The agreement became effective March 2020. Tafasitamab is an Fc-engineered antibody against CD19 currently in clinical development for the treatment of B cell malignancies. We have rights to co-commercialize tafasitamab in the United States with MorphoSys, and we have exclusive development and commercialization rights outside of the United States.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July 2020, we and MorphoSys announced that the FDA approved MONJUVI (tafasitamab-cxix), which is indicated in combination with lenalidomide for the treatment of adult patients with relapsed or refractory diffuse large B-cell lymphoma (DLBCL) not otherwise specified, including DLBCL arising from low grade lymphoma, and who are not eligible for autologous stem cell transplant (ASCT). MONJUVI was approved under accelerated approval based on overall response rate from the MorphoSys-sponsored Phase II L-MIND study, an open label, multicenter, single arm trial of MONJUVI in combination with lenalidomide as a treatment for adult patients with r/r DLBCL. Results from the study showed an objective response rate (ORR) of 55% (39 out of 71 patients; primary endpoint) and a complete response (CR) rate of 37% (26 out of 71 patients). The median duration of response (mDOR) was 21.7 months. The most frequent serious adverse reactions were infections (26%), including pneumonia (7%) and febrile neutropenia (6%). Updated three-year data from L-MIND were presented at the American Society of Clinical Oncology (ASCO) 2021.</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August 2020, we and MorphoSys announced that MONJUVI in combination with lenalidomide had been included in the latest National Comprehensive Cancer Network (NCCN) Clinical Practice Guidelines in Oncology for B-cell Lymphomas.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August 2021, we and MorphoSys announced that the European Commission granted conditional marketing authorization for MINJUVI (tafasitamab) in combination with lenalidomide, followed by MINJUVI monotherapy, for the treatment of adult patients with relapsed or refractory DLBCL who are not eligible for autologous stem cell transplant (ASCT). The conditional approval was based on the three-year results from the L-MIND study evaluating the safety and efficacy of MINJUVI in combination with lenalidomide as a treatment for patients with r/r DLBCL who are not eligible for ASCT. The results showed best objective response rate (ORR) of 56.8% (primary endpoint), including a complete response (CR) rate of 39.5% and a partial response rate (PR) of 17.3%, as assessed by an independent review committee. The median duration of response (mDOR) was 43.9 months after a minimum follow up of 35 months (secondary endpoint). MINJUVI together with lenalidomide was shown to provide a clinically meaningful response and the side effects were manageable. Warnings and precautions for MINJUVI include infusion-related reactions, myelosuppression, including neutropenia and thrombocytopenia, infections and tumour lysis syndrome.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DLBCL is the most common type of non-Hodgkin lymphoma in adults worldwide, comprising 40% of all cases. DLBCL is characterized by rapidly growing masses of malignant B-cells in the lymph nodes, spleen, liver, bone marrow or other organs. It is an aggressive disease with ~40% of patients not responding to initial therapy or relapsing thereafter. We estimate that there are ~10,000 patients diagnosed in the United States each year with r/r DLBCL who are not eligible for ASCT. In the EU, we estimate there are ~14,000 patients diagnosed each year with r/r DLBCL who are not eligible for ASCT.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PEMAZYRE (pemigatinib)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PEMAZYRE is the first internally discovered product to be internationally commercialized by us.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2020, we announced that the FDA approved PEMAZYRE (pemigatinib), a selective fibroblast growth factor receptor (FGFR) kinase inhibitor, for the treatment of adults with previously treated, unresectable locally advanced or metastatic cholangiocarcinoma with an FGFR2 fusion or other rearrangement as detected by an FDA-approved test. PEMAZYRE is the first FDA-approved treatment for this indication, which was approved under accelerated approval based on overall response rate and duration of response (DOR).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2021, PEMAZYRE was approved by the Japanese Ministry of Health, Labour and Welfare (MHLW) for the treatment of patients with unresectable biliary tract cancer (BTC) with an FGFR2 fusion gene, worsening after cancer chemotherapy. Also in March 2021, PEMAZYRE was approved by the European Commission (EC) for the treatment of adults with locally advanced or metastatic cholangiocarcinoma with an FGFR2 fusion or rearrangement that have progressed after at least one prior line of systemic therapy.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2021, the UK’s National Institute for Health and Care Excellence (NICE) recommended PEMAZYRE for patients with cholangiocarcinoma with a fibroblast growth factor receptor 2 (FGFR2) fusion or rearrangement that have progressed after at least one prior line of systemic therapy. NICE’s guidance enables all eligible patients in England and Wales to have access to PEMAZYRE through the National Health Service (NHS).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Cholangiocarcinoma is a rare cancer that arises from the cells within the bile ducts. It is often diagnosed late (stages III and IV) and the prognosis is poor. The incidence of cholangiocarcinoma with FGFR2 fusions or rearrangements is increasing, and it is currently estimated that there are 2,000-3,000 patients in the United States, Europe and Japan.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approval of PEMAZYRE was based on data from FIGHT-202, a multi-center, open-label, single-arm study evaluating PEMAZYRE as a treatment for adults with cholangiocarcinoma. In FIGHT-202, and in patients harboring FGFR2 fusions or rearrangements (Cohort A), PEMAZYRE monotherapy resulted in an overall response rate of 36% (primary endpoint), and median DOR of 9.1 months (secondary endpoint). FIGHT-302, a Phase III trial of pemigatinib for the first-line treatment of patients with cholangiocarcinoma and FGFR2 fusions or rearrangements, is ongoing.</w:t>
      </w:r>
    </w:p>
    <w:p>
      <w:pPr>
        <w:spacing w:after="0" w:line="17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March 2022, PEMAZYRE was approved by the National Medical Products Administration (NMPA) of the People</w:t>
      </w:r>
      <w:r>
        <w:rPr>
          <w:rFonts w:ascii="Arial" w:cs="Arial" w:eastAsia="Arial" w:hAnsi="Arial"/>
          <w:sz w:val="16"/>
          <w:szCs w:val="16"/>
          <w:color w:val="auto"/>
        </w:rPr>
        <w:t>’</w:t>
      </w:r>
      <w:r>
        <w:rPr>
          <w:rFonts w:ascii="Arial" w:cs="Arial" w:eastAsia="Arial" w:hAnsi="Arial"/>
          <w:sz w:val="18"/>
          <w:szCs w:val="18"/>
          <w:color w:val="auto"/>
        </w:rPr>
        <w:t>s Republic of China for the treatment of adults with locally advanced or metastatic cholangiocarcinoma with a fibroblast growth receptor 2 (FGFR2) fusion or rearrangement as confirmed by a validated diagnostic test that have progressed after at least one prior line of systemic therapy.</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August 2022, PEMAZYRE was approved by the FDA as the first and only targeted treatment for myeloid/lymphoid neoplasms (MLNs) with FGFR1 rearrangement. MLNs with FGFR1 rearrangement are extremely rare and aggressive blood cancers.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ICLUSIG (ponatinib)</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2016, we acquired the European operations of ARIAD Pharmaceuticals, Inc.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Programs in Hematology and Oncology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Ruxolitinib</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part of our ongoing LIMBER (Leadership In MPNs BEyond Ruxolitinib) clinical development initiative, which is designed to improve and expand therapeutic options for patients with myeloproliferative neoplasms, we are evaluating combinations of ruxolitinib with other therapeutic modalities, as well as developing a once-a-day formulation of ruxolitinib for potential use as monotherapy and combination therapy. Bioavailability and bioequivalence data were published for ruxolitinib’s once-daily (QD) extended release (XR) formulation at the European Hematology Association (EHA) 2021 Virtual Congress in June 2021. The FDA accepted the New Drug Application (NDA) for QD ruxolitinib with a Prescription Drug User Fee Act (PDUFA) target action date of March 23, 2023.</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Based on positive Phase II data, we opened two pivotal trials of ruxolitinib in combination with parsaclisib (PI3Kδ) in first-line MF (LIMBER-</w:t>
      </w:r>
    </w:p>
    <w:p>
      <w:pPr>
        <w:spacing w:after="0" w:line="35" w:lineRule="exact"/>
        <w:rPr>
          <w:sz w:val="20"/>
          <w:szCs w:val="20"/>
          <w:color w:val="auto"/>
        </w:rPr>
      </w:pPr>
    </w:p>
    <w:p>
      <w:pPr>
        <w:jc w:val="both"/>
        <w:ind w:firstLine="8"/>
        <w:spacing w:after="0" w:line="253" w:lineRule="auto"/>
        <w:tabs>
          <w:tab w:leader="none" w:pos="3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and in MF patients with a suboptimal response to ruxolitinib monotherapy (LIMBER-304), and both trials are ongoing. Additional Phase II trials combining ruxolitinib with investigational agents from our portfolio such as INCB57643 (BET) and INCB00928 (ALK2) in patients with MF are ongoing, and additional discovery and development initiatives are also ongoing within the LIMBER program, which are evaluating internally-discovered compounds and candidates from collaboration partners.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Itacitinib</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no longer intend to develop itacitinib, a selective JAK1 inhibitor, in treatment-naïve chronic GVHD (cGVHD). Based on efficacy data from Part I of the Phase II/II GRAVITAS-309 trial, we determined that a pivotal trial was unlikely to be successful.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Axatilimab</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September 2021, we and Syndax Pharmaceuticals, Inc. announced an exclusive worldwide collaboration and license agreement to develop and commercialize axatilimab, Syndax’s anti-CSF-1R monoclonal antibody. Together, we plan to develop axatilimab as a therapy for patients with chronic GVHD as well as in additional immune-mediated diseases where CSF-1R-dependent monocytes and macrophages are believed to contribute to organ fibrosis. In December 2021, updated positive data were presented at ASH from the Phase I/II trial evaluating axatilimab as a monotherapy in patients with recurrent or refractory chronic GVHD after two or more prior lines of therapy. A 68% overall response rate and broad clinical benefit across multiple organs were observed at doses being assessed in AGAVE-201, a global pivotal trial evaluating axatilimab monotherapy in patients with chronic GVHD in the third line setting. Additional trials of axatilimab are planned in patients with chronic GVHD, including a Phase II trial in combination with ruxolitinib in patients with newly-diagnosed cGVHD. In May 2022, Syndax announced that axatilimab was granted fast-track designation by the FDA for the treatment of patients with chronic GVHD after failure of two or more lines of systemic therapy.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Tafasitamab</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Tafasitamab is an anti-CD19 antibody and is being investigated as a therapeutic option in B cell malignancies in a number of ongoing and planned combination trials. An open-label Phase II combination trial (L-MIND) is investigating the safety and efficacy of tafasitamab in combination with lenalidomide in patients with relapsed or refractory diffuse large B-cell lymphoma (r/r DLBCL), and the ongoing Phase III B-MIND trial is assessing the combination of tafasitamab and bendamustine versus rituximab and bendamustine in r/r DLBCL. firstMIND is a Phase Ib safety trial of tafasitamab as a first-line therapy for patients with DLBCL, and frontMIND, a placebo-controlled Phase III trial evaluating tafasitamab in combination with lenalidomide added to rituximab plus chemotherapy (R-CHOP) as a first-line therapy for patients with DLBCL, is ongoing.</w:t>
      </w:r>
    </w:p>
    <w:p>
      <w:pPr>
        <w:spacing w:after="0" w:line="17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A placebo-controlled Phase III trial (inMIND) of tafasitamab added to lenalidomide plus rituximab (R</w:t>
      </w:r>
      <w:r>
        <w:rPr>
          <w:rFonts w:ascii="Arial" w:cs="Arial" w:eastAsia="Arial" w:hAnsi="Arial"/>
          <w:sz w:val="23"/>
          <w:szCs w:val="23"/>
          <w:color w:val="auto"/>
          <w:vertAlign w:val="superscript"/>
        </w:rPr>
        <w:t>2</w:t>
      </w:r>
      <w:r>
        <w:rPr>
          <w:rFonts w:ascii="Arial" w:cs="Arial" w:eastAsia="Arial" w:hAnsi="Arial"/>
          <w:sz w:val="18"/>
          <w:szCs w:val="18"/>
          <w:color w:val="auto"/>
        </w:rPr>
        <w:t>) in patients with relapsed or refractory follicular or marginal zone lymphomas is ongoing. A proof-of-concept study of tafasitamab, lenalidomide and plamotamab in patients with r/r DLBCL is also ongoing.</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January 2021, the FDA granted orphan drug designation to tafasitamab as a treatment for patients with follicular lymphoma.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Pemigatinib</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Pemigatinib is a potent and selective inhibitor of the fibroblast growth factor receptor (FGFR) isoforms 1, 2 and 3 with demonstrated activity in preclinical studies. The FGFR family of receptor tyrosine kinases can act as oncogenic drivers in a number of liquid and solid tumor types.</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initiated the FIGHT clinical program to evaluate pemigatinib across a spectrum of cancers that are driven by FGF/FGFR alterations. The program initially included three Phase II trials – FIGHT-201 in patients with bladder cancer, FIGHT-202 in patients with cholangiocarcinoma, and FIGHT-203 in patients with myeloid/lymphoid neoplasms with FGFR1 rearrangement. Based on data generated from these trials, we have initiated additional trials including FIGHT-302, a Phase III study in first-line cholangiocarcinoma. FIGHT-207, a solid tumor-agnostic trial evaluating pemigatinib in patients with driver-alterations of FGF/FGFR, is now closed to recruitment. Based on findings from this study, we have identified populations that may potentially benefit from treatment with pemigatinib and have initiated two Phase II trials – FIGHT-209 in patients with glioblastoma and FIGHT-210 in patients with non-small cell lung cancer.</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Pemigatinib has Breakthrough Therapy designation as a treatment for patients with myeloid/lymphoid neoplasms (MLN) with FGFR1 rearrangement who have relapsed or are refractory to initial chemotherapy.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Parsaclisib</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PI3Kδ pathway mediates oncogenic signaling in B cell malignancies. Parsaclisib is a PI3Kδ inhibitor that has demonstrated potency and selectivity in preclinical studies and has potential therapeutic utility in the treatment of patients with lymphoma. We initiated the CITADEL clinical program to evaluate parsaclisib in non-Hodgkin lymphomas, including Phase II trials in follicular lymphoma, marginal zone lymphoma and mantle cell lymphoma. The FDA granted orphan drug designation and Fast Track designation to parsaclisib as a treatment for patients with follicular lymphoma, marginal zone lymphoma and mantle cell lymphoma.</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2020, we announced preliminary results from the ongoing CITADEL monotherapy development program, which was designed to enable registration of parsaclisib. Results from four cohorts were presented at the American Society of Hematology (ASH), including in r/r follicular lymphoma (CITADEL-203), in BTK-naïve r/r marginal zone lymphoma (CITADEL-204) and in both BTK-naïve and BTK-experienced r/r mantle cell lymphoma (CITADEL-205).</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October 2021, we announced the FDA acceptance of an NDA seeking approval of parsaclisib for the treatment of patients with relapsed or refractory follicular lymphoma, marginal zone lymphoma and mantle cell lymphoma. The submission was based on data from several Phase II studies (CITADEL-203, -204 and -205) evaluating parsaclisib as a treatment for relapsed or refractory non-Hodgkin lymphomas (follicular, marginal zone and mantle cell). In January 2022, we announced that we withdrew the NDA seeking approval of parsaclisib for the three indications in non-Hodgkin lymphoma. The decision to withdraw the NDA followed discussions with FDA regarding confirmatory studies that we determined cannot be completed within a reasonable time period to support an accelerated approval. In July 2022, we withdrew the Marketing Authorization Application (MAA) seeking approval of parsaclisib in marginal zone lymphoma following discussions with the European Medicines Agency (EMA) regarding the confirmatory study needed to support the approval which we determined were not feasible.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Phase II trial of parsaclisib in patients with autoimmune hemolytic anemia (AIHA), a rare red blood cell disorder, is ongoing. In June 2021, data from the Phase II trial were presented at EHA. The majority of patients achieved a response with parsaclisib over the initial 12-week treatment period and treatment with parsaclisib was generally well tolerated. Based on these results, we initiated a Phase III trial (PATHWAY) in warm AIHA. The FDA has granted orphan drug designation to parsaclisib as a treatment for patients with AIHA.</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Retifanlimab</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October 2017, we and MacroGenics, Inc. announced an exclusive global collaboration and license agreement for MacroGenics’ retifanlimab (formerly INCMGA0012), an investigational monoclonal antibody that inhibits PD-1. Under this collaboration, we obtained exclusive worldwide rights for the development and commercialization of retifanlimab in all indications. The molecule is currently being evaluated both as monotherapy and in combination therapy across various tumor types. Potentially registration-enabling trials in microsatellite instability-high (MSI-H) endometrial cancer and Merkel cell carcinoma are ongoing.</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Phase III POD1UM-303 trial of retifanlimab in combination with platinum-based chemotherapy as a first-line treatment for patients with squamous cell carcinoma of the anal canal (SCAC) is underway. In July 2021, we announced that the FDA issued a complete response letter (CRL) for the BLA of retifanlimab for the treatment of SCAC. In October 2021, we announced that we withdrew the MAA seeking approval of retifanlimab in SCAC.</w:t>
      </w:r>
    </w:p>
    <w:p>
      <w:pPr>
        <w:spacing w:after="0" w:line="14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Phase III POD1UM-304 trial is evaluating retifanlimab in combination with platinum-based chemotherapy as a first-line treatment for patients with non-small cell lung cancer (NSCLC), and in October 2020, our collaboration partner Zai Lab announced dosing of the first patient in China.</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Retifanlimab has been granted Fast Track designation for the treatment of certain patients with advanced or metastatic MSI-H or DNA mismatch repair (dMMR) endometrial cancer, for the treatment of certain patients with locally advanced or metastatic SCAC and for the treatment of Merkel cell carcinoma (MCC). The FDA and EMA have granted orphan drug designation to retifanlimab as a treatment for patients with locally advanced or metastatic SCAC and the FDA has granted orphan drug designation to retifanlimab as a treatment for patients with MCC.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8491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49110" cy="8255"/>
                    </a:xfrm>
                    <a:prstGeom prst="rect">
                      <a:avLst/>
                    </a:prstGeom>
                    <a:noFill/>
                  </pic:spPr>
                </pic:pic>
              </a:graphicData>
            </a:graphic>
          </wp:anchor>
        </w:drawing>
      </w:r>
    </w:p>
    <w:p>
      <w:pPr>
        <w:spacing w:after="0" w:line="20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Indication and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849110" cy="3175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49110" cy="31750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50" w:lineRule="exact"/>
        <w:rPr>
          <w:sz w:val="20"/>
          <w:szCs w:val="20"/>
          <w:color w:val="auto"/>
        </w:rPr>
      </w:pPr>
    </w:p>
    <w:p>
      <w:pPr>
        <w:ind w:left="20" w:right="360"/>
        <w:spacing w:after="0" w:line="308" w:lineRule="auto"/>
        <w:rPr>
          <w:sz w:val="20"/>
          <w:szCs w:val="20"/>
          <w:color w:val="auto"/>
        </w:rPr>
      </w:pPr>
      <w:r>
        <w:rPr>
          <w:rFonts w:ascii="Arial" w:cs="Arial" w:eastAsia="Arial" w:hAnsi="Arial"/>
          <w:sz w:val="16"/>
          <w:szCs w:val="16"/>
          <w:b w:val="1"/>
          <w:bCs w:val="1"/>
          <w:color w:val="auto"/>
        </w:rPr>
        <w:t>Once-a-day ruxolitinib (JAK1/JAK2)</w:t>
      </w:r>
    </w:p>
    <w:p>
      <w:pPr>
        <w:ind w:left="20" w:right="280"/>
        <w:spacing w:after="0" w:line="312" w:lineRule="auto"/>
        <w:rPr>
          <w:sz w:val="20"/>
          <w:szCs w:val="20"/>
          <w:color w:val="auto"/>
        </w:rPr>
      </w:pPr>
      <w:r>
        <w:rPr>
          <w:rFonts w:ascii="Arial" w:cs="Arial" w:eastAsia="Arial" w:hAnsi="Arial"/>
          <w:sz w:val="16"/>
          <w:szCs w:val="16"/>
          <w:b w:val="1"/>
          <w:bCs w:val="1"/>
          <w:color w:val="auto"/>
        </w:rPr>
        <w:t>ruxolitinib + parsaclisib (JAK1/JAK2 + PI3Kδ)</w:t>
      </w:r>
    </w:p>
    <w:p>
      <w:pPr>
        <w:spacing w:after="0" w:line="8" w:lineRule="exact"/>
        <w:rPr>
          <w:sz w:val="20"/>
          <w:szCs w:val="20"/>
          <w:color w:val="auto"/>
        </w:rPr>
      </w:pPr>
    </w:p>
    <w:p>
      <w:pPr>
        <w:ind w:left="20" w:right="200"/>
        <w:spacing w:after="0" w:line="273" w:lineRule="auto"/>
        <w:rPr>
          <w:sz w:val="20"/>
          <w:szCs w:val="20"/>
          <w:color w:val="auto"/>
        </w:rPr>
      </w:pPr>
      <w:r>
        <w:rPr>
          <w:rFonts w:ascii="Arial" w:cs="Arial" w:eastAsia="Arial" w:hAnsi="Arial"/>
          <w:sz w:val="17"/>
          <w:szCs w:val="17"/>
          <w:b w:val="1"/>
          <w:bCs w:val="1"/>
          <w:color w:val="auto"/>
        </w:rPr>
        <w:t>ruxolitinib + INCB57643 (JAK1/JAK2 + BET)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Myelofibrosis, polycythemia vera and GVHD: NDA under review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Myelofibrosis: Phase III (first-line therapy) (LIMBER-313)</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Myelofibrosis: Phase III (suboptimal responders to ruxolitinib) (LIMBER-304)</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Myelofibrosis: Phase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-130175</wp:posOffset>
            </wp:positionV>
            <wp:extent cx="6849110" cy="2825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49110" cy="28257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2140" w:space="720"/>
            <w:col w:w="83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81"/>
        </w:trPr>
        <w:tc>
          <w:tcPr>
            <w:tcW w:w="244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ruxolitinib + INCB00928</w:t>
            </w:r>
          </w:p>
        </w:tc>
        <w:tc>
          <w:tcPr>
            <w:tcW w:w="8360" w:type="dxa"/>
            <w:vAlign w:val="bottom"/>
          </w:tcPr>
          <w:p>
            <w:pPr>
              <w:ind w:left="420"/>
              <w:spacing w:after="0" w:line="182" w:lineRule="exact"/>
              <w:rPr>
                <w:sz w:val="20"/>
                <w:szCs w:val="20"/>
                <w:color w:val="auto"/>
              </w:rPr>
            </w:pPr>
            <w:r>
              <w:rPr>
                <w:rFonts w:ascii="Arial" w:cs="Arial" w:eastAsia="Arial" w:hAnsi="Arial"/>
                <w:sz w:val="18"/>
                <w:szCs w:val="18"/>
                <w:color w:val="auto"/>
              </w:rPr>
              <w:t>Myelofibrosis: Phase II</w:t>
            </w:r>
          </w:p>
        </w:tc>
      </w:tr>
      <w:tr>
        <w:trPr>
          <w:trHeight w:val="239"/>
        </w:trPr>
        <w:tc>
          <w:tcPr>
            <w:tcW w:w="2440" w:type="dxa"/>
            <w:vAlign w:val="bottom"/>
          </w:tcPr>
          <w:p>
            <w:pPr>
              <w:ind w:left="20"/>
              <w:spacing w:after="0"/>
              <w:rPr>
                <w:sz w:val="20"/>
                <w:szCs w:val="20"/>
                <w:color w:val="auto"/>
              </w:rPr>
            </w:pPr>
            <w:r>
              <w:rPr>
                <w:rFonts w:ascii="Arial" w:cs="Arial" w:eastAsia="Arial" w:hAnsi="Arial"/>
                <w:sz w:val="18"/>
                <w:szCs w:val="18"/>
                <w:b w:val="1"/>
                <w:bCs w:val="1"/>
                <w:color w:val="auto"/>
              </w:rPr>
              <w:t>(JAK1/JAK2 + ALK2)</w:t>
            </w:r>
          </w:p>
        </w:tc>
        <w:tc>
          <w:tcPr>
            <w:tcW w:w="8360" w:type="dxa"/>
            <w:vAlign w:val="bottom"/>
          </w:tcPr>
          <w:p>
            <w:pPr>
              <w:spacing w:after="0"/>
              <w:rPr>
                <w:sz w:val="20"/>
                <w:szCs w:val="20"/>
                <w:color w:val="auto"/>
              </w:rPr>
            </w:pPr>
          </w:p>
        </w:tc>
      </w:tr>
      <w:tr>
        <w:trPr>
          <w:trHeight w:val="188"/>
        </w:trPr>
        <w:tc>
          <w:tcPr>
            <w:tcW w:w="24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ruxolitinib + CK0804</w:t>
            </w:r>
            <w:r>
              <w:rPr>
                <w:rFonts w:ascii="Arial" w:cs="Arial" w:eastAsia="Arial" w:hAnsi="Arial"/>
                <w:sz w:val="21"/>
                <w:szCs w:val="21"/>
                <w:b w:val="1"/>
                <w:bCs w:val="1"/>
                <w:color w:val="auto"/>
                <w:vertAlign w:val="superscript"/>
              </w:rPr>
              <w:t>1</w:t>
            </w:r>
          </w:p>
        </w:tc>
        <w:tc>
          <w:tcPr>
            <w:tcW w:w="8360" w:type="dxa"/>
            <w:vAlign w:val="bottom"/>
            <w:shd w:val="clear" w:color="auto" w:fill="CCEEFF"/>
          </w:tcPr>
          <w:p>
            <w:pPr>
              <w:ind w:left="420"/>
              <w:spacing w:after="0" w:line="189" w:lineRule="exact"/>
              <w:rPr>
                <w:sz w:val="20"/>
                <w:szCs w:val="20"/>
                <w:color w:val="auto"/>
              </w:rPr>
            </w:pPr>
            <w:r>
              <w:rPr>
                <w:rFonts w:ascii="Arial" w:cs="Arial" w:eastAsia="Arial" w:hAnsi="Arial"/>
                <w:sz w:val="18"/>
                <w:szCs w:val="18"/>
                <w:color w:val="auto"/>
              </w:rPr>
              <w:t>Myelofibrosis: PoC (LIMBER-TREG108)</w:t>
            </w:r>
          </w:p>
        </w:tc>
      </w:tr>
      <w:tr>
        <w:trPr>
          <w:trHeight w:val="234"/>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(JAK1/JAK2 + CB-Tregs)</w:t>
            </w:r>
          </w:p>
        </w:tc>
        <w:tc>
          <w:tcPr>
            <w:tcW w:w="8360" w:type="dxa"/>
            <w:vAlign w:val="bottom"/>
            <w:shd w:val="clear" w:color="auto" w:fill="CCEEFF"/>
          </w:tcPr>
          <w:p>
            <w:pPr>
              <w:spacing w:after="0"/>
              <w:rPr>
                <w:sz w:val="20"/>
                <w:szCs w:val="20"/>
                <w:color w:val="auto"/>
              </w:rPr>
            </w:pPr>
          </w:p>
        </w:tc>
      </w:tr>
      <w:tr>
        <w:trPr>
          <w:trHeight w:val="27"/>
        </w:trPr>
        <w:tc>
          <w:tcPr>
            <w:tcW w:w="2440" w:type="dxa"/>
            <w:vAlign w:val="bottom"/>
            <w:shd w:val="clear" w:color="auto" w:fill="CCEEFF"/>
          </w:tcPr>
          <w:p>
            <w:pPr>
              <w:spacing w:after="0"/>
              <w:rPr>
                <w:sz w:val="2"/>
                <w:szCs w:val="2"/>
                <w:color w:val="auto"/>
              </w:rPr>
            </w:pPr>
          </w:p>
        </w:tc>
        <w:tc>
          <w:tcPr>
            <w:tcW w:w="8360" w:type="dxa"/>
            <w:vAlign w:val="bottom"/>
            <w:shd w:val="clear" w:color="auto" w:fill="CCEEFF"/>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ind w:left="20" w:right="100"/>
        <w:spacing w:after="0" w:line="370" w:lineRule="auto"/>
        <w:rPr>
          <w:sz w:val="20"/>
          <w:szCs w:val="20"/>
          <w:color w:val="auto"/>
        </w:rPr>
      </w:pPr>
      <w:r>
        <w:rPr>
          <w:rFonts w:ascii="Arial" w:cs="Arial" w:eastAsia="Arial" w:hAnsi="Arial"/>
          <w:sz w:val="17"/>
          <w:szCs w:val="17"/>
          <w:b w:val="1"/>
          <w:bCs w:val="1"/>
          <w:color w:val="auto"/>
        </w:rPr>
        <w:t>axatilimab (anti-CSF-1R)</w:t>
      </w:r>
      <w:r>
        <w:rPr>
          <w:rFonts w:ascii="Arial" w:cs="Arial" w:eastAsia="Arial" w:hAnsi="Arial"/>
          <w:sz w:val="21"/>
          <w:szCs w:val="21"/>
          <w:b w:val="1"/>
          <w:bCs w:val="1"/>
          <w:color w:val="auto"/>
          <w:vertAlign w:val="superscript"/>
        </w:rPr>
        <w:t>2</w:t>
      </w:r>
      <w:r>
        <w:rPr>
          <w:rFonts w:ascii="Arial" w:cs="Arial" w:eastAsia="Arial" w:hAnsi="Arial"/>
          <w:sz w:val="17"/>
          <w:szCs w:val="17"/>
          <w:b w:val="1"/>
          <w:bCs w:val="1"/>
          <w:color w:val="auto"/>
        </w:rPr>
        <w:t xml:space="preserve"> tafasitamab (CD19)</w:t>
      </w:r>
      <w:r>
        <w:rPr>
          <w:rFonts w:ascii="Arial" w:cs="Arial" w:eastAsia="Arial" w:hAnsi="Arial"/>
          <w:sz w:val="21"/>
          <w:szCs w:val="21"/>
          <w:b w:val="1"/>
          <w:bCs w:val="1"/>
          <w:color w:val="auto"/>
          <w:vertAlign w:val="superscript"/>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Chronic GVHD: Pivotal Phase II (third-line plus therapy) (AGAVE-201)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46355</wp:posOffset>
            </wp:positionV>
            <wp:extent cx="6849110" cy="5829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49110" cy="58293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r/r DLBCL: Phase II (L-MIND); Phase III (B-MIND)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1L DLBCL: Phase III (frontMIND)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r/r follicular &amp; marginal zone lymphomas: Phase III (inMIND)</w:t>
      </w:r>
    </w:p>
    <w:p>
      <w:pPr>
        <w:spacing w:after="0"/>
        <w:rPr>
          <w:sz w:val="20"/>
          <w:szCs w:val="20"/>
          <w:color w:val="auto"/>
        </w:rPr>
      </w:pPr>
      <w:r>
        <w:rPr>
          <w:rFonts w:ascii="Arial" w:cs="Arial" w:eastAsia="Arial" w:hAnsi="Arial"/>
          <w:sz w:val="18"/>
          <w:szCs w:val="18"/>
          <w:color w:val="auto"/>
        </w:rPr>
        <w:t>r/r B-cell malignancies: PoC with lenalidomide and plamotamab</w:t>
      </w:r>
      <w:r>
        <w:rPr>
          <w:rFonts w:ascii="Arial" w:cs="Arial" w:eastAsia="Arial" w:hAnsi="Arial"/>
          <w:sz w:val="23"/>
          <w:szCs w:val="23"/>
          <w:color w:val="auto"/>
          <w:vertAlign w:val="superscript"/>
        </w:rPr>
        <w:t>4</w:t>
      </w:r>
    </w:p>
    <w:p>
      <w:pPr>
        <w:spacing w:after="0" w:line="3" w:lineRule="exact"/>
        <w:rPr>
          <w:sz w:val="20"/>
          <w:szCs w:val="20"/>
          <w:color w:val="auto"/>
        </w:rPr>
      </w:pPr>
    </w:p>
    <w:p>
      <w:pPr>
        <w:sectPr>
          <w:pgSz w:w="11900" w:h="16838" w:orient="portrait"/>
          <w:cols w:equalWidth="0" w:num="2">
            <w:col w:w="2140" w:space="720"/>
            <w:col w:w="8380"/>
          </w:cols>
          <w:pgMar w:left="320" w:top="125" w:right="33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pemigatinib (FGFR1/2/3)</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right="540"/>
        <w:spacing w:after="0" w:line="406" w:lineRule="auto"/>
        <w:rPr>
          <w:sz w:val="20"/>
          <w:szCs w:val="20"/>
          <w:color w:val="auto"/>
        </w:rPr>
      </w:pPr>
      <w:r>
        <w:rPr>
          <w:rFonts w:ascii="Arial" w:cs="Arial" w:eastAsia="Arial" w:hAnsi="Arial"/>
          <w:sz w:val="16"/>
          <w:szCs w:val="16"/>
          <w:b w:val="1"/>
          <w:bCs w:val="1"/>
          <w:color w:val="auto"/>
        </w:rPr>
        <w:t>parsaclisib (PI3Kδ) retifanlimab (PD-1)</w:t>
      </w:r>
      <w:r>
        <w:rPr>
          <w:rFonts w:ascii="Arial" w:cs="Arial" w:eastAsia="Arial" w:hAnsi="Arial"/>
          <w:sz w:val="20"/>
          <w:szCs w:val="20"/>
          <w:b w:val="1"/>
          <w:bCs w:val="1"/>
          <w:color w:val="auto"/>
          <w:vertAlign w:val="superscript"/>
        </w:rPr>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CCA: Phase III (FIGHT-302)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Myeloid/lymphoid neoplasms (MLN): Phase II (FIGHT-203); approved in the 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Glioblastoma: Phase II (FIGHT-209)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NSCLC: Phase II (FIGHT-210)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Warm autoimmune hemolytic anemia: Phase III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-130175</wp:posOffset>
            </wp:positionV>
            <wp:extent cx="684911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49110" cy="17145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SCAC: Phase III (PODIUM-303)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MSI-high endometrial cancer: Phase II (POD1UM-101, POD1UM-204)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Merkel cell carcinoma: Phase II (POD1UM-201)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NSCLC: Phase III (POD1UM-304)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22860</wp:posOffset>
            </wp:positionV>
            <wp:extent cx="684911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49110" cy="8890"/>
                    </a:xfrm>
                    <a:prstGeom prst="rect">
                      <a:avLst/>
                    </a:prstGeom>
                    <a:noFill/>
                  </pic:spPr>
                </pic:pic>
              </a:graphicData>
            </a:graphic>
          </wp:anchor>
        </w:drawing>
      </w:r>
    </w:p>
    <w:p>
      <w:pPr>
        <w:spacing w:after="0" w:line="109" w:lineRule="exact"/>
        <w:rPr>
          <w:sz w:val="20"/>
          <w:szCs w:val="20"/>
          <w:color w:val="auto"/>
        </w:rPr>
      </w:pPr>
    </w:p>
    <w:p>
      <w:pPr>
        <w:sectPr>
          <w:pgSz w:w="11900" w:h="16838" w:orient="portrait"/>
          <w:cols w:equalWidth="0" w:num="2">
            <w:col w:w="2140" w:space="720"/>
            <w:col w:w="8380"/>
          </w:cols>
          <w:pgMar w:left="320" w:top="125" w:right="339" w:bottom="1440" w:gutter="0" w:footer="0" w:header="0"/>
          <w:type w:val="continuous"/>
        </w:sectPr>
      </w:pPr>
    </w:p>
    <w:p>
      <w:pPr>
        <w:ind w:left="160" w:hanging="152"/>
        <w:spacing w:after="0"/>
        <w:tabs>
          <w:tab w:leader="none" w:pos="16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Development collaboration with Cellenkos, Inc.</w:t>
      </w:r>
    </w:p>
    <w:p>
      <w:pPr>
        <w:spacing w:after="0" w:line="1" w:lineRule="exact"/>
        <w:rPr>
          <w:rFonts w:ascii="Arial" w:cs="Arial" w:eastAsia="Arial" w:hAnsi="Arial"/>
          <w:sz w:val="23"/>
          <w:szCs w:val="23"/>
          <w:color w:val="auto"/>
          <w:vertAlign w:val="superscript"/>
        </w:rPr>
      </w:pPr>
    </w:p>
    <w:p>
      <w:pPr>
        <w:ind w:left="160" w:hanging="152"/>
        <w:spacing w:after="0" w:line="194" w:lineRule="auto"/>
        <w:tabs>
          <w:tab w:leader="none" w:pos="16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axatilimab development in collaboration with Syndax.</w:t>
      </w:r>
    </w:p>
    <w:p>
      <w:pPr>
        <w:spacing w:after="0" w:line="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tafasitamab development in collaboration with MorphoSys.</w:t>
      </w:r>
    </w:p>
    <w:p>
      <w:pPr>
        <w:spacing w:after="0" w:line="2" w:lineRule="exact"/>
        <w:rPr>
          <w:rFonts w:ascii="Arial" w:cs="Arial" w:eastAsia="Arial" w:hAnsi="Arial"/>
          <w:sz w:val="23"/>
          <w:szCs w:val="23"/>
          <w:color w:val="auto"/>
          <w:vertAlign w:val="superscript"/>
        </w:rPr>
      </w:pPr>
    </w:p>
    <w:p>
      <w:pPr>
        <w:ind w:left="180" w:right="20" w:hanging="172"/>
        <w:spacing w:after="0" w:line="219" w:lineRule="auto"/>
        <w:tabs>
          <w:tab w:leader="none" w:pos="173"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Clinical collaboration with MorphoSys and Xencor, Inc. to investigate the combination of tafasitamab plus lenalidomide in combination with Xencor’s CD20xCD3 XmAb bispecific antibody, plamotamab.</w:t>
      </w:r>
    </w:p>
    <w:p>
      <w:pPr>
        <w:ind w:left="160" w:hanging="152"/>
        <w:spacing w:after="0" w:line="196" w:lineRule="auto"/>
        <w:tabs>
          <w:tab w:leader="none" w:pos="160"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retifanlimab licensed from MacroGenics.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Earlier-Stage Development Programs in Hematology and Oncology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Oral PD-L1</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November 2021, we highlighted Phase I clinical safety and efficacy data for our oral PD-L1 program which included three compounds, INCB86550, INCB99280 and INCB99318. Tumor shrinkage was observed for all three oral PD-L1 inhibitors. With regard to safety, both INCB99280 and INCB99318 did not show peripheral neuropathy seen with INCB86550. In May 2022, the decision was made to prioritize the development of INCB99280 and INCB99318 based on positive therapeutic ratios.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INCB123667 (CDK2)</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cell cycle, the serine threonine kinase, CDK2, regulates the transition from the G1 phase (cell growth) to the S-phase (DNA replication). INCB123667 is a novel, potent and selective oral small molecule inhibitor of CDK2 which has been shown to suppress tumor growth as monotherapy and in combination with standard of care, in Cyclin E amplified tumor models, in vivo. In July 2022, we initiated a Phase I dose-escalation and dose-expansion study evaluating INCB123667 in adults with selected advanced or metastatic solid tumors.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INCA32459 (LAG-3xPD-1)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collaboration with Merus we have developed INCA32459, a novel LAG3xPD-1 bispecific antibody that is planned to enter clinical studies later this year.</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earlier-stage clinical programs in hematology and oncology are included in the table below. We intend to describe these programs more fully if we obtain clinical proof-of-concept and establish that a program warrants further development in a specific indication or group of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Modality</w:t>
            </w:r>
          </w:p>
        </w:tc>
        <w:tc>
          <w:tcPr>
            <w:tcW w:w="890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Candidates</w:t>
            </w:r>
          </w:p>
        </w:tc>
      </w:tr>
      <w:tr>
        <w:trPr>
          <w:trHeight w:val="229"/>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Small molecules</w:t>
            </w:r>
          </w:p>
        </w:tc>
        <w:tc>
          <w:tcPr>
            <w:tcW w:w="8900" w:type="dxa"/>
            <w:vAlign w:val="bottom"/>
            <w:shd w:val="clear" w:color="auto" w:fill="CCEEFF"/>
          </w:tcPr>
          <w:p>
            <w:pPr>
              <w:ind w:left="520"/>
              <w:spacing w:after="0" w:line="229" w:lineRule="exact"/>
              <w:rPr>
                <w:sz w:val="20"/>
                <w:szCs w:val="20"/>
                <w:color w:val="auto"/>
              </w:rPr>
            </w:pPr>
            <w:r>
              <w:rPr>
                <w:rFonts w:ascii="Arial" w:cs="Arial" w:eastAsia="Arial" w:hAnsi="Arial"/>
                <w:sz w:val="18"/>
                <w:szCs w:val="18"/>
                <w:color w:val="auto"/>
                <w:w w:val="99"/>
              </w:rPr>
              <w:t>INCB81776 (AXL/MER), INCB99280 (PD-L1), INCB99318 (PD-L1), INCB106385 (A2A/A</w:t>
            </w:r>
            <w:r>
              <w:rPr>
                <w:rFonts w:ascii="Arial" w:cs="Arial" w:eastAsia="Arial" w:hAnsi="Arial"/>
                <w:sz w:val="23"/>
                <w:szCs w:val="23"/>
                <w:color w:val="auto"/>
                <w:w w:val="99"/>
                <w:vertAlign w:val="subscript"/>
              </w:rPr>
              <w:t>2B</w:t>
            </w:r>
            <w:r>
              <w:rPr>
                <w:rFonts w:ascii="Arial" w:cs="Arial" w:eastAsia="Arial" w:hAnsi="Arial"/>
                <w:sz w:val="18"/>
                <w:szCs w:val="18"/>
                <w:color w:val="auto"/>
                <w:w w:val="99"/>
              </w:rPr>
              <w:t>), INCB123667</w:t>
            </w:r>
          </w:p>
        </w:tc>
      </w:tr>
      <w:tr>
        <w:trPr>
          <w:trHeight w:val="237"/>
        </w:trPr>
        <w:tc>
          <w:tcPr>
            <w:tcW w:w="2340" w:type="dxa"/>
            <w:vAlign w:val="bottom"/>
            <w:tcBorders>
              <w:bottom w:val="single" w:sz="8" w:color="CCEEFF"/>
            </w:tcBorders>
            <w:shd w:val="clear" w:color="auto" w:fill="CCEEFF"/>
          </w:tcPr>
          <w:p>
            <w:pPr>
              <w:spacing w:after="0"/>
              <w:rPr>
                <w:sz w:val="20"/>
                <w:szCs w:val="20"/>
                <w:color w:val="auto"/>
              </w:rPr>
            </w:pPr>
          </w:p>
        </w:tc>
        <w:tc>
          <w:tcPr>
            <w:tcW w:w="89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(CDK2)</w:t>
            </w:r>
          </w:p>
        </w:tc>
      </w:tr>
      <w:tr>
        <w:trPr>
          <w:trHeight w:val="270"/>
        </w:trPr>
        <w:tc>
          <w:tcPr>
            <w:tcW w:w="2340" w:type="dxa"/>
            <w:vAlign w:val="bottom"/>
          </w:tcPr>
          <w:p>
            <w:pPr>
              <w:ind w:left="20"/>
              <w:spacing w:after="0"/>
              <w:rPr>
                <w:sz w:val="20"/>
                <w:szCs w:val="20"/>
                <w:color w:val="auto"/>
              </w:rPr>
            </w:pPr>
            <w:r>
              <w:rPr>
                <w:rFonts w:ascii="Arial" w:cs="Arial" w:eastAsia="Arial" w:hAnsi="Arial"/>
                <w:sz w:val="18"/>
                <w:szCs w:val="18"/>
                <w:b w:val="1"/>
                <w:bCs w:val="1"/>
                <w:color w:val="auto"/>
              </w:rPr>
              <w:t>Monoclonal antibodies</w:t>
            </w:r>
            <w:r>
              <w:rPr>
                <w:rFonts w:ascii="Arial" w:cs="Arial" w:eastAsia="Arial" w:hAnsi="Arial"/>
                <w:sz w:val="23"/>
                <w:szCs w:val="23"/>
                <w:b w:val="1"/>
                <w:bCs w:val="1"/>
                <w:color w:val="auto"/>
                <w:vertAlign w:val="superscript"/>
              </w:rPr>
              <w:t>1</w:t>
            </w:r>
          </w:p>
        </w:tc>
        <w:tc>
          <w:tcPr>
            <w:tcW w:w="8900" w:type="dxa"/>
            <w:vAlign w:val="bottom"/>
          </w:tcPr>
          <w:p>
            <w:pPr>
              <w:ind w:left="520"/>
              <w:spacing w:after="0"/>
              <w:rPr>
                <w:sz w:val="20"/>
                <w:szCs w:val="20"/>
                <w:color w:val="auto"/>
              </w:rPr>
            </w:pPr>
            <w:r>
              <w:rPr>
                <w:rFonts w:ascii="Arial" w:cs="Arial" w:eastAsia="Arial" w:hAnsi="Arial"/>
                <w:sz w:val="18"/>
                <w:szCs w:val="18"/>
                <w:color w:val="auto"/>
              </w:rPr>
              <w:t>INCAGN1876 (GITR), INCAGN2385 (LAG-3), INCAGN2390 (TIM-3), INCA00186 (CD73)</w:t>
            </w:r>
          </w:p>
        </w:tc>
      </w:tr>
      <w:tr>
        <w:trPr>
          <w:trHeight w:val="270"/>
        </w:trPr>
        <w:tc>
          <w:tcPr>
            <w:tcW w:w="2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Bispecific antibodies</w:t>
            </w:r>
          </w:p>
        </w:tc>
        <w:tc>
          <w:tcPr>
            <w:tcW w:w="89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INCA32459 (LAG-3xPD-1)</w:t>
            </w:r>
            <w:r>
              <w:rPr>
                <w:rFonts w:ascii="Arial" w:cs="Arial" w:eastAsia="Arial" w:hAnsi="Arial"/>
                <w:sz w:val="23"/>
                <w:szCs w:val="23"/>
                <w:color w:val="auto"/>
                <w:vertAlign w:val="superscript"/>
              </w:rPr>
              <w:t>2</w:t>
            </w:r>
          </w:p>
        </w:tc>
      </w:tr>
    </w:tbl>
    <w:p>
      <w:pPr>
        <w:spacing w:after="0" w:line="60"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Discovery collaboration with Agenus Inc.</w:t>
      </w:r>
    </w:p>
    <w:p>
      <w:pPr>
        <w:spacing w:after="0" w:line="1" w:lineRule="exact"/>
        <w:rPr>
          <w:rFonts w:ascii="Arial" w:cs="Arial" w:eastAsia="Arial" w:hAnsi="Arial"/>
          <w:sz w:val="23"/>
          <w:szCs w:val="23"/>
          <w:color w:val="auto"/>
          <w:vertAlign w:val="superscript"/>
        </w:rPr>
      </w:pPr>
    </w:p>
    <w:p>
      <w:pPr>
        <w:ind w:left="160" w:hanging="152"/>
        <w:spacing w:after="0" w:line="194" w:lineRule="auto"/>
        <w:tabs>
          <w:tab w:leader="none" w:pos="16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Development collaboration with Merus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Inflammation and AutoImmunity (IAI)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Incyte Dermatology launched its first approved product, OPZELURA (ruxolitinib) cream, in October 2021, following FDA approval in September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Incyte’s IAI efforts also include numerous clinical development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OPZELURA (ruxolitinib) cream</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Atopic Dermatitis. </w:t>
      </w:r>
      <w:r>
        <w:rPr>
          <w:rFonts w:ascii="Arial" w:cs="Arial" w:eastAsia="Arial" w:hAnsi="Arial"/>
          <w:sz w:val="18"/>
          <w:szCs w:val="18"/>
          <w:color w:val="auto"/>
        </w:rPr>
        <w:t>In September 2021, we announced that the FDA approved OPZELURA (ruxolitinib) cream, a novel cream formulation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Incyte’s selective JAK1/JAK2 inhibitor ruxolitinib, for the topical short-term and non-continuous chronic treatment of mild to moderate atopic dermatitis (AD) in non-immunocompromised patients 12 years of age and older whose disease is not adequately controlled with topical prescription therapies, or when those therapies are not advisable.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 is a skin disorder that causes long term inflammation of the skin resulting in itchy, red, swollen and cracked skin. Onset can occur at any age, but is more common in infants and children. In the United States, we estimate that there are approximately 10 million diagnosed adolescent and adult patients with AD.</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approval of OPZELURA was based on data from two randomized, double-blind, vehicle-controlled Phase III studies (TRuE-AD1 and TRuE-AD 2) evaluating the safety and efficacy of OPZELURA in adolescents and adults with mild to moderate AD. Significantly more patients treated with OPZELURA achieved Investigator’s Global Assessment (IGA) Treatment Success at Week 8 (defined as an IGA score of 0 or 1 with at least a 2-point improvement from baseline, the primary endpoint: 53.8% in TRuE-AD1 and 51.3% in TRuE-AD2, compared to vehicle (15.1% in TRuE-AD1, 7.6% in TRuE-AD2; P&lt;0.0001). Significantly more patients treated with OPZELURA experienced a clinically meaningful reduction in itch from baseline at Week 8, as measured by a ≥4-point reduction in the itch Numerical Rating Scale (itch NRS4): 52.2% in TRuE-AD1 and 50.7% in TRuE-AD2, compared to vehicle (15.4% in TRuE-AD1, 16.3% in TRuE-AD2; P&lt;0.0001), among patients with an NRS score of at least 4 at baseline. The most common (≥1%) treatment-emergent adverse reactions in patients treated with OPZELURA were nasopharyngitis, diarrhea, bronchitis, ear infection, eosinophil count increased, urticaria, folliculitis, tonsillitis and rhinorrhea.</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Vitiligo. </w:t>
      </w:r>
      <w:r>
        <w:rPr>
          <w:rFonts w:ascii="Arial" w:cs="Arial" w:eastAsia="Arial" w:hAnsi="Arial"/>
          <w:sz w:val="16"/>
          <w:szCs w:val="16"/>
          <w:color w:val="auto"/>
        </w:rPr>
        <w:t>In July 2022, we announced that the FDA approved OPZELURA for the topical treatment of nonsegmental vitiligo in adult and pediatric</w:t>
      </w:r>
      <w:r>
        <w:rPr>
          <w:rFonts w:ascii="Arial" w:cs="Arial" w:eastAsia="Arial" w:hAnsi="Arial"/>
          <w:sz w:val="16"/>
          <w:szCs w:val="16"/>
          <w:i w:val="1"/>
          <w:iCs w:val="1"/>
          <w:color w:val="auto"/>
        </w:rPr>
        <w:t xml:space="preserve"> </w:t>
      </w:r>
      <w:r>
        <w:rPr>
          <w:rFonts w:ascii="Arial" w:cs="Arial" w:eastAsia="Arial" w:hAnsi="Arial"/>
          <w:sz w:val="16"/>
          <w:szCs w:val="16"/>
          <w:color w:val="auto"/>
        </w:rPr>
        <w:t>patients 12 years of age and older. OPZELURA was approved for continuous use and no limits to duration as a treatment for nonsegmental vitiligo.</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Vitiligo is a chronic autoimmune depigmenting skin disease characterized by patches of the skin losing their pigment. It is estimated that there are at least 1.5 million patients diagnosed with vitiligo in the United States, with the majority of patients (approximately 85%) suffering from nonsegmental vitiligo. OPZELURA is the first and only FDA approved treatment for repigmentation of vitiligo lesions.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approval of OPZELURA in vitiligo was based on two randomized, double-blind, vehicle-controlled Phase III studies (TRuE-V1 and TRuE-V2) evaluating the safety and efficacy of OPZELURA in adolescents and adults with nonsegmental vitiligo. Treatment with 1.5% ruxolitinib cream twice daily (BID) resulted in greater improvement versus vehicle for the primary and all key secondary endpoints in both the TRuE-V1 and TRuE-V2 studies. Results, which were consistent across both studies, showed that 29.9% of patients applying ruxolitinib cream achieved &gt;75% improvement from baseline in the facial Vitiligo Area Scoring Index (F-VASI75) at Week 24, the primary endpoint. At Week 52, approximately 50% of patients achieved F-VASI75. The most common (&gt;1%) treatment-emergent adverse reactions in patients treated with OPZELURA were application site acne, application site pruritus, nasopharyngitis, headache, urinary tract infection, application site erythema and pyrexia.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Programs in Dermatology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Ruxolitinib cream</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Ruxolitinib cream is a potent, selective inhibitor of JAK1 and JAK2 that provides the opportunity to directly target diverse pathogenic pathways that underlie certain dermatologic conditions, including atopic dermatitis, vitiligo, chronic hand eczema, lichen planus and lichen sclerosus.</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October 2021, we announced the validation of the MAA for ruxolitinib cream as a potential treatment for adolescents and adults (age ≥12 years) with nonsegmental vitiligo with facial involvement.</w:t>
      </w:r>
    </w:p>
    <w:p>
      <w:pPr>
        <w:spacing w:after="0" w:line="170"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Two Phase 2 trials evaluating ruxolitinib cream in lichen planus and lichen sclerosus are in preparation. Lichen planus is a recurrent inflammatory condition affecting the skin and mucosal surfaces and can result in itchy, purple bumps on the skin. Lichen sclerosus is a chronic inflammatory skin disease most commonly affecting women and can result in painful ulcers and intense itching.</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Povorcitinib</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also developing povorcitinib (formerly INCB54707), which is an oral small molecule selective JAK1 inhibitor. Povorcitinib is undergoing evaluation in patients with hidradenitis suppurativa (HS), a chronic skin condition where lesions develop as a result of inflammation and infection of the sweat glands. In October 2020, initial results from the clinical program were presented and a randomized Phase IIb trial of povorcitinib is underway in patients with HS.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March 2021, we initiated a Phase II trial evaluating povorcitinib in patients with vitiligo. A Phase II trial evaluating povorcitinib in patients with prurigo nodularis is ongoing. In August 2022, we presented results from the Phase II trial of povorcitinib in HS and based on positive results, we plan to initiate a Phase III study in HS.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60" w:type="dxa"/>
            <w:vAlign w:val="bottom"/>
            <w:tcBorders>
              <w:bottom w:val="single" w:sz="8" w:color="auto"/>
            </w:tcBorders>
          </w:tcPr>
          <w:p>
            <w:pPr>
              <w:spacing w:after="0"/>
              <w:rPr>
                <w:sz w:val="20"/>
                <w:szCs w:val="20"/>
                <w:color w:val="auto"/>
              </w:rPr>
            </w:pPr>
          </w:p>
        </w:tc>
        <w:tc>
          <w:tcPr>
            <w:tcW w:w="848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Indication and status</w:t>
            </w:r>
          </w:p>
        </w:tc>
      </w:tr>
      <w:tr>
        <w:trPr>
          <w:trHeight w:val="225"/>
        </w:trPr>
        <w:tc>
          <w:tcPr>
            <w:tcW w:w="27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b w:val="1"/>
                <w:bCs w:val="1"/>
                <w:color w:val="auto"/>
              </w:rPr>
              <w:t>ruxolitinib cream</w:t>
            </w:r>
            <w:r>
              <w:rPr>
                <w:rFonts w:ascii="Arial" w:cs="Arial" w:eastAsia="Arial" w:hAnsi="Arial"/>
                <w:sz w:val="23"/>
                <w:szCs w:val="23"/>
                <w:b w:val="1"/>
                <w:bCs w:val="1"/>
                <w:color w:val="auto"/>
                <w:vertAlign w:val="superscript"/>
              </w:rPr>
              <w:t>1</w:t>
            </w:r>
          </w:p>
        </w:tc>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Atopic dermatitis: Phase III pediatric study (TRuE-AD3)</w:t>
            </w:r>
          </w:p>
        </w:tc>
      </w:tr>
      <w:tr>
        <w:trPr>
          <w:trHeight w:val="241"/>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(JAK1/JAK2)</w:t>
            </w:r>
          </w:p>
        </w:tc>
        <w:tc>
          <w:tcPr>
            <w:tcW w:w="84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Vitiligo: Phase III (TRuE-V1, TRuE-V2); approved by FDA; MAA under review</w:t>
            </w:r>
          </w:p>
        </w:tc>
      </w:tr>
      <w:tr>
        <w:trPr>
          <w:trHeight w:val="225"/>
        </w:trPr>
        <w:tc>
          <w:tcPr>
            <w:tcW w:w="2760" w:type="dxa"/>
            <w:vAlign w:val="bottom"/>
          </w:tcPr>
          <w:p>
            <w:pPr>
              <w:ind w:left="20"/>
              <w:spacing w:after="0"/>
              <w:rPr>
                <w:sz w:val="20"/>
                <w:szCs w:val="20"/>
                <w:color w:val="auto"/>
              </w:rPr>
            </w:pPr>
            <w:r>
              <w:rPr>
                <w:rFonts w:ascii="Arial" w:cs="Arial" w:eastAsia="Arial" w:hAnsi="Arial"/>
                <w:sz w:val="18"/>
                <w:szCs w:val="18"/>
                <w:b w:val="1"/>
                <w:bCs w:val="1"/>
                <w:color w:val="auto"/>
              </w:rPr>
              <w:t>ruxolitinib cream + NB-UVB</w:t>
            </w:r>
          </w:p>
        </w:tc>
        <w:tc>
          <w:tcPr>
            <w:tcW w:w="8480" w:type="dxa"/>
            <w:vAlign w:val="bottom"/>
          </w:tcPr>
          <w:p>
            <w:pPr>
              <w:ind w:left="440"/>
              <w:spacing w:after="0"/>
              <w:rPr>
                <w:sz w:val="20"/>
                <w:szCs w:val="20"/>
                <w:color w:val="auto"/>
              </w:rPr>
            </w:pPr>
            <w:r>
              <w:rPr>
                <w:rFonts w:ascii="Arial" w:cs="Arial" w:eastAsia="Arial" w:hAnsi="Arial"/>
                <w:sz w:val="18"/>
                <w:szCs w:val="18"/>
                <w:color w:val="auto"/>
              </w:rPr>
              <w:t>Vitiligo: Phase II</w:t>
            </w:r>
          </w:p>
        </w:tc>
      </w:tr>
      <w:tr>
        <w:trPr>
          <w:trHeight w:val="234"/>
        </w:trPr>
        <w:tc>
          <w:tcPr>
            <w:tcW w:w="2760" w:type="dxa"/>
            <w:vAlign w:val="bottom"/>
          </w:tcPr>
          <w:p>
            <w:pPr>
              <w:ind w:left="20"/>
              <w:spacing w:after="0"/>
              <w:rPr>
                <w:sz w:val="20"/>
                <w:szCs w:val="20"/>
                <w:color w:val="auto"/>
              </w:rPr>
            </w:pPr>
            <w:r>
              <w:rPr>
                <w:rFonts w:ascii="Arial" w:cs="Arial" w:eastAsia="Arial" w:hAnsi="Arial"/>
                <w:sz w:val="18"/>
                <w:szCs w:val="18"/>
                <w:b w:val="1"/>
                <w:bCs w:val="1"/>
                <w:color w:val="auto"/>
              </w:rPr>
              <w:t>(JAK1/JAK2 + phototherapy)</w:t>
            </w:r>
          </w:p>
        </w:tc>
        <w:tc>
          <w:tcPr>
            <w:tcW w:w="8480" w:type="dxa"/>
            <w:vAlign w:val="bottom"/>
          </w:tcPr>
          <w:p>
            <w:pPr>
              <w:spacing w:after="0"/>
              <w:rPr>
                <w:sz w:val="20"/>
                <w:szCs w:val="20"/>
                <w:color w:val="auto"/>
              </w:rPr>
            </w:pPr>
          </w:p>
        </w:tc>
      </w:tr>
      <w:tr>
        <w:trPr>
          <w:trHeight w:val="27"/>
        </w:trPr>
        <w:tc>
          <w:tcPr>
            <w:tcW w:w="2760" w:type="dxa"/>
            <w:vAlign w:val="bottom"/>
          </w:tcPr>
          <w:p>
            <w:pPr>
              <w:spacing w:after="0"/>
              <w:rPr>
                <w:sz w:val="2"/>
                <w:szCs w:val="2"/>
                <w:color w:val="auto"/>
              </w:rPr>
            </w:pPr>
          </w:p>
        </w:tc>
        <w:tc>
          <w:tcPr>
            <w:tcW w:w="8480" w:type="dxa"/>
            <w:vAlign w:val="bottom"/>
          </w:tcPr>
          <w:p>
            <w:pPr>
              <w:spacing w:after="0"/>
              <w:rPr>
                <w:sz w:val="2"/>
                <w:szCs w:val="2"/>
                <w:color w:val="auto"/>
              </w:rPr>
            </w:pPr>
          </w:p>
        </w:tc>
      </w:tr>
      <w:tr>
        <w:trPr>
          <w:trHeight w:val="229"/>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povorcitinib (JAK1)</w:t>
            </w:r>
          </w:p>
        </w:tc>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Hidradenitis suppurativa: Phase II; Phase III in preparation</w:t>
            </w:r>
          </w:p>
        </w:tc>
      </w:tr>
      <w:tr>
        <w:trPr>
          <w:trHeight w:val="216"/>
        </w:trPr>
        <w:tc>
          <w:tcPr>
            <w:tcW w:w="2760" w:type="dxa"/>
            <w:vAlign w:val="bottom"/>
            <w:shd w:val="clear" w:color="auto" w:fill="CCEEFF"/>
          </w:tcPr>
          <w:p>
            <w:pPr>
              <w:spacing w:after="0"/>
              <w:rPr>
                <w:sz w:val="18"/>
                <w:szCs w:val="18"/>
                <w:color w:val="auto"/>
              </w:rPr>
            </w:pPr>
          </w:p>
        </w:tc>
        <w:tc>
          <w:tcPr>
            <w:tcW w:w="8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Vitiligo: Phase II</w:t>
            </w: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Prurigo nodularis: Phase II</w:t>
            </w:r>
          </w:p>
        </w:tc>
      </w:tr>
      <w:tr>
        <w:trPr>
          <w:trHeight w:val="20"/>
        </w:trPr>
        <w:tc>
          <w:tcPr>
            <w:tcW w:w="2760" w:type="dxa"/>
            <w:vAlign w:val="bottom"/>
            <w:shd w:val="clear" w:color="auto" w:fill="000000"/>
          </w:tcPr>
          <w:p>
            <w:pPr>
              <w:spacing w:after="0" w:line="20" w:lineRule="exact"/>
              <w:rPr>
                <w:sz w:val="1"/>
                <w:szCs w:val="1"/>
                <w:color w:val="auto"/>
              </w:rPr>
            </w:pPr>
          </w:p>
        </w:tc>
        <w:tc>
          <w:tcPr>
            <w:tcW w:w="8480" w:type="dxa"/>
            <w:vAlign w:val="bottom"/>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firstLine="8"/>
        <w:spacing w:after="0" w:line="227" w:lineRule="auto"/>
        <w:tabs>
          <w:tab w:leader="none" w:pos="166"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Novartis’ rights for ruxolitinib outside of the United States under our Collaboration and License Agreement with Novartis do not include topical administration.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Programs in Other IAI</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May 2022, we initiated a Phase II trial evaluating INCB00928 in patients with fibrodysplasia ossificans progressiva (FOP), a disorder in which muscle tissue and connective tissue are gradually replaced by bone. The FDA has granted Fast Track designation and orphan drug designation to INCB00928 as a treatment for patients with FOP.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Indication and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3180" w:val="left"/>
        </w:tabs>
        <w:rPr>
          <w:sz w:val="20"/>
          <w:szCs w:val="20"/>
          <w:color w:val="auto"/>
        </w:rPr>
      </w:pPr>
      <w:r>
        <w:rPr>
          <w:rFonts w:ascii="Arial" w:cs="Arial" w:eastAsia="Arial" w:hAnsi="Arial"/>
          <w:sz w:val="18"/>
          <w:szCs w:val="18"/>
          <w:b w:val="1"/>
          <w:bCs w:val="1"/>
          <w:color w:val="auto"/>
        </w:rPr>
        <w:t>INCB00928 (ALK2)</w:t>
      </w:r>
      <w:r>
        <w:rPr>
          <w:sz w:val="20"/>
          <w:szCs w:val="20"/>
          <w:color w:val="auto"/>
        </w:rPr>
        <w:tab/>
      </w:r>
      <w:r>
        <w:rPr>
          <w:rFonts w:ascii="Arial" w:cs="Arial" w:eastAsia="Arial" w:hAnsi="Arial"/>
          <w:sz w:val="16"/>
          <w:szCs w:val="16"/>
          <w:color w:val="auto"/>
        </w:rPr>
        <w:t>Fibrodysplasia ossificans progressiva: Phase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Collaborative Partnered Programs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described below under “—License Agreements and Business Relationships,” we are eligible for milestone payments and royalties on certain products that we licensed to third parties. These include OLUMIANT (baricitinib), which is licensed to our collaborative partner Eli Lilly and Company, and JAKAVI (ruxolitinib) and TABRECTA (capmatinib), which are licensed to Novartis.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Baricitinib</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 second JAK1 and JAK2 inhibitor, baricitinib, which is subject to our collaboration agreement with Lilly, in which Lilly received exclusive worldwide development and commercialization rights to the compound for inflammatory and autoimmune diseases.</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 xml:space="preserve">Rheumatoid Arthritis. </w:t>
      </w:r>
      <w:r>
        <w:rPr>
          <w:rFonts w:ascii="Arial" w:cs="Arial" w:eastAsia="Arial" w:hAnsi="Arial"/>
          <w:sz w:val="18"/>
          <w:szCs w:val="18"/>
          <w:color w:val="auto"/>
        </w:rPr>
        <w:t>Rheumatoid arthritis is an autoimmune disease characterized by aberrant or abnormal immune mechanisms that lead to joint</w:t>
      </w:r>
      <w:r>
        <w:rPr>
          <w:rFonts w:ascii="Arial" w:cs="Arial" w:eastAsia="Arial" w:hAnsi="Arial"/>
          <w:sz w:val="18"/>
          <w:szCs w:val="18"/>
          <w:i w:val="1"/>
          <w:iCs w:val="1"/>
          <w:color w:val="auto"/>
        </w:rPr>
        <w:t xml:space="preserve"> </w:t>
      </w:r>
      <w:r>
        <w:rPr>
          <w:rFonts w:ascii="Arial" w:cs="Arial" w:eastAsia="Arial" w:hAnsi="Arial"/>
          <w:sz w:val="18"/>
          <w:szCs w:val="18"/>
          <w:color w:val="auto"/>
        </w:rPr>
        <w:t>inflammation and swelling and, in some patients, the progressive destruction of joints. Rheumatoid arthritis can also affect connective tissue in the skin and organs of the body.</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Current rheumatoid arthritis treatments include the use of non-steroidal anti-inflammatory drugs, disease-modifying anti-rheumatic drugs, such as methotrexate, and the newer biological response modifiers that target pro-inflammatory cytokines, such as tumor necrosis factor, implicated in the pathogenesis of rheumatoid arthritis. None of these approaches to treatment is curative; therefore, there remains an unmet need for new safe and effective treatment options for these patients. Rheumatoid arthritis is estimated to affect about 1% of the world’s population.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Phase III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III trials met their respective primary endpoints.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2016, Lilly submitted an NDA to the FDA and an MAA to the EMA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the Japanese Ministry of Health, Labour and Welfare (MHLW) granted marketing approval for OLUMIANT 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17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Atopic Dermatitis. </w:t>
      </w:r>
      <w:r>
        <w:rPr>
          <w:rFonts w:ascii="Arial" w:cs="Arial" w:eastAsia="Arial" w:hAnsi="Arial"/>
          <w:sz w:val="16"/>
          <w:szCs w:val="16"/>
          <w:color w:val="auto"/>
        </w:rPr>
        <w:t>Lilly has conducted a Phase IIa trial and a Phase III program to evaluate the safety and efficacy of baricitinib in patients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AD.</w:t>
      </w:r>
    </w:p>
    <w:p>
      <w:pPr>
        <w:spacing w:after="0" w:line="14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February 2019, we and Lilly announced that baricitinib met the primary endpoint in BREEZE-AD1 and BREEZE-AD2, two Phase III studies evaluating the efficacy and safety of baricitinib monotherapy for the treatment of adult patients with moderate-to-severe AD and, in August 2019, we and Lilly announced that baricitinib met the primary endpoint in BREEZE-AD7, a Phase III study evaluating the efficacy and safety of baricitinib in combination with standard-of-care topical corticosteroids in patients with moderate-to-severe AD. In January 2020, we and Lilly announced that baricitinib met the primary endpoint in both BREEZE-AD4 and BREEZE-AD5, the results of which completed the placebo-controlled data program intended to support global registrations. A supplemental New Drug Application (sNDA) for baricitinib was submitted by Lilly for the treatment of patients with moderate to severe AD. In April 2021, we and Lilly announced the FDA extended the review period for the sNDA for baricitinib for the treatment of moderate to severe AD by three months to allow time for additional data analyses. In July 2021, we and Lilly announced that the FDA will not meet the PDUFA action date for the sNDA for baricitinib for the treatment of adults with moderate to severe AD due to the FDA's ongoing assessment of JAK inhibitors. In January 2022, Lilly provided a regulatory update on the sNDA based on ongoing discussions with the FDA. Lilly announced that alignment with the FDA on the indicated population had not yet been reached and given the FDA’s position, there would be the possibility of a Complete Response Letter (CRL).</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2020, Lilly announced that baricitinib had been submitted for regulatory review in Europe as a treatment for patients with moderate-to-severe AD. In October 2020, Lilly announced that the European Commission approved baricitinib as OLUMIANT for the treatment of moderate-to-severe AD in adult patients who are candidates for systemic therapy. In December 2020, baricitinib was approved by the MHLW for the treatment of patients with moderate-to-severe AD.</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Alopecia Areata</w:t>
      </w:r>
      <w:r>
        <w:rPr>
          <w:rFonts w:ascii="Arial" w:cs="Arial" w:eastAsia="Arial" w:hAnsi="Arial"/>
          <w:sz w:val="16"/>
          <w:szCs w:val="16"/>
          <w:color w:val="auto"/>
        </w:rPr>
        <w:t>. Alopecia areata is an autoimmune disorder in which the immune system attacks the hair follicles, causing hair loss in patches. In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2020, Lilly announced that baricitinib received Breakthrough Therapy designation for the treatment of alopecia areata, based on the positive Phase</w:t>
      </w:r>
    </w:p>
    <w:p>
      <w:pPr>
        <w:jc w:val="both"/>
        <w:ind w:firstLine="8"/>
        <w:spacing w:after="0" w:line="268" w:lineRule="auto"/>
        <w:tabs>
          <w:tab w:leader="none" w:pos="1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results of Lilly’s adaptive Phase II/III study BRAVE-AA1. In March 2021, we and Lilly announced positive results from BRAVE-AA2, the Phase III trial evaluating the efficacy and safety of once-daily baricitinib in adults with severe alopecia areata. In April 2021, we and Lilly announced positive results from the Phase III portion of BRAVE-AA1. In September 2021, we and Lilly announced detailed results from BRAVE-AA1 and BRAVE-AA2 at the European Academy of Dermatology and Venereology Congress (EADV). The two studies showed statistically significant improvement in scalp hair regrowth across both baricitinib dosing groups when compared to placebo. In March 2022, we and Lilly announced positive 52 week results from BRAVE-AA1 and BRAVE-AA2 at the American Academy of Dermatology (AAD) annual meeting showing 40% of adults saw at least 80% scalp coverage. In June 2022, the FDA approved 2mg, and 4mg doses of OLUMIANT for the treatment of adults with severe alopecia areata, becoming the first and only systemic treatment in the indication. In June 2022, OLUMIANT was approved as a treatment for alopecia areata in Europe and Japan.</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Systemic Lupus Erythematosus. </w:t>
      </w:r>
      <w:r>
        <w:rPr>
          <w:rFonts w:ascii="Arial" w:cs="Arial" w:eastAsia="Arial" w:hAnsi="Arial"/>
          <w:sz w:val="18"/>
          <w:szCs w:val="18"/>
          <w:color w:val="auto"/>
        </w:rPr>
        <w:t>Systemic lupus erythematosus (SLE) is a chronic disease that causes inflammation. In addition to affecting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skin and joints, it can affect other organs in the body such as the kidneys, the tissue lining the lungs and heart, and the brain. Lilly has conducted a Phase II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January 2022, Lilly announced the discontinuation of the Phase III development program for baricitinib in SLE based on top-line efficacy results from two pivotal Phase III trials (SLE-BRAVE-I and –II). The primary endpoint of SRI-4 response was reached in SLE-BRAVE-I but was not reached in SLE-BRAVE-II and key secondary endpoints were not met in either study.</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COVID-19. </w:t>
      </w:r>
      <w:r>
        <w:rPr>
          <w:rFonts w:ascii="Arial" w:cs="Arial" w:eastAsia="Arial" w:hAnsi="Arial"/>
          <w:sz w:val="18"/>
          <w:szCs w:val="18"/>
          <w:color w:val="auto"/>
        </w:rPr>
        <w:t>In May 2020, we amended our agreement with Lilly to enable Lilly to commercialize baricitinib for the treatment of COVID-19. In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2020, we and Lilly announced that the FDA issued an Emergency Use Authorization (EUA) for the distribution and emergency use of baricitinib to be used in combination with remdesivir in hospitalized adult and pediatric patients two years of age or older with suspected or laboratory confirmed COVID-19 who require supplemental oxygen, invasive mechanical ventilation, or extracorporeal membrane oxygenation. In December 2020, we and Lilly announced that data from ACTT-2 supportive of the EUA were published in the New England Journal of Medicine. In July 2021, we and Lilly announced that the FDA broadened the EUA for baricitinib to allow for treatment with or without remdesivir. The EUA now provides for the use of baricitinib for treatment of COVID-19 in hospitalized adults and pediatric patients two years of age or older requiring supplemental oxygen, non-invasive or invasive mechanical ventilation or extracorporeal membrane oxygenation (ECMO). In June 2022, we and Lilly announced the FDA approved baricitinib as OLUMIANT for the treatment of COVID-19 in hospitalized adults requiring supplemental oxygen, non-invasive or invasive mechanical ventilation, or ECMO.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Capmatinib</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back-up compounds in all indications. Capmatinib is being evaluated in patients with hepatocellular carcinoma, non-small cell lung cancer and other solid tumors, and may have potential utility as a combination agent.</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2020, we and Novartis announced the FDA approval of capmatinib as TABRECTA for the treatment of adult patients with metastatic NSCLC whose tumors have a mutation that leads to MET exon 14 skipping (METex14) as detected by an FDA-approved test. TABRECTA is the first and only treatment approved to specifically target NSCLC with this driver mutation and is approved for first-line and previously treated patients regardless of prior treatment type.</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FDA approval of TABRECTA was based on results from the pivotal GEOMETRY mono-1 study. In the METex14 population (n=97), the confirmed overall response rate was 68% and 41% among treatment-naive (n=28) and previously treated patients (n=69), respectively, based on the Blinded Independent Review Committee (BIRC) assessment per RECIST v1.1. In patients taking TABRECTA, the study also demonstrated a median duration of response of 12.6 months in treatment-naive patients (19 responders) and 9.7 months in previously treated patients (28 responders). The most common treatment-related adverse events (AEs) (incidence ≥20%) are peripheral edema, nausea, fatigue, vomiting, dyspnea, and decreased appetite. In September 2020, we and Novartis announced that GEOMETRY mono-1 results were published in The New England Journal of Medicine.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2020, we and Novartis announced that the MHLW approved TABRECTA for METex14 mutation-positive advanced and/or recurrent unresectable NSCLC. In April 2022, we and Novartis announced a positive opinion from the CHMP based on data from the Phase II GEOMETRY mono-1 study showing an overall response rate (ORR) of 51.6% in a cohort evaluating second-line patients only and 44% in all previously-treated patients with advanced non-small cell lung cancer (NSCLC) harboring alterations leading to MET exon 14 skipping.</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June 2022, we and Novartis announced the European Commission approval of capmatinib as TABRECTA as monotherapy treatment of adults with advanced non-small cell lung cancer (NSCLC) harboring alterations leading to mesenchymal-epithelial-transition factor gene (MET) exon 14 (METex14) skipping who require systemic therapy following prior treatment with immunotherapy and/or platinum-based chemotherapy.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NSCLC is the most common type of lung cancer, impacting more than 2 million people per year globally. Approximately 3-4 percent of all patients with NSCLC have tumors with a mutation that leads to MET exon 14 skipping. Though rare, this mutation is an indicator of especially poor prognosis and poor responses to standard therapies, including immunotherapy.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Ruxolitinib</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Graft-versus-host disease. </w:t>
      </w:r>
      <w:r>
        <w:rPr>
          <w:rFonts w:ascii="Arial" w:cs="Arial" w:eastAsia="Arial" w:hAnsi="Arial"/>
          <w:sz w:val="18"/>
          <w:szCs w:val="18"/>
          <w:color w:val="auto"/>
        </w:rPr>
        <w:t>In March 2022, we and Novartis announced a positive opinion from the CHMP for ruxolitinib in acute and chronic</w:t>
      </w:r>
      <w:r>
        <w:rPr>
          <w:rFonts w:ascii="Arial" w:cs="Arial" w:eastAsia="Arial" w:hAnsi="Arial"/>
          <w:sz w:val="18"/>
          <w:szCs w:val="18"/>
          <w:i w:val="1"/>
          <w:iCs w:val="1"/>
          <w:color w:val="auto"/>
        </w:rPr>
        <w:t xml:space="preserve"> </w:t>
      </w:r>
      <w:r>
        <w:rPr>
          <w:rFonts w:ascii="Arial" w:cs="Arial" w:eastAsia="Arial" w:hAnsi="Arial"/>
          <w:sz w:val="18"/>
          <w:szCs w:val="18"/>
          <w:color w:val="auto"/>
        </w:rPr>
        <w:t>GVHD, based on data from the Phase III REACH2 and REACH3 trials. GVHD is a life-threatening complication of stem cell transplants, with no established standard of care in Europe for patients who do not adequately respond to first-line steroid treatment. In May 2022, we and Novartis announced the EC approval of ruxolitinib as JAKAVI for the treatment of acute or chronic GVHD in patients aged 12 years and older who have inadequate response to corticosteroids or other systemic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00" w:type="dxa"/>
            <w:vAlign w:val="bottom"/>
            <w:tcBorders>
              <w:bottom w:val="single" w:sz="8" w:color="auto"/>
            </w:tcBorders>
          </w:tcPr>
          <w:p>
            <w:pPr>
              <w:spacing w:after="0"/>
              <w:rPr>
                <w:sz w:val="20"/>
                <w:szCs w:val="20"/>
                <w:color w:val="auto"/>
              </w:rPr>
            </w:pPr>
          </w:p>
        </w:tc>
        <w:tc>
          <w:tcPr>
            <w:tcW w:w="864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Indication and status</w:t>
            </w:r>
          </w:p>
        </w:tc>
      </w:tr>
      <w:tr>
        <w:trPr>
          <w:trHeight w:val="229"/>
        </w:trPr>
        <w:tc>
          <w:tcPr>
            <w:tcW w:w="260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b w:val="1"/>
                <w:bCs w:val="1"/>
                <w:color w:val="auto"/>
              </w:rPr>
              <w:t>baricitinib (JAK1/JAK2)</w:t>
            </w:r>
            <w:r>
              <w:rPr>
                <w:rFonts w:ascii="Arial" w:cs="Arial" w:eastAsia="Arial" w:hAnsi="Arial"/>
                <w:sz w:val="23"/>
                <w:szCs w:val="23"/>
                <w:b w:val="1"/>
                <w:bCs w:val="1"/>
                <w:color w:val="auto"/>
                <w:vertAlign w:val="superscript"/>
              </w:rPr>
              <w:t>1</w:t>
            </w:r>
          </w:p>
        </w:tc>
        <w:tc>
          <w:tcPr>
            <w:tcW w:w="86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Atopic dermatitis: Phase III (BREEZE-AD); approved in Europe and Japan</w:t>
            </w:r>
          </w:p>
        </w:tc>
      </w:tr>
      <w:tr>
        <w:trPr>
          <w:trHeight w:val="216"/>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600"/>
              <w:spacing w:after="0"/>
              <w:rPr>
                <w:sz w:val="20"/>
                <w:szCs w:val="20"/>
                <w:color w:val="auto"/>
              </w:rPr>
            </w:pPr>
            <w:r>
              <w:rPr>
                <w:rFonts w:ascii="Arial" w:cs="Arial" w:eastAsia="Arial" w:hAnsi="Arial"/>
                <w:sz w:val="18"/>
                <w:szCs w:val="18"/>
                <w:color w:val="auto"/>
                <w:w w:val="94"/>
              </w:rPr>
              <w:t>Severe alopecia areata: Phase III (BRAVE-AA1, BRAVE-AA2); approved in the United States, Europe and</w:t>
            </w:r>
          </w:p>
        </w:tc>
      </w:tr>
      <w:tr>
        <w:trPr>
          <w:trHeight w:val="237"/>
        </w:trPr>
        <w:tc>
          <w:tcPr>
            <w:tcW w:w="2600" w:type="dxa"/>
            <w:vAlign w:val="bottom"/>
            <w:tcBorders>
              <w:bottom w:val="single" w:sz="8" w:color="CCEEFF"/>
            </w:tcBorders>
            <w:shd w:val="clear" w:color="auto" w:fill="CCEEFF"/>
          </w:tcPr>
          <w:p>
            <w:pPr>
              <w:spacing w:after="0"/>
              <w:rPr>
                <w:sz w:val="20"/>
                <w:szCs w:val="20"/>
                <w:color w:val="auto"/>
              </w:rPr>
            </w:pPr>
          </w:p>
        </w:tc>
        <w:tc>
          <w:tcPr>
            <w:tcW w:w="8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Japan</w:t>
            </w:r>
          </w:p>
        </w:tc>
      </w:tr>
      <w:tr>
        <w:trPr>
          <w:trHeight w:val="270"/>
        </w:trPr>
        <w:tc>
          <w:tcPr>
            <w:tcW w:w="2600" w:type="dxa"/>
            <w:vAlign w:val="bottom"/>
          </w:tcPr>
          <w:p>
            <w:pPr>
              <w:ind w:left="20"/>
              <w:spacing w:after="0"/>
              <w:rPr>
                <w:sz w:val="20"/>
                <w:szCs w:val="20"/>
                <w:color w:val="auto"/>
              </w:rPr>
            </w:pPr>
            <w:r>
              <w:rPr>
                <w:rFonts w:ascii="Arial" w:cs="Arial" w:eastAsia="Arial" w:hAnsi="Arial"/>
                <w:sz w:val="18"/>
                <w:szCs w:val="18"/>
                <w:b w:val="1"/>
                <w:bCs w:val="1"/>
                <w:color w:val="auto"/>
              </w:rPr>
              <w:t>capmatinib (MET)</w:t>
            </w:r>
            <w:r>
              <w:rPr>
                <w:rFonts w:ascii="Arial" w:cs="Arial" w:eastAsia="Arial" w:hAnsi="Arial"/>
                <w:sz w:val="23"/>
                <w:szCs w:val="23"/>
                <w:b w:val="1"/>
                <w:bCs w:val="1"/>
                <w:color w:val="auto"/>
                <w:vertAlign w:val="superscript"/>
              </w:rPr>
              <w:t>2</w:t>
            </w:r>
          </w:p>
        </w:tc>
        <w:tc>
          <w:tcPr>
            <w:tcW w:w="8640" w:type="dxa"/>
            <w:vAlign w:val="bottom"/>
          </w:tcPr>
          <w:p>
            <w:pPr>
              <w:ind w:left="600"/>
              <w:spacing w:after="0"/>
              <w:rPr>
                <w:sz w:val="20"/>
                <w:szCs w:val="20"/>
                <w:color w:val="auto"/>
              </w:rPr>
            </w:pPr>
            <w:r>
              <w:rPr>
                <w:rFonts w:ascii="Arial" w:cs="Arial" w:eastAsia="Arial" w:hAnsi="Arial"/>
                <w:sz w:val="18"/>
                <w:szCs w:val="18"/>
                <w:color w:val="auto"/>
              </w:rPr>
              <w:t>NSCLC (with MET exon 14 skipping mutations): approved in the United States, Europe and Japan</w:t>
            </w:r>
          </w:p>
        </w:tc>
      </w:tr>
      <w:tr>
        <w:trPr>
          <w:trHeight w:val="270"/>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ruxolitinib (JAK1/JAK2)</w:t>
            </w:r>
            <w:r>
              <w:rPr>
                <w:rFonts w:ascii="Arial" w:cs="Arial" w:eastAsia="Arial" w:hAnsi="Arial"/>
                <w:sz w:val="23"/>
                <w:szCs w:val="23"/>
                <w:b w:val="1"/>
                <w:bCs w:val="1"/>
                <w:color w:val="auto"/>
                <w:vertAlign w:val="superscript"/>
              </w:rPr>
              <w:t>3</w:t>
            </w:r>
          </w:p>
        </w:tc>
        <w:tc>
          <w:tcPr>
            <w:tcW w:w="864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Acute and chronic GVHD: approved in Europe; J-NDA under review</w:t>
            </w:r>
          </w:p>
        </w:tc>
      </w:tr>
    </w:tbl>
    <w:p>
      <w:pPr>
        <w:spacing w:after="0" w:line="60" w:lineRule="exact"/>
        <w:rPr>
          <w:sz w:val="20"/>
          <w:szCs w:val="20"/>
          <w:color w:val="auto"/>
        </w:rPr>
      </w:pPr>
    </w:p>
    <w:p>
      <w:pPr>
        <w:ind w:left="160" w:hanging="152"/>
        <w:spacing w:after="0"/>
        <w:tabs>
          <w:tab w:leader="none" w:pos="16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baricitinib licensed to Lilly.</w:t>
      </w:r>
    </w:p>
    <w:p>
      <w:pPr>
        <w:spacing w:after="0" w:line="1" w:lineRule="exact"/>
        <w:rPr>
          <w:rFonts w:ascii="Arial" w:cs="Arial" w:eastAsia="Arial" w:hAnsi="Arial"/>
          <w:sz w:val="23"/>
          <w:szCs w:val="23"/>
          <w:color w:val="auto"/>
          <w:vertAlign w:val="superscript"/>
        </w:rPr>
      </w:pPr>
    </w:p>
    <w:p>
      <w:pPr>
        <w:ind w:left="160" w:hanging="152"/>
        <w:spacing w:after="0" w:line="194" w:lineRule="auto"/>
        <w:tabs>
          <w:tab w:leader="none" w:pos="16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capmatinib licensed to Novartis.</w:t>
      </w:r>
    </w:p>
    <w:p>
      <w:pPr>
        <w:spacing w:after="0" w:line="2" w:lineRule="exact"/>
        <w:rPr>
          <w:rFonts w:ascii="Arial" w:cs="Arial" w:eastAsia="Arial" w:hAnsi="Arial"/>
          <w:sz w:val="23"/>
          <w:szCs w:val="23"/>
          <w:color w:val="auto"/>
          <w:vertAlign w:val="superscript"/>
        </w:rPr>
      </w:pPr>
    </w:p>
    <w:p>
      <w:pPr>
        <w:ind w:left="160" w:hanging="152"/>
        <w:spacing w:after="0" w:line="194" w:lineRule="auto"/>
        <w:tabs>
          <w:tab w:leader="none" w:pos="16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ruxolitinib licensed to Novartis ex-US for use in hematology and oncology excluding topical administration.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Business Relationships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 Additional information regarding our collaboration agreements, including their financial and accounting impact on our business and results of operations, can be found in Note 7 of notes to the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Out-License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November 2009, we entered into a Collaboration and License Agreement with Novartis. Under the terms of the agreement, Novartis received exclusive development and commercialization rights outside of the United States to ruxolitinib and certain back 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 up compounds in all indications. We retained options to co-develop and to co-promote capmatinib in the United States. In April 2016, we amended this agreement to provide that Novartis has exclusive research, development and commercialization rights outside of the United States to ruxolitinib (excluding topical formulations) in the GVHD field.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Lilly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 up compounds for inflammatory and autoimmune diseases. In March 2016, we entered into an amendment to the agreement with Lilly that allows us to engage in the development and commercialization of ruxolitinib in the GVHD field. In May 2020, we amended our agreement with Lilly to enable Lilly to commercialize baricitinib for the treatment of COVID-19.</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December 2018, we entered into a Research Collaboration and Licensing Agreement with Innovent Biologics, Inc. Under the terms of this agreement, Innovent received exclusive development and commercialization rights to pemigatinib and our clinical-stage product candidates itacitinib and parsaclisib in hematology and oncology indications in mainland China, Hong Kong, Macau and Taiwan.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Zai Lab</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July 2019, we entered into a Collaboration and License Agreement with a subsidiary of Zai Lab Limited. Under the terms of this agreement, Zai Lab’s subsidiary received development and exclusive commercialization rights to retifanlimab in hematology and oncology in mainland China, Hong Kong, Macau and Taiwan. We retained an option to assist in the promotion of retifanlimab in Zai Lab’s licensed territories.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InnoCare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August 2021, we entered into a Collaboration and License Agreement with a subsidiary of InnoCare Pharma Limited. Under the terms of this agreement, InnoCare’s subsidiary received development and exclusive commercialization rights to tafasitamab in hematology and oncology in mainland China, Hong Kong, Macau and Taiwan.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Maruho</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April 2022, we entered into a Strategic Alliance Agreement with Maruho Co., Ltd. Under the terms of this agreement, Maruho received development, manufacturing and exclusive commercialization rights to ruxolitinib cream, and other potential future topical formulations of ruxolitinib, in autoimmune and inflammatory dermatologic diseases in Japan.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In-License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 Under the terms of this agreement, as amended in February 2017, we received exclusive worldwide development and commercialization rights to four checkpoint modulators directed against GITR, OX40, LAG-3 and TIM-3. In addition to the initial four program targets, we and Agenus have the option to jointly nominate and pursue additional targets within the framework of the collaboration, and in November 2015, three more targets were added, two of which were removed from the collaboration under the February 2017 amendments.</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Takeda (ARIAD)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2016, we acquired from ARIAD Pharmaceuticals, Inc. all of the outstanding shares of ARIAD Pharmaceuticals (Luxembourg) S.à.r.l., the parent company of ARIAD’s European subsidiaries responsible for the development and commercialization of ICLUSIG in the European Union and other countries. We obtained an exclusive license to develop and commercialize ICLUSIG in Europe and other select countries. ARIAD was subsequently acquired by Takeda Pharmaceutical Company Limited in 2017.</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December 2016, we entered into a Collaboration and License Agreement with Merus N.V.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January 2022, we decided to opt-out of the continued development of MCLA-145, a bispecific antibody targeting PD-L1 and CD137. We continue to collaborate with Merus and leverage the Merus platform to develop a pipeline of novel agents, as we continue to hold worldwide exclusive development and commercialization rights to up to ten additional programs.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January 2017, we entered into a Collaboration and License Agreement with Calithera Biosciences, Inc. Under this agreement, we received an exclusive, worldwide license to develop and commercialize small molecule arginase inhibitors, including INCB01158 (CB-1158), which is currently in Phase II clinical trials, for multiple myeloma. In September 2022, we notified Calithera of our exercise of our right to terminate the Collaboration and License Agreement for convenience, effective in December 2022. As a result of the termination, rights to INCB01158 and the other licensed products will revert to Calithera.</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MacroGenics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MacroGenics has retained the right to develop and commercialize, at its cost and expense, its pipeline assets in combination with INCMGA0012.</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Syros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MorphoSys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January 2020, we entered into a Collaboration and License Agreement with MorphoSys AG and MorphoSys US Inc., a wholly-owned subsidiary of MorphoSys AG, covering the worldwide development and commercialization of MOR208 (tafasitamab), an investigational Fc engineered monoclonal antibody directed against the target molecule CD19. Under the terms of this agreement, we received exclusive commercialization rights outside of the United States, and MorphoSys and we have co-commercialization rights in the United States, with respect to tafasitamab.</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Syndax</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September 2021, we entered into a Collaboration and License Agreement with Syndax covering the worldwide development and commercialization of SNDX-6352 (axatilimab), Syndax’s anti-CSF-1R monoclonal antibody. In March 2021, axatilimab was granted Orphan Drug Designation by the FDA for the treatment of chronic GVHD and a second designation in April 2021 for treatment of idiopathic pulmonary fibrosis. Under the terms of this agreement, we received exclusive commercialization rights outside of the United States, and Syndax has co-commercialization rights in the United States with respect to axatilimab.</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December 2019, coronavirus disease of 2019, or COVID-19, was first reported in Wuhan, China. In March 2020, the World Health Organization declared COVID-19 a pandemic. We and our collaboration partners Lilly and Novartis initiated a number of clinical trials to address COVID-19.</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2020, we announced the initiation of a Phase III clinical trial (RUXCOVID) to evaluate the efficacy and safety of ruxolitinib plus standard-of-care (SoC), compared to SoC therapy alone, in patients not on mechanical ventilation and who have COVID-19 associated cytokine storm. We sponsored this collaborative study in the United States and our collaboration partner Novartis International Pharmaceutical Ltd. sponsored the study outside of the United States.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December 2020, we announced initial results from RUXCOVID, where treatment with ruxolitinib plus SoC did not prevent complications compared to SoC treatment alone in patients with COVID-19 associated cytokine storm.</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2021, results from a second Phase III clinical trial to evaluate the efficacy and safety of ruxolitinib plus SoC, compared to SoC therapy alone, in COVID-19 patients on mechanical ventilation and who have acute respiratory distress syndrome (ARDS), a type of respiratory failure characterized by rapid onset of widespread inflammation in the lungs were announced. Ruxolitinib failed to reduce mortality due to any cause through Day 29 although in the U.S. study population (91% of total study patients), there was a clinically and statistically significant improvement in mortality in each of the 5mg and 15mg ruxolitinib arms.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2020, Lilly announced that it has entered into an agreement with the National Institute of Allergy and Infectious Diseases (NIAID), part of the National Institutes of Health, to study baricitinib as an arm in NIAID's Adaptive COVID-19 Treatment Trial (ACTT-2). The study is investigating the efficacy and safety of baricitinib as a potential treatment for hospitalized patients diagnosed with COVID-19 in the United States, and Lilly is also planning an expansion to include Europe and Asia.</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September 2020, we and Lilly announced initial results from ACTT-2, where baricitinib in combination with remdesivir reduced the time to recovery in comparison with remdesivir alone. Additional data announced in October 2020 showed that baricitinib plus remdesivir resulted in a numerical decrease in mortality through Day 29 compared to remdesivir alone, with a more pronounced reduction seen in more severely ill patients.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November 2020, we and Lilly announced that the FDA issued an Emergency Use Authorization (EUA) for the distribution and emergency use of baricitinib to be used in combination with remdesivir in hospitalized adult and pediatric patients two years of age or older with suspected or laboratory confirmed COVID-19 who require supplemental oxygen, invasive mechanical ventilation, or extracorporeal membrane oxygenation. In December 2020, we and Lilly announced that data from ACTT-2 supportive of the EUA were published in the New England Journal of Medicine. In July 2021, we and Lilly announced that the FDA broadened the EUA for baricitinib to allow for treatment with or without remdesivir. The EUA now provides for the use of baricitinib for treatment of COVID-19 in hospitalized adults and pediatric patients two years of age or older requiring supplemental oxygen, non-invasive or invasive mechanical ventilation or extracorporeal membrane oxygenation (ECMO).</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April 2021, we and Lilly announced that the primary endpoint was not met in COV-BARRIER, the Phase III randomized, double-blind, placebo–controlled study to evaluate the efficacy and safety of baricitinib in hospitalized adults not on mechanical ventilation and who have COVID-19. There was, however, a 38% reduction in mortality by Day 28 in patients treated with baricitinib in addition to SoC. In August 2021, we and Lilly announced new data from an additional cohort of 101 adult patients from the COV-BARRIER trial. In this sub-study, patients with COVID-19 on mechanical ventilation or ECMO who received baricitinib plus standard of care were 46% less likely to die by Day 28 compared to patients who received placebo plus standard of care.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a discussion of our critical accounting policies, refer to “Item 7. Management’s Discussion and Analysis of Financial Condition and Results of Operations” in our 2021 Form 10-K. There have been no significant changes to our critical accounting policies or estimates during the nine months ended September 30,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new accounting pronouncements issued nor adopted since our filing of the Annual Report on Form 10-K for the year ended December 31, 2021, which could have a significant effect on our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recorded net income of $112.8 million and basic net income per share of $0.51 and diluted net income per share of $0.50 for the three months ended September 30, 2022, as compared to net income of $181.7 million and basic and diluted net income per share of $0.82 in the corresponding period in 2021. We recorded net income of $312.2 million and basic net income per share of $1.41 and diluted net income per share of $1.40 for the nine months ended September 30, 2022, as compared to net income of $384.7 million and basic net income per share of $1.75 and diluted net income per share of $1.73 in the corresponding period in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500" w:type="dxa"/>
            <w:vAlign w:val="bottom"/>
            <w:gridSpan w:val="4"/>
          </w:tcPr>
          <w:p>
            <w:pPr>
              <w:jc w:val="center"/>
              <w:ind w:left="459"/>
              <w:spacing w:after="0"/>
              <w:rPr>
                <w:sz w:val="20"/>
                <w:szCs w:val="20"/>
                <w:color w:val="auto"/>
              </w:rPr>
            </w:pPr>
            <w:r>
              <w:rPr>
                <w:rFonts w:ascii="Arial" w:cs="Arial" w:eastAsia="Arial" w:hAnsi="Arial"/>
                <w:sz w:val="14"/>
                <w:szCs w:val="14"/>
                <w:b w:val="1"/>
                <w:bCs w:val="1"/>
                <w:color w:val="auto"/>
                <w:w w:val="95"/>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center"/>
              <w:ind w:left="475"/>
              <w:spacing w:after="0"/>
              <w:rPr>
                <w:sz w:val="20"/>
                <w:szCs w:val="20"/>
                <w:color w:val="auto"/>
              </w:rPr>
            </w:pPr>
            <w:r>
              <w:rPr>
                <w:rFonts w:ascii="Arial" w:cs="Arial" w:eastAsia="Arial" w:hAnsi="Arial"/>
                <w:sz w:val="14"/>
                <w:szCs w:val="14"/>
                <w:b w:val="1"/>
                <w:bCs w:val="1"/>
                <w:color w:val="auto"/>
                <w:w w:val="93"/>
              </w:rPr>
              <w:t>Nine Months Ended</w:t>
            </w:r>
          </w:p>
        </w:tc>
        <w:tc>
          <w:tcPr>
            <w:tcW w:w="900" w:type="dxa"/>
            <w:vAlign w:val="bottom"/>
          </w:tcPr>
          <w:p>
            <w:pPr>
              <w:spacing w:after="0"/>
              <w:rPr>
                <w:sz w:val="14"/>
                <w:szCs w:val="14"/>
                <w:color w:val="auto"/>
              </w:rPr>
            </w:pPr>
          </w:p>
        </w:tc>
      </w:tr>
      <w:tr>
        <w:trPr>
          <w:trHeight w:val="186"/>
        </w:trPr>
        <w:tc>
          <w:tcPr>
            <w:tcW w:w="5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gridSpan w:val="3"/>
          </w:tcPr>
          <w:p>
            <w:pPr>
              <w:jc w:val="center"/>
              <w:ind w:right="316"/>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Pr>
          <w:p>
            <w:pPr>
              <w:spacing w:after="0"/>
              <w:rPr>
                <w:sz w:val="16"/>
                <w:szCs w:val="16"/>
                <w:color w:val="auto"/>
              </w:rPr>
            </w:pPr>
          </w:p>
        </w:tc>
      </w:tr>
      <w:tr>
        <w:trPr>
          <w:trHeight w:val="26"/>
        </w:trPr>
        <w:tc>
          <w:tcPr>
            <w:tcW w:w="5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50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1"/>
              <w:spacing w:after="0"/>
              <w:rPr>
                <w:sz w:val="20"/>
                <w:szCs w:val="20"/>
                <w:color w:val="auto"/>
              </w:rPr>
            </w:pPr>
            <w:r>
              <w:rPr>
                <w:rFonts w:ascii="Arial" w:cs="Arial" w:eastAsia="Arial" w:hAnsi="Arial"/>
                <w:sz w:val="14"/>
                <w:szCs w:val="14"/>
                <w:b w:val="1"/>
                <w:bCs w:val="1"/>
                <w:color w:val="auto"/>
                <w:w w:val="89"/>
              </w:rPr>
              <w:t>2021</w:t>
            </w:r>
          </w:p>
        </w:tc>
      </w:tr>
      <w:tr>
        <w:trPr>
          <w:trHeight w:val="26"/>
        </w:trPr>
        <w:tc>
          <w:tcPr>
            <w:tcW w:w="5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5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gridSpan w:val="3"/>
          </w:tcPr>
          <w:p>
            <w:pPr>
              <w:jc w:val="center"/>
              <w:ind w:right="296"/>
              <w:spacing w:after="0"/>
              <w:rPr>
                <w:sz w:val="20"/>
                <w:szCs w:val="20"/>
                <w:color w:val="auto"/>
              </w:rPr>
            </w:pPr>
            <w:r>
              <w:rPr>
                <w:rFonts w:ascii="Arial" w:cs="Arial" w:eastAsia="Arial" w:hAnsi="Arial"/>
                <w:sz w:val="14"/>
                <w:szCs w:val="14"/>
                <w:b w:val="1"/>
                <w:bCs w:val="1"/>
                <w:color w:val="auto"/>
                <w:w w:val="94"/>
              </w:rPr>
              <w:t>(in millions)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left="475"/>
              <w:spacing w:after="0"/>
              <w:rPr>
                <w:sz w:val="20"/>
                <w:szCs w:val="20"/>
                <w:color w:val="auto"/>
              </w:rPr>
            </w:pPr>
            <w:r>
              <w:rPr>
                <w:rFonts w:ascii="Arial" w:cs="Arial" w:eastAsia="Arial" w:hAnsi="Arial"/>
                <w:sz w:val="14"/>
                <w:szCs w:val="14"/>
                <w:b w:val="1"/>
                <w:bCs w:val="1"/>
                <w:color w:val="auto"/>
                <w:w w:val="94"/>
              </w:rPr>
              <w:t>(in millions)</w:t>
            </w:r>
          </w:p>
        </w:tc>
        <w:tc>
          <w:tcPr>
            <w:tcW w:w="900" w:type="dxa"/>
            <w:vAlign w:val="bottom"/>
          </w:tcPr>
          <w:p>
            <w:pPr>
              <w:spacing w:after="0"/>
              <w:rPr>
                <w:sz w:val="16"/>
                <w:szCs w:val="16"/>
                <w:color w:val="auto"/>
              </w:rPr>
            </w:pPr>
          </w:p>
        </w:tc>
      </w:tr>
      <w:tr>
        <w:trPr>
          <w:trHeight w:val="26"/>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JAKAFI revenues, net</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619.6</w:t>
            </w: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547.4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1,761.7</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1,542.1</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ICLUSIG revenues, net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82.4</w:t>
            </w:r>
          </w:p>
        </w:tc>
      </w:tr>
      <w:tr>
        <w:trPr>
          <w:trHeight w:val="26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PEMAZYRE revenues, net</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MINJUVI revenues, net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5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OPZELURA revenues, net</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tcPr>
          <w:p>
            <w:pPr>
              <w:ind w:left="180"/>
              <w:spacing w:after="0"/>
              <w:rPr>
                <w:sz w:val="20"/>
                <w:szCs w:val="20"/>
                <w:color w:val="auto"/>
              </w:rPr>
            </w:pPr>
            <w:r>
              <w:rPr>
                <w:rFonts w:ascii="Arial" w:cs="Arial" w:eastAsia="Arial" w:hAnsi="Arial"/>
                <w:sz w:val="18"/>
                <w:szCs w:val="18"/>
                <w:color w:val="auto"/>
              </w:rPr>
              <w:t>Total product revenues, net</w:t>
            </w:r>
          </w:p>
        </w:tc>
        <w:tc>
          <w:tcPr>
            <w:tcW w:w="9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713.0</w:t>
            </w:r>
          </w:p>
        </w:tc>
        <w:tc>
          <w:tcPr>
            <w:tcW w:w="8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594.0</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1,982.6</w:t>
            </w:r>
          </w:p>
        </w:tc>
        <w:tc>
          <w:tcPr>
            <w:tcW w:w="10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1,673.9</w:t>
            </w:r>
          </w:p>
        </w:tc>
      </w:tr>
      <w:tr>
        <w:trPr>
          <w:trHeight w:val="26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JAKAVI product royalty revenues</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OLUMIANT product royalty revenues</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154.9</w:t>
            </w:r>
          </w:p>
        </w:tc>
      </w:tr>
      <w:tr>
        <w:trPr>
          <w:trHeight w:val="25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TABRECTA product royalty revenues</w:t>
            </w: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50"/>
        </w:trPr>
        <w:tc>
          <w:tcPr>
            <w:tcW w:w="5040" w:type="dxa"/>
            <w:vAlign w:val="bottom"/>
          </w:tcPr>
          <w:p>
            <w:pPr>
              <w:ind w:left="180"/>
              <w:spacing w:after="0"/>
              <w:rPr>
                <w:sz w:val="20"/>
                <w:szCs w:val="20"/>
                <w:color w:val="auto"/>
              </w:rPr>
            </w:pPr>
            <w:r>
              <w:rPr>
                <w:rFonts w:ascii="Arial" w:cs="Arial" w:eastAsia="Arial" w:hAnsi="Arial"/>
                <w:sz w:val="18"/>
                <w:szCs w:val="18"/>
                <w:color w:val="auto"/>
              </w:rPr>
              <w:t>Total product royalty revenues</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110.3</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184.0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404.5</w:t>
            </w:r>
          </w:p>
        </w:tc>
      </w:tr>
      <w:tr>
        <w:trPr>
          <w:trHeight w:val="25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Milestone and contract revenues</w:t>
            </w:r>
          </w:p>
        </w:tc>
        <w:tc>
          <w:tcPr>
            <w:tcW w:w="9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56"/>
        </w:trPr>
        <w:tc>
          <w:tcPr>
            <w:tcW w:w="504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823.3</w:t>
            </w:r>
          </w:p>
        </w:tc>
        <w:tc>
          <w:tcPr>
            <w:tcW w:w="8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813.0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2,467.9</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2,123.4</w:t>
            </w:r>
          </w:p>
        </w:tc>
      </w:tr>
      <w:tr>
        <w:trPr>
          <w:trHeight w:val="21"/>
        </w:trPr>
        <w:tc>
          <w:tcPr>
            <w:tcW w:w="5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increase in JAKAFI product revenues for the three months ended September 30, 2022 as compared to the corresponding period in 2021 was comprised of a volume increase of $30.9 million and a price increase of $41.3 million. The increase in JAKAFI product revenues for the nine months ended September 30, 2022 as compared to the corresponding period in 2021 was comprised of a volume increase of $125.7 million and a price increase of $93.9 million. Additionally, our product revenues may fluctuate from quarter to quarter due to our customers’ purchasing patterns over the course of the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summary of activity with respect to our sales allowances and accruals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Co-Pay</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Discounts and</w:t>
            </w:r>
          </w:p>
        </w:tc>
        <w:tc>
          <w:tcPr>
            <w:tcW w:w="2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Government</w:t>
            </w:r>
          </w:p>
        </w:tc>
        <w:tc>
          <w:tcPr>
            <w:tcW w:w="24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Assistance</w:t>
            </w:r>
          </w:p>
        </w:tc>
        <w:tc>
          <w:tcPr>
            <w:tcW w:w="260" w:type="dxa"/>
            <w:vAlign w:val="bottom"/>
          </w:tcPr>
          <w:p>
            <w:pPr>
              <w:spacing w:after="0"/>
              <w:rPr>
                <w:sz w:val="15"/>
                <w:szCs w:val="15"/>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Product</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Distribution</w:t>
            </w:r>
          </w:p>
        </w:tc>
        <w:tc>
          <w:tcPr>
            <w:tcW w:w="20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Rebates and</w:t>
            </w: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and Other</w:t>
            </w: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080" w:type="dxa"/>
            <w:vAlign w:val="bottom"/>
          </w:tcPr>
          <w:p>
            <w:pPr>
              <w:ind w:left="20"/>
              <w:spacing w:after="0"/>
              <w:rPr>
                <w:sz w:val="20"/>
                <w:szCs w:val="20"/>
                <w:color w:val="auto"/>
              </w:rPr>
            </w:pPr>
            <w:r>
              <w:rPr>
                <w:rFonts w:ascii="Arial" w:cs="Arial" w:eastAsia="Arial" w:hAnsi="Arial"/>
                <w:sz w:val="14"/>
                <w:szCs w:val="14"/>
                <w:b w:val="1"/>
                <w:bCs w:val="1"/>
                <w:color w:val="auto"/>
              </w:rPr>
              <w:t>Nine Months Ended September 30, 2022</w:t>
            </w: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Fees</w:t>
            </w:r>
          </w:p>
        </w:tc>
        <w:tc>
          <w:tcPr>
            <w:tcW w:w="20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Chargebacks</w:t>
            </w:r>
          </w:p>
        </w:tc>
        <w:tc>
          <w:tcPr>
            <w:tcW w:w="2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Discounts</w:t>
            </w:r>
          </w:p>
        </w:tc>
        <w:tc>
          <w:tcPr>
            <w:tcW w:w="26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Returns</w:t>
            </w:r>
          </w:p>
        </w:tc>
        <w:tc>
          <w:tcPr>
            <w:tcW w:w="320" w:type="dxa"/>
            <w:vAlign w:val="bottom"/>
          </w:tcPr>
          <w:p>
            <w:pPr>
              <w:spacing w:after="0"/>
              <w:rPr>
                <w:sz w:val="17"/>
                <w:szCs w:val="17"/>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4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142,796</w:t>
            </w: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Arial" w:cs="Arial" w:eastAsia="Arial" w:hAnsi="Arial"/>
                <w:sz w:val="18"/>
                <w:szCs w:val="18"/>
                <w:color w:val="auto"/>
              </w:rPr>
              <w:t>Allowances for current period sales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87,898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445,112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214,823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751,609</w:t>
            </w:r>
          </w:p>
        </w:tc>
        <w:tc>
          <w:tcPr>
            <w:tcW w:w="0" w:type="dxa"/>
            <w:vAlign w:val="bottom"/>
          </w:tcPr>
          <w:p>
            <w:pPr>
              <w:spacing w:after="0"/>
              <w:rPr>
                <w:sz w:val="1"/>
                <w:szCs w:val="1"/>
                <w:color w:val="auto"/>
              </w:rPr>
            </w:pPr>
          </w:p>
        </w:tc>
      </w:tr>
      <w:tr>
        <w:trPr>
          <w:trHeight w:val="263"/>
        </w:trPr>
        <w:tc>
          <w:tcPr>
            <w:tcW w:w="4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Allowances for prior period sales</w:t>
            </w: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50"/>
        </w:trPr>
        <w:tc>
          <w:tcPr>
            <w:tcW w:w="4080" w:type="dxa"/>
            <w:vAlign w:val="bottom"/>
          </w:tcPr>
          <w:p>
            <w:pPr>
              <w:ind w:left="260"/>
              <w:spacing w:after="0"/>
              <w:rPr>
                <w:sz w:val="20"/>
                <w:szCs w:val="20"/>
                <w:color w:val="auto"/>
              </w:rPr>
            </w:pPr>
            <w:r>
              <w:rPr>
                <w:rFonts w:ascii="Arial" w:cs="Arial" w:eastAsia="Arial" w:hAnsi="Arial"/>
                <w:sz w:val="18"/>
                <w:szCs w:val="18"/>
                <w:color w:val="auto"/>
              </w:rPr>
              <w:t>Credits/payments for current period sales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(66,388)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(363,943)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(185,780)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(616,111)</w:t>
            </w:r>
          </w:p>
        </w:tc>
        <w:tc>
          <w:tcPr>
            <w:tcW w:w="0" w:type="dxa"/>
            <w:vAlign w:val="bottom"/>
          </w:tcPr>
          <w:p>
            <w:pPr>
              <w:spacing w:after="0"/>
              <w:rPr>
                <w:sz w:val="1"/>
                <w:szCs w:val="1"/>
                <w:color w:val="auto"/>
              </w:rPr>
            </w:pPr>
          </w:p>
        </w:tc>
      </w:tr>
      <w:tr>
        <w:trPr>
          <w:trHeight w:val="257"/>
        </w:trPr>
        <w:tc>
          <w:tcPr>
            <w:tcW w:w="4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Credits/payments for prior period sales</w:t>
            </w: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(12,095)</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(58,696)</w:t>
            </w:r>
          </w:p>
        </w:tc>
        <w:tc>
          <w:tcPr>
            <w:tcW w:w="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(81,250)</w:t>
            </w:r>
          </w:p>
        </w:tc>
        <w:tc>
          <w:tcPr>
            <w:tcW w:w="0" w:type="dxa"/>
            <w:vAlign w:val="bottom"/>
          </w:tcPr>
          <w:p>
            <w:pPr>
              <w:spacing w:after="0"/>
              <w:rPr>
                <w:sz w:val="1"/>
                <w:szCs w:val="1"/>
                <w:color w:val="auto"/>
              </w:rPr>
            </w:pPr>
          </w:p>
        </w:tc>
      </w:tr>
      <w:tr>
        <w:trPr>
          <w:trHeight w:val="256"/>
        </w:trPr>
        <w:tc>
          <w:tcPr>
            <w:tcW w:w="4080" w:type="dxa"/>
            <w:vAlign w:val="bottom"/>
          </w:tcPr>
          <w:p>
            <w:pPr>
              <w:ind w:left="20"/>
              <w:spacing w:after="0"/>
              <w:rPr>
                <w:sz w:val="20"/>
                <w:szCs w:val="20"/>
                <w:color w:val="auto"/>
              </w:rPr>
            </w:pPr>
            <w:r>
              <w:rPr>
                <w:rFonts w:ascii="Arial" w:cs="Arial" w:eastAsia="Arial" w:hAnsi="Arial"/>
                <w:sz w:val="18"/>
                <w:szCs w:val="18"/>
                <w:color w:val="auto"/>
              </w:rPr>
              <w:t>Balance at September 30,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23,999</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119,075</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44,882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194,243</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product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 Claims by third-party payors for rebates and chargebacks are frequently submitted after the period in which the related sales occurred, which may result in adjustments to prior period accrual balances in the period in which the new information becomes available. We also adjust our allowance for product returns based on new information regarding actual returns as it becomes available.</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Product royalty revenues on commercial sales of JAKAVI and TABRECTA by Novartis are based on net sales of licensed products in licensed territories as provided by Novartis. Product royalty revenues on commercial sales of OLUMIANT by Lilly are based on net sales of licensed products in licensed territories as provided by Lilly. The decrease in OLUMIANT product royalty revenues for the nine months ended September 30, 2022 as compared to the corresponding period in 2021 reflects unfavorable changes in foreign currency exchange rates, a decrease in net product sales of OLUMIANT for use as a treatment for COVID-19 and a one-time deduction related to securing intellectual property rights.</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milestone and contract revenues for the nine months ended September 30, 2022, were derived from total regulatory milestones of $60.0 million under the Novartis collaboration and license agreement, regulatory milestones of $70.0 million under the license, development and commercialization agreement with Lilly, and a $5.0 million regulatory milestone under the Innovent research collaboration and licensing agreement. Our milestone and contract revenues for the nine months ended September 30, 2021, were derived from a $10.0 million milestone under the Innovent research collaboration and licensing agreement and a $35.0 million upfront payment under the InnoCare collaboration and license agreement..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540" w:type="dxa"/>
            <w:vAlign w:val="bottom"/>
            <w:gridSpan w:val="4"/>
          </w:tcPr>
          <w:p>
            <w:pPr>
              <w:jc w:val="center"/>
              <w:ind w:left="419"/>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900" w:type="dxa"/>
            <w:vAlign w:val="bottom"/>
          </w:tcPr>
          <w:p>
            <w:pPr>
              <w:spacing w:after="0"/>
              <w:rPr>
                <w:sz w:val="14"/>
                <w:szCs w:val="14"/>
                <w:color w:val="auto"/>
              </w:rPr>
            </w:pPr>
          </w:p>
        </w:tc>
      </w:tr>
      <w:tr>
        <w:trPr>
          <w:trHeight w:val="186"/>
        </w:trPr>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gridSpan w:val="3"/>
          </w:tcPr>
          <w:p>
            <w:pPr>
              <w:jc w:val="center"/>
              <w:ind w:right="396"/>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Pr>
          <w:p>
            <w:pPr>
              <w:spacing w:after="0"/>
              <w:rPr>
                <w:sz w:val="16"/>
                <w:szCs w:val="16"/>
                <w:color w:val="auto"/>
              </w:rPr>
            </w:pPr>
          </w:p>
        </w:tc>
      </w:tr>
      <w:tr>
        <w:trPr>
          <w:trHeight w:val="26"/>
        </w:trPr>
        <w:tc>
          <w:tcPr>
            <w:tcW w:w="5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9"/>
        </w:trPr>
        <w:tc>
          <w:tcPr>
            <w:tcW w:w="5060" w:type="dxa"/>
            <w:vAlign w:val="bottom"/>
          </w:tcPr>
          <w:p>
            <w:pPr>
              <w:spacing w:after="0"/>
              <w:rPr>
                <w:sz w:val="16"/>
                <w:szCs w:val="16"/>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2021</w:t>
            </w:r>
          </w:p>
        </w:tc>
      </w:tr>
      <w:tr>
        <w:trPr>
          <w:trHeight w:val="191"/>
        </w:trPr>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60" w:type="dxa"/>
            <w:vAlign w:val="bottom"/>
            <w:gridSpan w:val="3"/>
          </w:tcPr>
          <w:p>
            <w:pPr>
              <w:jc w:val="center"/>
              <w:ind w:right="416"/>
              <w:spacing w:after="0"/>
              <w:rPr>
                <w:sz w:val="20"/>
                <w:szCs w:val="20"/>
                <w:color w:val="auto"/>
              </w:rPr>
            </w:pPr>
            <w:r>
              <w:rPr>
                <w:rFonts w:ascii="Arial" w:cs="Arial" w:eastAsia="Arial" w:hAnsi="Arial"/>
                <w:sz w:val="14"/>
                <w:szCs w:val="14"/>
                <w:b w:val="1"/>
                <w:bCs w:val="1"/>
                <w:color w:val="auto"/>
                <w:w w:val="94"/>
              </w:rPr>
              <w:t>(in millions)</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900" w:type="dxa"/>
            <w:vAlign w:val="bottom"/>
          </w:tcPr>
          <w:p>
            <w:pPr>
              <w:spacing w:after="0"/>
              <w:rPr>
                <w:sz w:val="16"/>
                <w:szCs w:val="16"/>
                <w:color w:val="auto"/>
              </w:rPr>
            </w:pPr>
          </w:p>
        </w:tc>
      </w:tr>
      <w:tr>
        <w:trPr>
          <w:trHeight w:val="26"/>
        </w:trPr>
        <w:tc>
          <w:tcPr>
            <w:tcW w:w="5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costs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50"/>
        </w:trPr>
        <w:tc>
          <w:tcPr>
            <w:tcW w:w="5060" w:type="dxa"/>
            <w:vAlign w:val="bottom"/>
          </w:tcPr>
          <w:p>
            <w:pPr>
              <w:ind w:left="20"/>
              <w:spacing w:after="0"/>
              <w:rPr>
                <w:sz w:val="20"/>
                <w:szCs w:val="20"/>
                <w:color w:val="auto"/>
              </w:rPr>
            </w:pPr>
            <w:r>
              <w:rPr>
                <w:rFonts w:ascii="Arial" w:cs="Arial" w:eastAsia="Arial" w:hAnsi="Arial"/>
                <w:sz w:val="18"/>
                <w:szCs w:val="18"/>
                <w:color w:val="auto"/>
              </w:rPr>
              <w:t>Salary and benefits related</w:t>
            </w: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6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9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5060" w:type="dxa"/>
            <w:vAlign w:val="bottom"/>
          </w:tcPr>
          <w:p>
            <w:pPr>
              <w:ind w:left="20"/>
              <w:spacing w:after="0"/>
              <w:rPr>
                <w:sz w:val="20"/>
                <w:szCs w:val="20"/>
                <w:color w:val="auto"/>
              </w:rPr>
            </w:pPr>
            <w:r>
              <w:rPr>
                <w:rFonts w:ascii="Arial" w:cs="Arial" w:eastAsia="Arial" w:hAnsi="Arial"/>
                <w:sz w:val="18"/>
                <w:szCs w:val="18"/>
                <w:color w:val="auto"/>
              </w:rPr>
              <w:t>Royalty expense</w:t>
            </w: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70.6</w:t>
            </w:r>
          </w:p>
        </w:tc>
      </w:tr>
      <w:tr>
        <w:trPr>
          <w:trHeight w:val="257"/>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definite-lived intangible assets</w:t>
            </w:r>
          </w:p>
        </w:tc>
        <w:tc>
          <w:tcPr>
            <w:tcW w:w="9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56"/>
        </w:trPr>
        <w:tc>
          <w:tcPr>
            <w:tcW w:w="5060" w:type="dxa"/>
            <w:vAlign w:val="bottom"/>
          </w:tcPr>
          <w:p>
            <w:pPr>
              <w:ind w:left="180"/>
              <w:spacing w:after="0"/>
              <w:rPr>
                <w:sz w:val="20"/>
                <w:szCs w:val="20"/>
                <w:color w:val="auto"/>
              </w:rPr>
            </w:pPr>
            <w:r>
              <w:rPr>
                <w:rFonts w:ascii="Arial" w:cs="Arial" w:eastAsia="Arial" w:hAnsi="Arial"/>
                <w:sz w:val="18"/>
                <w:szCs w:val="18"/>
                <w:color w:val="auto"/>
              </w:rPr>
              <w:t>Total cost of product revenues</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r>
      <w:tr>
        <w:trPr>
          <w:trHeight w:val="21"/>
        </w:trPr>
        <w:tc>
          <w:tcPr>
            <w:tcW w:w="5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Cost of product revenues includes all product related costs, employee personnel costs, including stock compensation, for those employees dedicated to the production of our commercial products, royalties under our collaborative agreements and amortization of our licensed intellectual property rights for ICLUSIG. The increase in cost of product revenues for the three and nine months ended September 30, 2022 as compared to the same periods in 2021 was primarily due to product related costs for our commercial products including OPZELURA.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500" w:type="dxa"/>
            <w:vAlign w:val="bottom"/>
            <w:gridSpan w:val="4"/>
          </w:tcPr>
          <w:p>
            <w:pPr>
              <w:jc w:val="center"/>
              <w:ind w:left="459"/>
              <w:spacing w:after="0"/>
              <w:rPr>
                <w:sz w:val="20"/>
                <w:szCs w:val="20"/>
                <w:color w:val="auto"/>
              </w:rPr>
            </w:pPr>
            <w:r>
              <w:rPr>
                <w:rFonts w:ascii="Arial" w:cs="Arial" w:eastAsia="Arial" w:hAnsi="Arial"/>
                <w:sz w:val="14"/>
                <w:szCs w:val="14"/>
                <w:b w:val="1"/>
                <w:bCs w:val="1"/>
                <w:color w:val="auto"/>
                <w:w w:val="95"/>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3"/>
              </w:rPr>
              <w:t>Nine Months Ended</w:t>
            </w:r>
          </w:p>
        </w:tc>
        <w:tc>
          <w:tcPr>
            <w:tcW w:w="900" w:type="dxa"/>
            <w:vAlign w:val="bottom"/>
          </w:tcPr>
          <w:p>
            <w:pPr>
              <w:spacing w:after="0"/>
              <w:rPr>
                <w:sz w:val="14"/>
                <w:szCs w:val="14"/>
                <w:color w:val="auto"/>
              </w:rPr>
            </w:pPr>
          </w:p>
        </w:tc>
      </w:tr>
      <w:tr>
        <w:trPr>
          <w:trHeight w:val="186"/>
        </w:trPr>
        <w:tc>
          <w:tcPr>
            <w:tcW w:w="5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gridSpan w:val="3"/>
          </w:tcPr>
          <w:p>
            <w:pPr>
              <w:jc w:val="center"/>
              <w:ind w:right="316"/>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Pr>
          <w:p>
            <w:pPr>
              <w:spacing w:after="0"/>
              <w:rPr>
                <w:sz w:val="16"/>
                <w:szCs w:val="16"/>
                <w:color w:val="auto"/>
              </w:rPr>
            </w:pPr>
          </w:p>
        </w:tc>
      </w:tr>
      <w:tr>
        <w:trPr>
          <w:trHeight w:val="25"/>
        </w:trPr>
        <w:tc>
          <w:tcPr>
            <w:tcW w:w="5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9"/>
        </w:trPr>
        <w:tc>
          <w:tcPr>
            <w:tcW w:w="50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9"/>
              </w:rPr>
              <w:t>2021</w:t>
            </w:r>
          </w:p>
        </w:tc>
      </w:tr>
      <w:tr>
        <w:trPr>
          <w:trHeight w:val="191"/>
        </w:trPr>
        <w:tc>
          <w:tcPr>
            <w:tcW w:w="5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gridSpan w:val="3"/>
          </w:tcPr>
          <w:p>
            <w:pPr>
              <w:jc w:val="center"/>
              <w:ind w:right="296"/>
              <w:spacing w:after="0"/>
              <w:rPr>
                <w:sz w:val="20"/>
                <w:szCs w:val="20"/>
                <w:color w:val="auto"/>
              </w:rPr>
            </w:pPr>
            <w:r>
              <w:rPr>
                <w:rFonts w:ascii="Arial" w:cs="Arial" w:eastAsia="Arial" w:hAnsi="Arial"/>
                <w:sz w:val="14"/>
                <w:szCs w:val="14"/>
                <w:b w:val="1"/>
                <w:bCs w:val="1"/>
                <w:color w:val="auto"/>
                <w:w w:val="94"/>
              </w:rPr>
              <w:t>(in millions)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w w:val="94"/>
              </w:rPr>
              <w:t>(in millions)</w:t>
            </w:r>
          </w:p>
        </w:tc>
        <w:tc>
          <w:tcPr>
            <w:tcW w:w="900" w:type="dxa"/>
            <w:vAlign w:val="bottom"/>
          </w:tcPr>
          <w:p>
            <w:pPr>
              <w:spacing w:after="0"/>
              <w:rPr>
                <w:sz w:val="16"/>
                <w:szCs w:val="16"/>
                <w:color w:val="auto"/>
              </w:rPr>
            </w:pPr>
          </w:p>
        </w:tc>
      </w:tr>
      <w:tr>
        <w:trPr>
          <w:trHeight w:val="25"/>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Salary and benefits related</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r>
      <w:tr>
        <w:trPr>
          <w:trHeight w:val="250"/>
        </w:trPr>
        <w:tc>
          <w:tcPr>
            <w:tcW w:w="504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84.2</w:t>
            </w:r>
          </w:p>
        </w:tc>
      </w:tr>
      <w:tr>
        <w:trPr>
          <w:trHeight w:val="26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research and outside services</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242.9</w:t>
            </w: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196.6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576.2</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Occupancy and all other costs</w:t>
            </w: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r>
      <w:tr>
        <w:trPr>
          <w:trHeight w:val="282"/>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384.0</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334.9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1,084.6</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account for research and development costs by natural expense line and not costs by project. The increase in salary and benefits related expense for the three and nine months ended September 30, 2022 as compared to the corresponding periods in 2021 was due primarily to increased development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increase in clinical research and outside services expense for the three and nine months ended September 30, 2022 as compared to the corresponding period in 2021 was primarily due to continued investment in our late stage development assets. Research and development expenses include upfront and milestone expenses related to our collaborative agreements of $33.5 million and $56.0 million, respectively, for the three and nine months ended September 30, 2022. Research and development expenses include upfront and milestone expenses related to our collaborative agreements of $4.3 million and $20.8 million, respectively, for the three and nine months ended September 30, 2021. Research and development expenses for the three and nine months ended September 30, 2022 and 2021 were net of $8.7 million, $43.3 million, $3.2 million and $15.7 million, respectively, of costs reimbursed by our collaborative partners.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timing of drug supply, including API,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2480" w:type="dxa"/>
            <w:vAlign w:val="bottom"/>
            <w:gridSpan w:val="4"/>
          </w:tcPr>
          <w:p>
            <w:pPr>
              <w:jc w:val="center"/>
              <w:ind w:left="459"/>
              <w:spacing w:after="0"/>
              <w:rPr>
                <w:sz w:val="20"/>
                <w:szCs w:val="20"/>
                <w:color w:val="auto"/>
              </w:rPr>
            </w:pPr>
            <w:r>
              <w:rPr>
                <w:rFonts w:ascii="Arial" w:cs="Arial" w:eastAsia="Arial" w:hAnsi="Arial"/>
                <w:sz w:val="14"/>
                <w:szCs w:val="14"/>
                <w:b w:val="1"/>
                <w:bCs w:val="1"/>
                <w:color w:val="auto"/>
                <w:w w:val="93"/>
              </w:rPr>
              <w:t>Three Months Ended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880" w:type="dxa"/>
            <w:vAlign w:val="bottom"/>
          </w:tcPr>
          <w:p>
            <w:pPr>
              <w:spacing w:after="0"/>
              <w:rPr>
                <w:sz w:val="14"/>
                <w:szCs w:val="14"/>
                <w:color w:val="auto"/>
              </w:rPr>
            </w:pPr>
          </w:p>
        </w:tc>
      </w:tr>
      <w:tr>
        <w:trPr>
          <w:trHeight w:val="186"/>
        </w:trPr>
        <w:tc>
          <w:tcPr>
            <w:tcW w:w="5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40" w:type="dxa"/>
            <w:vAlign w:val="bottom"/>
            <w:gridSpan w:val="3"/>
          </w:tcPr>
          <w:p>
            <w:pPr>
              <w:jc w:val="center"/>
              <w:ind w:right="316"/>
              <w:spacing w:after="0"/>
              <w:rPr>
                <w:sz w:val="20"/>
                <w:szCs w:val="20"/>
                <w:color w:val="auto"/>
              </w:rPr>
            </w:pPr>
            <w:r>
              <w:rPr>
                <w:rFonts w:ascii="Arial" w:cs="Arial" w:eastAsia="Arial" w:hAnsi="Arial"/>
                <w:sz w:val="14"/>
                <w:szCs w:val="14"/>
                <w:b w:val="1"/>
                <w:bCs w:val="1"/>
                <w:color w:val="auto"/>
                <w:w w:val="89"/>
              </w:rPr>
              <w:t>September 30,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1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9"/>
              </w:rPr>
              <w:t>2021</w:t>
            </w:r>
          </w:p>
        </w:tc>
      </w:tr>
      <w:tr>
        <w:trPr>
          <w:trHeight w:val="190"/>
        </w:trPr>
        <w:tc>
          <w:tcPr>
            <w:tcW w:w="5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40" w:type="dxa"/>
            <w:vAlign w:val="bottom"/>
            <w:gridSpan w:val="3"/>
          </w:tcPr>
          <w:p>
            <w:pPr>
              <w:jc w:val="center"/>
              <w:ind w:right="316"/>
              <w:spacing w:after="0"/>
              <w:rPr>
                <w:sz w:val="20"/>
                <w:szCs w:val="20"/>
                <w:color w:val="auto"/>
              </w:rPr>
            </w:pPr>
            <w:r>
              <w:rPr>
                <w:rFonts w:ascii="Arial" w:cs="Arial" w:eastAsia="Arial" w:hAnsi="Arial"/>
                <w:sz w:val="14"/>
                <w:szCs w:val="14"/>
                <w:b w:val="1"/>
                <w:bCs w:val="1"/>
                <w:color w:val="auto"/>
                <w:w w:val="94"/>
              </w:rPr>
              <w:t>(in millions)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880" w:type="dxa"/>
            <w:vAlign w:val="bottom"/>
          </w:tcPr>
          <w:p>
            <w:pPr>
              <w:spacing w:after="0"/>
              <w:rPr>
                <w:sz w:val="16"/>
                <w:szCs w:val="16"/>
                <w:color w:val="auto"/>
              </w:rPr>
            </w:pPr>
          </w:p>
        </w:tc>
      </w:tr>
      <w:tr>
        <w:trPr>
          <w:trHeight w:val="26"/>
        </w:trPr>
        <w:tc>
          <w:tcPr>
            <w:tcW w:w="5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7"/>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Salary and benefits related</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r>
      <w:tr>
        <w:trPr>
          <w:trHeight w:val="250"/>
        </w:trPr>
        <w:tc>
          <w:tcPr>
            <w:tcW w:w="512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57"/>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contract services and outside costs</w:t>
            </w:r>
          </w:p>
        </w:tc>
        <w:tc>
          <w:tcPr>
            <w:tcW w:w="9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183.3</w:t>
            </w:r>
          </w:p>
        </w:tc>
        <w:tc>
          <w:tcPr>
            <w:tcW w:w="10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116.5</w:t>
            </w:r>
          </w:p>
        </w:tc>
        <w:tc>
          <w:tcPr>
            <w:tcW w:w="8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w:t>
            </w:r>
          </w:p>
        </w:tc>
      </w:tr>
      <w:tr>
        <w:trPr>
          <w:trHeight w:val="256"/>
        </w:trPr>
        <w:tc>
          <w:tcPr>
            <w:tcW w:w="5120" w:type="dxa"/>
            <w:vAlign w:val="bottom"/>
          </w:tcPr>
          <w:p>
            <w:pPr>
              <w:ind w:left="20"/>
              <w:spacing w:after="0"/>
              <w:rPr>
                <w:sz w:val="20"/>
                <w:szCs w:val="20"/>
                <w:color w:val="auto"/>
              </w:rPr>
            </w:pPr>
            <w:r>
              <w:rPr>
                <w:rFonts w:ascii="Arial" w:cs="Arial" w:eastAsia="Arial" w:hAnsi="Arial"/>
                <w:sz w:val="18"/>
                <w:szCs w:val="18"/>
                <w:color w:val="auto"/>
              </w:rPr>
              <w:t>Total selling, general and administrative expenses</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266.5</w:t>
            </w:r>
          </w:p>
        </w:tc>
        <w:tc>
          <w:tcPr>
            <w:tcW w:w="100" w:type="dxa"/>
            <w:vAlign w:val="bottom"/>
          </w:tcPr>
          <w:p>
            <w:pPr>
              <w:spacing w:after="0"/>
              <w:rPr>
                <w:sz w:val="22"/>
                <w:szCs w:val="22"/>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190.7</w:t>
            </w:r>
          </w:p>
        </w:tc>
        <w:tc>
          <w:tcPr>
            <w:tcW w:w="80" w:type="dxa"/>
            <w:vAlign w:val="bottom"/>
          </w:tcPr>
          <w:p>
            <w:pPr>
              <w:spacing w:after="0"/>
              <w:rPr>
                <w:sz w:val="22"/>
                <w:szCs w:val="22"/>
                <w:color w:val="auto"/>
              </w:rPr>
            </w:pP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729.3</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513.4</w:t>
            </w:r>
          </w:p>
        </w:tc>
      </w:tr>
      <w:tr>
        <w:trPr>
          <w:trHeight w:val="21"/>
        </w:trPr>
        <w:tc>
          <w:tcPr>
            <w:tcW w:w="5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increase in salary and benefits related expense for the three and nine months ended September 30, 2022 as compared to the corresponding period in 2021 was due primarily to increased headcount. This increased headcount was due primarily to the establishment of our dermatology commercial organization and activities to support the launch of OPZELURA for the treatment of atopic dermatitis. Stock compensation expense may fluctuate from period to period based on the number of awards granted, stock price volatility and expected award lives, as well as expected award forfeiture rates which are used to value equity-based compensation. The increase in other contract services and outside costs for the three and nine months ended September 30, 2022, as compared to the corresponding periods in 2021, was due primarily to expenses related to our dermatology commercial organization and activities to support the launch of OPZELURA for the treatments of atopic dermatitis and vitiligo.</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(Gain) loss on change in fair value of acquisition-related contingent consideration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Acquisition-related contingent consideration, which consists of our future royalty obligations to ARIAD/Takeda, was recorded on the acquisition date, June 1, 2016, at the estimated fair value of the obligation, in accordance with the acquisition method of accounting. The fair value of the acquisition-related contingent consideration is remeasured quarterly. The gain on change in fair value of the acquisition-related contingent consideration for the three and nine months ended September 30, 2022 was $21.9 million and $12.2 million, respectively, which is recorded in (gain) loss on change in fair value of acquisition-related contingent consideration on the condensed consolidated statements of operations. The loss on change in fair value of the acquisition-related contingent consideration for the three and nine months ended September 30, 2021 was $2.9 million and $13.1 million, respectively, which is recorded in (gain) loss on change in fair value of acquisition-related contingent consideration on the condensed consolidated statements of operations. The change in fair value for the three and nine months ended September 30, 2022 was due primarily to the changes in foreign currency exchange rates included within the updated projections of future net revenues of ICLUSIG.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Collaboration loss sharing</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collaboration and license agreement with MorphoSys, which was executed in March 2020, we and MorphoSys are both responsible for the commercialization efforts of tafasitamab in the United States and will share equally the profits and losses from the co-commercialization efforts. For the three and nine months ended September 30, 2022, our 50% share of the losses for tafasitamab was $1.8 million and $9.1 million, respectively, as recorded in collaboration loss sharing on the condensed consolidated statement of operations. For the three and nine months ended September 30, 2021, our 50% share of the losses for tafasitamab was $9.1 million and $29.5 million, respectively, as recorded in collaboration loss sharing on the condensed consolidated statement of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Other income (expense), net</w:t>
      </w:r>
      <w:r>
        <w:rPr>
          <w:rFonts w:ascii="Arial" w:cs="Arial" w:eastAsia="Arial" w:hAnsi="Arial"/>
          <w:sz w:val="16"/>
          <w:szCs w:val="16"/>
          <w:color w:val="auto"/>
        </w:rPr>
        <w:t>. Other income (expense), net for the three and nine months ended September 30, 2022 was $11.5 million and $13.3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respectively. Other income (expense), net for the three and nine months ended September 30, 2021 was $1.9 million and $4.9 million, respectively. The increase in other income (expense), net for the three and nine months ended September 30, 2022 primarily relates to an increase in interest income.</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Unrealized loss on long term investments. </w:t>
      </w:r>
      <w:r>
        <w:rPr>
          <w:rFonts w:ascii="Arial" w:cs="Arial" w:eastAsia="Arial" w:hAnsi="Arial"/>
          <w:sz w:val="18"/>
          <w:szCs w:val="18"/>
          <w:color w:val="auto"/>
        </w:rPr>
        <w:t>Unrealized gains and losses on long term investments will fluctuate from period to period,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fair value of the securities we hold in our publicly held collaboration partners. The following table provides a summary of those unrealized losses: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500" w:type="dxa"/>
            <w:vAlign w:val="bottom"/>
            <w:gridSpan w:val="4"/>
          </w:tcPr>
          <w:p>
            <w:pPr>
              <w:jc w:val="center"/>
              <w:ind w:left="459"/>
              <w:spacing w:after="0"/>
              <w:rPr>
                <w:sz w:val="20"/>
                <w:szCs w:val="20"/>
                <w:color w:val="auto"/>
              </w:rPr>
            </w:pPr>
            <w:r>
              <w:rPr>
                <w:rFonts w:ascii="Arial" w:cs="Arial" w:eastAsia="Arial" w:hAnsi="Arial"/>
                <w:sz w:val="14"/>
                <w:szCs w:val="14"/>
                <w:b w:val="1"/>
                <w:bCs w:val="1"/>
                <w:color w:val="auto"/>
                <w:w w:val="95"/>
              </w:rPr>
              <w:t>Three Months Ended</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4"/>
              </w:rPr>
              <w:t>Nine Months Ended</w:t>
            </w:r>
          </w:p>
        </w:tc>
        <w:tc>
          <w:tcPr>
            <w:tcW w:w="900" w:type="dxa"/>
            <w:vAlign w:val="bottom"/>
          </w:tcPr>
          <w:p>
            <w:pPr>
              <w:spacing w:after="0"/>
              <w:rPr>
                <w:sz w:val="14"/>
                <w:szCs w:val="14"/>
                <w:color w:val="auto"/>
              </w:rPr>
            </w:pPr>
          </w:p>
        </w:tc>
      </w:tr>
      <w:tr>
        <w:trPr>
          <w:trHeight w:val="186"/>
        </w:trPr>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20" w:type="dxa"/>
            <w:vAlign w:val="bottom"/>
            <w:gridSpan w:val="3"/>
          </w:tcPr>
          <w:p>
            <w:pPr>
              <w:jc w:val="center"/>
              <w:ind w:right="356"/>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Pr>
          <w:p>
            <w:pPr>
              <w:spacing w:after="0"/>
              <w:rPr>
                <w:sz w:val="16"/>
                <w:szCs w:val="16"/>
                <w:color w:val="auto"/>
              </w:rPr>
            </w:pPr>
          </w:p>
        </w:tc>
      </w:tr>
      <w:tr>
        <w:trPr>
          <w:trHeight w:val="26"/>
        </w:trPr>
        <w:tc>
          <w:tcPr>
            <w:tcW w:w="5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506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2"/>
              <w:spacing w:after="0"/>
              <w:rPr>
                <w:sz w:val="20"/>
                <w:szCs w:val="20"/>
                <w:color w:val="auto"/>
              </w:rPr>
            </w:pPr>
            <w:r>
              <w:rPr>
                <w:rFonts w:ascii="Arial" w:cs="Arial" w:eastAsia="Arial" w:hAnsi="Arial"/>
                <w:sz w:val="14"/>
                <w:szCs w:val="14"/>
                <w:b w:val="1"/>
                <w:bCs w:val="1"/>
                <w:color w:val="auto"/>
                <w:w w:val="89"/>
              </w:rPr>
              <w:t>2021</w:t>
            </w:r>
          </w:p>
        </w:tc>
      </w:tr>
      <w:tr>
        <w:trPr>
          <w:trHeight w:val="26"/>
        </w:trPr>
        <w:tc>
          <w:tcPr>
            <w:tcW w:w="5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5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20" w:type="dxa"/>
            <w:vAlign w:val="bottom"/>
            <w:gridSpan w:val="3"/>
          </w:tcPr>
          <w:p>
            <w:pPr>
              <w:jc w:val="center"/>
              <w:ind w:right="376"/>
              <w:spacing w:after="0"/>
              <w:rPr>
                <w:sz w:val="20"/>
                <w:szCs w:val="20"/>
                <w:color w:val="auto"/>
              </w:rPr>
            </w:pPr>
            <w:r>
              <w:rPr>
                <w:rFonts w:ascii="Arial" w:cs="Arial" w:eastAsia="Arial" w:hAnsi="Arial"/>
                <w:sz w:val="14"/>
                <w:szCs w:val="14"/>
                <w:b w:val="1"/>
                <w:bCs w:val="1"/>
                <w:color w:val="auto"/>
                <w:w w:val="94"/>
              </w:rPr>
              <w:t>(in millions)</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94"/>
              </w:rPr>
              <w:t>(in millions)</w:t>
            </w:r>
          </w:p>
        </w:tc>
        <w:tc>
          <w:tcPr>
            <w:tcW w:w="900" w:type="dxa"/>
            <w:vAlign w:val="bottom"/>
          </w:tcPr>
          <w:p>
            <w:pPr>
              <w:spacing w:after="0"/>
              <w:rPr>
                <w:sz w:val="16"/>
                <w:szCs w:val="16"/>
                <w:color w:val="auto"/>
              </w:rPr>
            </w:pPr>
          </w:p>
        </w:tc>
      </w:tr>
      <w:tr>
        <w:trPr>
          <w:trHeight w:val="26"/>
        </w:trPr>
        <w:tc>
          <w:tcPr>
            <w:tcW w:w="50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Agenus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50"/>
        </w:trPr>
        <w:tc>
          <w:tcPr>
            <w:tcW w:w="5060" w:type="dxa"/>
            <w:vAlign w:val="bottom"/>
          </w:tcPr>
          <w:p>
            <w:pPr>
              <w:ind w:left="20"/>
              <w:spacing w:after="0"/>
              <w:rPr>
                <w:sz w:val="20"/>
                <w:szCs w:val="20"/>
                <w:color w:val="auto"/>
              </w:rPr>
            </w:pPr>
            <w:r>
              <w:rPr>
                <w:rFonts w:ascii="Arial" w:cs="Arial" w:eastAsia="Arial" w:hAnsi="Arial"/>
                <w:sz w:val="18"/>
                <w:szCs w:val="18"/>
                <w:color w:val="auto"/>
              </w:rPr>
              <w:t>Calithera</w:t>
            </w:r>
          </w:p>
        </w:tc>
        <w:tc>
          <w:tcPr>
            <w:tcW w:w="98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6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Merus</w:t>
            </w:r>
          </w:p>
        </w:tc>
        <w:tc>
          <w:tcPr>
            <w:tcW w:w="9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50"/>
        </w:trPr>
        <w:tc>
          <w:tcPr>
            <w:tcW w:w="5060" w:type="dxa"/>
            <w:vAlign w:val="bottom"/>
          </w:tcPr>
          <w:p>
            <w:pPr>
              <w:ind w:left="20"/>
              <w:spacing w:after="0"/>
              <w:rPr>
                <w:sz w:val="20"/>
                <w:szCs w:val="20"/>
                <w:color w:val="auto"/>
              </w:rPr>
            </w:pPr>
            <w:r>
              <w:rPr>
                <w:rFonts w:ascii="Arial" w:cs="Arial" w:eastAsia="Arial" w:hAnsi="Arial"/>
                <w:sz w:val="18"/>
                <w:szCs w:val="18"/>
                <w:color w:val="auto"/>
              </w:rPr>
              <w:t>MorphoSys</w:t>
            </w:r>
          </w:p>
        </w:tc>
        <w:tc>
          <w:tcPr>
            <w:tcW w:w="9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26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Syndax</w:t>
            </w:r>
          </w:p>
        </w:tc>
        <w:tc>
          <w:tcPr>
            <w:tcW w:w="9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Syros</w:t>
            </w:r>
          </w:p>
        </w:tc>
        <w:tc>
          <w:tcPr>
            <w:tcW w:w="9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8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unrealized loss on long term investments</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The provision for income taxes for the three and nine months ended September 30, 2022 was $35.8 million and $136.3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respectively. The provision for income taxes for the three and nine months ended September 30, 2021 was $27.7 million and $65.7 million, respectively. The provision for income taxes increased in 2022 as compared to that for the prior year period due to the release of our valuation allowance against a majority of our U.S. research and development tax credit carryforwards and other deferred tax assets at December 31,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Due to historical net losses, we had an accumulated deficit of $0.5 billion as of September 30, 2022. We have funded our research and development operations through cash received from customers, sales of equity securities, the issuance of convertible notes, and collaborative arrangements. At September 30, 2022, we had available cash, cash equivalents and marketable securities of $3.0 billion. Our cash and marketable securities balances are held in a variety of interest-bearing instruments, including money market accounts, and U.S. government debt securities. Available cash is invested in accordance with our investment policy’s primary objectives of liquidity, safety of principal and diversity of investments.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provided by operating activities for the nine months ended September 30, 2022 and 2021 was $686.3 million and $634.1 million, respectively. The increase in cash provided by operating activities was due primarily to changes in working capital.</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investing activities, other than purchases, sales and maturities of marketable securities, have consisted predominantly of capital expenditures and purchases of long term investments. Net cash used in investing activities was $57.6 million for the nine months ended September 30, 2022, which represented purchases of marketable securities of $59.1 million and capital expenditures of $56.6 million, offset in part by the sale and maturities of marketable securities of $58.0 million. Net cash used in investing activities was $141.7 million for the nine months ended September 30, 2021, which represented purchases of marketable securities of $228.2 million, capital expenditures of $146.5 million, and purchases of long term equity investments of $8.7 million, offset in part by the sale of long term investment of $10.5 million and the sales and maturities of marketable securities of $231.3 million. In the future, net cash used by investing activities may fluctuate significantly from period to period due to the timing of strategic equity investments, acquisitions, and capital expenditures and maturities/sales and purchases of marketable securities.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provided by financing activities was $1.7 million for the nine months ended September 30, 2022 and net cash used in financing activities was $2.8 million for the nine months ended September 30, 2021, primarily representing proceeds from the issuance of common stock under our stock plans, offset in part by cash paid to ARIAD/Takeda for contingent consideration.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capital expenditures for construction activities are discussed in Note 8 of notes to our condensed consolidated financial statements. In addition, in October 2019, we entered into an agreement with Wilmington Friends School Inc., to purchase property for $50.0 million to expand our global headquarters. Under that agreement, closing of the purchase is subject to certain standard closing conditions, including an initial diligence period and a subsequent approval period.</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August 2021, we entered into a $500.0 million, three-year senior unsecured revolving credit facility. We may increase the maximum revolving commitments or add one or more incremental term loan facilities, subject to obtaining commitments from any participating lenders and certain other conditions, in an amount not to exceed $250.0 million plus a contingent additional amount that is dependent on our pro forma consolidated leverage ratio. As of September 30, 2022, we had no outstanding borrowings and were in compliance with all covenants under this facility.</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U.S. income tax payments will increase significantly due to the mandatory capitalization and amortization of research and development expenses for tax years beginning after December 31, 2021, as required under the Tax Cuts and Jobs Act of 2017, which eliminated the immediate expensing of such expenses.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our cash flow from operations, together with our cash, cash equivalents and marketable securities and funds available under our revolving credit facility,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and expenditures for future strategic equity investments or potential acquisitions. 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These contingent future payments are discussed in detail in Note 7 of notes to the condensed consolidated financial statements.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investments in marketable securities, which are composed primarily of U.S. government debt securities, are subject to default, changes in credit rating and changes in market value. These investments are also subject to interest rate risk and will decrease in value if market interest rates increase. As of September 30, 2022, marketable securities were $286.5 million. Due to the nature of these investments, if market interest rates were to increase immediately and uniformly by 10% from levels as of September 30, 2022, the decline in fair value would not be material.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Evaluation of disclosure controls and procedures. </w:t>
      </w:r>
      <w:r>
        <w:rPr>
          <w:rFonts w:ascii="Arial" w:cs="Arial" w:eastAsia="Arial" w:hAnsi="Arial"/>
          <w:sz w:val="17"/>
          <w:szCs w:val="17"/>
          <w:color w:val="auto"/>
        </w:rPr>
        <w:t>We maintain “disclosure controls and procedures,” as such term is defined in Rule 13a-15(e)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concluded that, as of such date, our disclosure controls and procedures were effective at the reasonable assurance level.</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Changes in internal control over financial reporting</w:t>
      </w:r>
      <w:r>
        <w:rPr>
          <w:rFonts w:ascii="Arial" w:cs="Arial" w:eastAsia="Arial" w:hAnsi="Arial"/>
          <w:sz w:val="18"/>
          <w:szCs w:val="18"/>
          <w:color w:val="auto"/>
        </w:rPr>
        <w:t>. There were no changes in our internal control over financial reporting (as defined in Rules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13a-15(f) and 15d-15(f) under the Exchange Act) for the three months ended September 30, 2022, that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COMMERCIALIZATION OF OUR PRODUCTS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heavily on our lead product, JAKAFI (ruxolitinib), which is marketed as JAKAVI outside the United States. If we are unable to maintain revenues from JAKAFI or those revenues decrease, our business may be materially harmed.</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JAKAFI is our first product marketed by us that is approved for sale in the United States. JAKAFI was approved by the U.S. Food and Drug Administration, or FDA, in November 2011 for the treatment of patients with intermediate or high-risk myelofibrosis, in December 2014 for the treatment of patients with polycythemia vera who have had an inadequate response to or are intolerant of hydroxyurea, which we refer to as uncontrolled polycythemia vera, in May 2019 for the treatment of steroid-refractory acute graft-versus-host disease in adult and pediatric patients 12 years and older and in September 2021 for the treatment of steroid-refractory chronic graft-versus-host disease in adult and pediatric patients 12 years and older. Although we have received regulatory approval for these indications, such approval does not guarantee future revenues. While we also sell ICLUSIG in the European Union, or EU, and other countries for the treatment of certain types of leukemia, PEMAZYRE in the United States, Europe and Japan for the treatment of certain metastatic cholangiocarcinoma indications, as well as for certain blood cancer indications in the United States, MONJUVI in the United States and MINJUVI in the European Union for the treatment of certain lymphoma indications, and OPZELURA in the Unites States for the treatment of certain indications of atopic dermatitis and vitiligo, and our exclusive licensees sell OLUMIANT (baricitinib) for the treatment of specified rheumatoid arthritis and atopic dermatitis indications and TABRECTA for the treatment of a certain type of non-small cell lung cancer, we anticipate that JAKAFI product sales will continue to contribute a significant percentage of our total revenues over the next several years.</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commercial success of JAKAFI and our ability to maintain and continue to increase revenues from the sale of JAKAFI will depend on a number of factors, including:</w:t>
      </w:r>
    </w:p>
    <w:p>
      <w:pPr>
        <w:spacing w:after="0" w:line="170" w:lineRule="exact"/>
        <w:rPr>
          <w:sz w:val="20"/>
          <w:szCs w:val="20"/>
          <w:color w:val="auto"/>
        </w:rPr>
      </w:pPr>
    </w:p>
    <w:p>
      <w:pPr>
        <w:ind w:left="980" w:hanging="324"/>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patients with intermediate or high-risk myelofibrosis, uncontrolled polycythemia vera or steroid-refractory graft-versus-host disease who are diagnosed with the diseases and the number of such patients that may be treated with JAKAFI;</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acceptance of JAKAFI by patients and the healthcare community;</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physicians, patients and healthcare payors view JAKAFI as therapeutically effective and safe relative to cost and any alternative therapies, as well as whether patients will continue to use JAKAFI;</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obtain and maintain sufficient coverage or reimbursement by third-party payors and pricing;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ability of our third-party manufacturers to manufacture JAKAFI in sufficient quantities that meet all applicable quality standards;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company and our third-party providers to provide marketing and distribution support for JAKAFI;</w:t>
      </w:r>
    </w:p>
    <w:p>
      <w:pPr>
        <w:spacing w:after="0" w:line="225" w:lineRule="exact"/>
        <w:rPr>
          <w:rFonts w:ascii="Arial" w:cs="Arial" w:eastAsia="Arial" w:hAnsi="Arial"/>
          <w:sz w:val="18"/>
          <w:szCs w:val="18"/>
          <w:color w:val="auto"/>
        </w:rPr>
      </w:pPr>
    </w:p>
    <w:p>
      <w:pPr>
        <w:jc w:val="both"/>
        <w:ind w:left="980" w:hanging="324"/>
        <w:spacing w:after="0" w:line="296" w:lineRule="auto"/>
        <w:tabs>
          <w:tab w:leader="none" w:pos="97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effects of the COVID-19 pandemic, any associated quarantine, travel restriction, stay-at-home or shutdown orders, guidelines or practices, and any disruption in our supply chain for JAKAFI on our ability to provide marketing and distribution support for JAKAFI, our ability to produce sufficient quantities of JAKAFI that meet all applicable quality standards, patient demand (including new patient prescriptions and hesitancy of patients to make office visits) and other risks detailed further below under “—Other Risks Relating to our Business—Public health epidemics, such as the COVID-19 pandemic, could adversely affect our business, results of operations, and financial condition”;</w:t>
      </w:r>
    </w:p>
    <w:p>
      <w:pPr>
        <w:spacing w:after="0" w:line="161" w:lineRule="exact"/>
        <w:rPr>
          <w:rFonts w:ascii="Arial" w:cs="Arial" w:eastAsia="Arial" w:hAnsi="Arial"/>
          <w:sz w:val="16"/>
          <w:szCs w:val="16"/>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maintenance of regulatory approval for the approved indications in the United States; and</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develop, obtain regulatory approval for and commercialize ruxolitinib in the United States for additional indications or in combination with other therapeutic modalities.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revenues from our other products and our receipt of royalties under our collaboration agreements, including our agreements with Novartis for sales of JAKAVI outside the United States and TABRECTA globally and with Eli Lilly and Company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obtain, or maintain at anticipated levels, coverage and reimbursement for our products from government health administration authorities, private health insurers and other organizations, our pricing may be affected and our product sales, results of operations and financial condition could be harmed.</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ability to commercialize our current and any future approved products successfully will depend in part on the prices we are able to charge for these products and the extent to which adequate coverage and reimbursement levels for the cost of our products and related treatment are obtained from third-party payors, such as private insurers, government insurance programs, including Medicare and Medicaid, health maintenance organizations (HMOs) and other health care related organizations in the United States and abroad. We may not be able to sell our products on a profitable basis or our profitability may be reduced if we are required to sell our products at lower than anticipated prices or reimbursement is unavailable or limited in scope or amount. The costs of JAKAFI, ICLUSIG, PEMAZYRE, MONJUVI/MINJUVI and OPZELURA are not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Governments and other third-party payors continue to pursue initiatives to manage drug costs. Pricing and reimbursement for our products may be adversely affected by a number of factors, including;</w:t>
      </w:r>
    </w:p>
    <w:p>
      <w:pPr>
        <w:spacing w:after="0" w:line="170" w:lineRule="exact"/>
        <w:rPr>
          <w:sz w:val="20"/>
          <w:szCs w:val="20"/>
          <w:color w:val="auto"/>
        </w:rPr>
      </w:pPr>
    </w:p>
    <w:p>
      <w:pPr>
        <w:ind w:left="98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actions of federal, state and foreign governments and other third-party payors to implement or modify laws, regulations or policies addressing payment and reimbursement for drugs;</w:t>
      </w:r>
    </w:p>
    <w:p>
      <w:pPr>
        <w:spacing w:after="0" w:line="170"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pressure by employers on private health insurance plans to reduce costs or moderate cost increases, as well as continued public scrutiny of the price of drugs and other healthcare costs; and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consolidation of third-party payors and continued initiatives of government and other third-party payors to reduce costs by seeking price discounts or rebates, reducing reimbursement rates or imposing restrictions on access to or coverage of particular drugs based on perceived value.</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many markets outside of the United States, including countries of the EU, drug pricing and reimbursement are subject to government control, and government authorities are making greater efforts to limit or regulate the price of drug products. Reimbursement systems in international markets vary significantly by country and by region, and reimbursement approvals must be obtained on a country-by-country basis. Reimbursement in the EU must be negotiated on a country-by-country basis and in many countries a drug product cannot be commercially launched until reimbursement is approved. The timing to complete the negotiation process in each country is highly uncertain, and in some countries, we expect that it may exceed 12 months. Some countries set prices by reference to prices in other countries, and countries may refuse to reimburse or may restrict the reimbursed population for a drug product based on their national health technology assessments and cost effectiveness thresholds. In addition, governmental authorities in many countries may reduce prices for approved drug products from previously established prices.</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Third-party payors are increasingly challenging the prices charged for medical products and services, and payors and employers are adopting benefit plan changes that shift a greater portion of prescription drug costs to patients. Third party pharmacy benefit managers, or PBMs, other similar organizations 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 There has been significant consolidation in the health insurance industry, resulting in large insurers and PBMs exerting greater pressure and leverage in pricing and usage negotiations with drug manufacturers. In this regard, we are in the process of negotiating agreements with PBMs and payor accounts to provide rebates to those entities related to formulary coverage for OPZELURA, but we cannot guarantee that we will be able to agree to coverage terms with these PBMs and other third party payors. Payors could decide to exclude OPZELURA from formulary coverage lists, impose step edits that require patients to try alternative, including generic, treatments before authorizing payment for OPZELURA, limit the types of diagnoses for which coverage will be provided or impose a moratorium on coverage for products while the payor makes a coverage decision. An inability to maintain adequate formulary positions could increase patient cost-sharing for OPZELURA and cause some patients to determine not to use OPZELURA. Any delays or unforeseen difficulties in reimbursement approvals could limit patient access, depress therapy adherence rates, and adversely impact our ability to successfully commercialize OPZELURA. If we are unsuccessful in obtaining and maintaining broad coverage and reimbursement for OPZELURA, our anticipated revenue from and growth prospects for OPZELURA could be negatively affected.</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 some cases, we have provided our products without charge to eligible patients who have no insurance coverage or are underinsured. Substantial support in this manner could harm our profitability in the future. Further, non-profit organizations’ ability to provide assistance to patients is dependent on funding from external sources, and we cannot guarantee that such funding will be provided at adequate levels, or at all.</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Risks related to proposed changes in government regulations and health care reform measures are described below under “—Other Risks Relating to our Business—Health care reform measures could impact the pricing and profitability of pharmaceuticals, and adversely affect the commercial viability of our or our collaborators’ products and drug candidates. ” If government and other third-party payors refuse to provide coverage and reimbursement with respect to our products, determine to provide a lower level of coverage and reimbursement than anticipated, reduce previously approved levels of coverage and reimbursement, or delay reimbursement payments due to budgetary constraints relating to the COVID-19 pandemic, then our pricing or reimbursement for our products may be affected and our product sales, results of operations or financial condition could be harmed. Our collaborators Novartis and Eli Lilly are affected by similar considerations for the drugs that they market and for which we may receive royalties.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depend upon a limited number of specialty pharmacies and wholesalers for a significant portion of any revenues from JAKAFI and most of our other drug products, and the loss of, or significant reduction in sales to, any one of these specialty pharmacies or wholesalers could adversely affect our operations and financial condition.</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sell JAKAFI and our other drug products other than OPZELURA primarily to specialty pharmacies and wholesalers. Specialty pharmacies dispense JAKAFI and our other drug products to patients in fulfillment of prescriptions and wholesalers sell JAKAFI and our other drug products to hospitals and physician offices. We do not promote JAKAFI or our other drug products to specialty pharmacies or wholesalers, and they do not set or determine demand for JAKAFI or our other drug products. Our ability to successfully commercialize JAKAFI and our other drug products will depend, in part, on the extent to which we are able to provide adequate distribution of JAKAFI and our other drug products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and our other drug products, or lower margins or the need to find alternative methods of distributing our product. Although we believe we can find alternative channels to distribute JAKAFI or our other drug products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established commercial capabilities in the United States and outside of the United States, but cannot guarantee that we will be able to enter into and maintain any marketing, distribution or third-party logistics agreements with third-party providers on acceptable terms, if at all.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working to establish and maintain sales, marketing and distribution capabilities for OPZELURA that will generally be separate from our existing capabilities for oncology indications, and we have no prior experience in commercializing products for dermatology indications. Successful commercialization of our drug candidates for dermatology indications requires us to establish new physician and payor relationships, PBM and pharmacy network relationships, reimbursement strategies and governmental interactions. Our inability to commercialize successfully products in indications outside of oncology could harm our business and operating results.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 In addition, in September 2021, the FDA approved a labeling update for JAKAFI, adding warnings of increased risk of major adverse cardiovascular events, thrombosis, and secondary malignancies related to another JAK-inhibitor treating rheumatoid arthritis, a condition for which JAKAFI is not indicated. As part of the FDA labeling update for oral JAK inhibitors in treating inflammatory conditions, class “boxed” warnings were also included in the OPZELURA label. We cannot predict the effects on sales of JAKAFI with the updated warnings or OPZELURA as a result of the “boxed” warnings, but it is possible that future sales of JAKAFI and OPZELURA can be negatively affected, which could have a material and adverse effect on our business, results of operations and prospects.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Failure to comply with the laws and regulations administered by the FDA or other agencies could result in:</w:t>
      </w:r>
    </w:p>
    <w:p>
      <w:pPr>
        <w:spacing w:after="0" w:line="22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administrative and judicial sanctions, including warning letters;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fines and other civil penalties;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suspension or withdrawal of regulatory approval to market or manufacture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 of production;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occurrence of any such event may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testing of JAKAFI, ICLUSIG, PEMAZYRE, MONJUVI/MINJUVI and OPZELURA, the manufacturing, marketing and sale of JAKAFI, PEMAZYRE and OPZELURA and the marketing and sale of ICLUSIG and MONJUVI MINJUVI expose us to product liability and other risks. Side effects and other problems experienced by patients from the use of our products could:</w:t>
      </w:r>
    </w:p>
    <w:p>
      <w:pPr>
        <w:spacing w:after="0" w:line="184"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lessen the frequency with which physicians decide to prescribe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encourage physicians to stop prescribing our products to their patients who previously had been prescribed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cause serious harm to patients that may give rise to product liability claims against us;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 in our need to withdraw or recall our products from the marketplace.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high-risk myelofibrosis, uncontrolled polycythemia vera or acute graft-versus-host disease and as JAKAFI is studied in or used by patients for off-label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 PEMAZYRE, MONJUVI/MINJUVI and OPZELURA.</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Factors similar to those listed above also apply to our collaborator Novartis for jurisdictions in which it has development and commercialization rights, to ICLUSIG for jurisdictions outside the United States, to our collaborator Lilly for all jurisdictions and to our collaborator Innovent for PEMAZYRE in the jurisdictions in which it has development and commercialization rights.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market our products in a manner that violates various laws and regulations, we may be subject to civil or criminal penalties.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Although physicians are permitted, based on their medical judgment, to prescribe products for indications other than those approved by the FDA, manufacturers are prohibited from promoting their products for such off-label uses. We market JAKAFI for intermediate or high-risk myelofibrosis, uncontrolled polycythemia vera and acute graft-versus-host disease and provide promotional materials to physicians regarding the use of JAKAFI for these indications. Although we believe that our promotional materials for physicians do not constitute improper promotion of JAKAFI, the FDA or other agencies may disagree. If the FDA or another agency determines that our promotional materials or other activities constitute improper promotion of JAKAFI,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 Similar risks exist for our marketing of PEMAZYRE and OPZELURA and our collaborator MorphoSys’s marketing of MONJUVI.</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federal government has enacted the Physician Payment Sunshine provisions. The Sunshine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and any settlement of such action initiated against us, regardless of the merits, could result in the payment of significant amounts, which could harm our financial condition and operating results. See also “—Other Risks Relating to our Business—If we fail to comply with the extensive legal and regulatory requirements affecting the health care industry, we could face increased costs, penalties and a loss of business” below.</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our products could harm our business and result in a decrease in our revenue.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products compete, and our product candidates may in the future compete, with currently existing therapies, including generic drugs, product candidates currently under development by us and others, or future product candidates, including new chemical entities that may be safer or more effective or more convenient than our products. Any products that we develop may be commercialized in competitive markets, and our competitors, which include large global pharmaceutical and biopharmaceutical companies and smaller research-based biotechnology companies, may succeed in developing products that render our products obsolete or noncompetitive. Many of our competitors, particularly large pharmaceutical and biopharmaceutical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See “Item 1. Business —Competition” in our Annual Report on Form 10-K for the year ended December 31, 2021 for additional information regarding the effects of competition. If we are unable to compete successfully, our commercial opportunities will be reduced and our business, results of operations and financial conditions may be materially harmed.</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Present and potential competitors for JAKAFI include major pharmaceutical and biotechnology companies, as well as specialty pharmaceutical firms.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December 2027. To date, to our knowledge, the FDA has taken no action with respect to this ANDA. Separately, in January 2018 the Patent Trial and Appeal Board (PTAB) of United States Patent and Trademark Office denied a petition challenging our patent covering deuterated ruxolitinib analogs and the PTAB subsequently denied the petitioner’s request for rehearing in May 2018. Nevertheless, the petitioner still has the right separately to challenge the validity of our patent in federal court. There can be no assurance that our patents will be upheld or that any litigation in which we might engage with any such generic manufacturer would be successful in protecting JAKAFI’s exclusivity. The entry of a competitive drug product from another company or a generic version of JAKAFI could result in a decrease in JAKAFI sales and materially harm our business, operating results and financial condition.</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generic versions of imatinib are available and, while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MONJUVI/MINJUVI currently competes with existing therapies that are approved for the treatment of patients with diffuse large B-cell lymphoma on the basis of, among other things, efficacy, cost, breadth of approved use and the safety and side-effect profile. These existing therapies are offered by major pharmaceutical and biotechnology companies, as well as specialty pharmaceutical firms. Competitors and potential competitors for PEMAZYRE include major pharmaceutical and biotechnology companies, as well as specialty pharmaceutical firms. Competitors for OPZELURA include existing over-the-counter topical treatments, prescription topical treatments, including generic versions, such as tacrolimus, pimecrolimus, topical steroids, and EUCRISA (crisaborole) from Pfizer Inc., as well as oral and injectable therapies such as prednisone and other oral steroids, injectable DUPIXENT (dupilimab) from Sanofi and Regeneron Pharmaceuticals, Inc., and oral CIBINQO (abrocitinib) from Pfizer Inc. and RINVOQ (upadacitinib) from AbbVie Inc.</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RISKS RELATING TO OUR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Public health epidemics and pandemics, such as the COVID-19 pandemic, have adversely affected and could in the future adversely affect our business, results of operations, and financial condition.</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global operations expose us to risks associated with public health epidemics and pandemics, such as the COVID-19 pandemic that has spread globally and continues with the proliferation of new variants. The extent to which the COVID-19 pandemic and the measures taken to limit COVID-19’s spread impact our operations and those of our suppliers, collaborators, service providers and healthcare organizations serving patients, as well as demand for our drug products, will depend on future developments, which are highly uncertain and cannot be predicted with confidence, including the duration of the outbreak and any future resurgence of the outbreak, additional or modified government actions, including any further restrictions or reopening of local, state or national social or economic activity, new information that may emerge concerning the severity of COVID-19 and the actions taken to contain COVID-19 or treat its impact, among others.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 COVID-19 pandemic, we have experienced and may in the future experience disruptions that could severely impact our business, results of operations and financial condition, including the following:</w:t>
      </w:r>
    </w:p>
    <w:p>
      <w:pPr>
        <w:spacing w:after="0" w:line="170" w:lineRule="exact"/>
        <w:rPr>
          <w:sz w:val="20"/>
          <w:szCs w:val="20"/>
          <w:color w:val="auto"/>
        </w:rPr>
      </w:pPr>
    </w:p>
    <w:p>
      <w:pPr>
        <w:jc w:val="both"/>
        <w:ind w:left="980" w:hanging="324"/>
        <w:spacing w:after="0" w:line="289" w:lineRule="auto"/>
        <w:tabs>
          <w:tab w:leader="none" w:pos="9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When the COVID-19 pandemic commenced, to protect the health of our employees and their families, and our communities, in accordance with – and in some cases in advance of – direction from state and local government authorities, we limited access to our facilities and a significant percentage of our personnel worked remotely. In the event that governmental authorities were to re-establish workplace restrictions, our employees conducting research and development activities may not be able to access our laboratory space or access may be limited, and our research and development activities may be significantly limited or curtailed, possibly for an extended period of time. These research and development activities could include completing Investigational New Drug (IND)/Clinical Trial Application (CTA)-enabling studies, our ability to select future development candidates, and initiation of additional clinical trials for our development programs. Having a significant portion of our employees work from home can strain our information technology infrastructure, which may affect our ability to operate effectively, may make us more susceptible to communications disruptions, and expose us to greater cybersecurity risks.</w:t>
      </w:r>
    </w:p>
    <w:p>
      <w:pPr>
        <w:spacing w:after="0" w:line="166" w:lineRule="exact"/>
        <w:rPr>
          <w:rFonts w:ascii="Arial" w:cs="Arial" w:eastAsia="Arial" w:hAnsi="Arial"/>
          <w:sz w:val="16"/>
          <w:szCs w:val="16"/>
          <w:color w:val="auto"/>
        </w:rPr>
      </w:pPr>
    </w:p>
    <w:p>
      <w:pPr>
        <w:jc w:val="both"/>
        <w:ind w:left="980" w:hanging="324"/>
        <w:spacing w:after="0" w:line="272" w:lineRule="auto"/>
        <w:tabs>
          <w:tab w:leader="none" w:pos="975"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sales and marketing activities, including our interactions with healthcare professionals, have been limited and made more difficult by government or employer imposed work from home orders and travel and workplace visitor restrictions resulting from measures to address the COVID-19 pandemic, as well as employee-initiated remote work and travel limitations resulting from, among other things, the spread of the COVID-19 variants. In addition, demand for our products has been affected by decreases in new patients, which we believe resulted in large part from decreases in patient visits to healthcare professionals and prioritization of hospital resources for the COVID-19 pandemic, resulting in decreases in disease screening and diagnosis. We cannot predict the effects on patient demand or future sales if there are prolonged quarantines, work from home orders, travel restrictions or surges in COVID-19 cases.</w:t>
      </w:r>
    </w:p>
    <w:p>
      <w:pPr>
        <w:spacing w:after="0" w:line="177" w:lineRule="exact"/>
        <w:rPr>
          <w:rFonts w:ascii="Arial" w:cs="Arial" w:eastAsia="Arial" w:hAnsi="Arial"/>
          <w:sz w:val="17"/>
          <w:szCs w:val="17"/>
          <w:color w:val="auto"/>
        </w:rPr>
      </w:pPr>
    </w:p>
    <w:p>
      <w:pPr>
        <w:jc w:val="both"/>
        <w:ind w:left="980" w:hanging="324"/>
        <w:spacing w:after="0" w:line="289" w:lineRule="auto"/>
        <w:tabs>
          <w:tab w:leader="none" w:pos="9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clinical trials have been and will likely continue to be affected by delays in site initiation, patient screening, patient enrollment, and monitoring and data collection as a result of prioritization of hospital resources for the COVID-19 pandemic, difficulty in recruiting and retaining healthcare providers and staff due to their diversion toward treating COVID-19 patients, the potential unwillingness of patients to enroll or continue in clinical trials for fear of exposure to COVID-19 at sites, and the inability to access sites for initiation and monitoring. In addition, some patients may be unable to comply with clinical trial protocols if quarantines or travel restrictions impede patient movement or interrupt health services, we may be unable to obtain blood samples for testing, and we may not be able to provide the trial drug candidate to patients. Also, we rely on independent clinical investigators, contract research organizations and other third-party service providers to assist us in managing, monitoring and otherwise carrying out our preclinical studies and clinical trials, and the COVID-19 pandemic has affected and may continue to affect their ability to devote sufficient time and resources to our programs or to travel to sites to perform work for us.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80" w:hanging="324"/>
        <w:spacing w:after="0" w:line="25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agencies globally have experienced disruptions in their operations as a result of the coronavirus pandemic. The FDA and comparable foreign regulatory agencies may have slower response times or be under-resourced to continue to monitor our clinical trials and, as a result, review, inspection, and other timelines may be materially delayed. If any of these disruptions occur or continue to occur, we cannot predict how long they may last. Our drug candidate application reviews and potential approvals could be impacted or delayed by these disruptions, if they occur or continue to occur.</w:t>
      </w:r>
    </w:p>
    <w:p>
      <w:pPr>
        <w:spacing w:after="0" w:line="187" w:lineRule="exact"/>
        <w:rPr>
          <w:rFonts w:ascii="Arial" w:cs="Arial" w:eastAsia="Arial" w:hAnsi="Arial"/>
          <w:sz w:val="18"/>
          <w:szCs w:val="18"/>
          <w:color w:val="auto"/>
        </w:rPr>
      </w:pPr>
    </w:p>
    <w:p>
      <w:pPr>
        <w:jc w:val="both"/>
        <w:ind w:left="980" w:hanging="324"/>
        <w:spacing w:after="0" w:line="270" w:lineRule="auto"/>
        <w:tabs>
          <w:tab w:leader="none" w:pos="97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outbreak and measures taken to limit the spread of the outbreak, especially if prolonged, could also disrupt our supply chain or limit our ability to obtain sufficient materials for our drug products and product candidates, which could adversely affect our revenues and clinical trial timelines. Currently, our supply chain for our drug products and product candidates depends on operations by us and by other companies in multiple countries around the world, and the effects of the COVID-19 pandemic on any or all of these countries is uncertain and unpredictable and potential disruption is possible. In addition, our third-party manufacturers might experience capacity constraints and delays in producing materials for our drug products and product candidates if they are required, under the U.S. Defense Production Act or similar governmental mandates, to prioritize production of raw materials, supplies, drugs or vaccines to address COVID-19. And, for JAKAFI, while our strategy is to maintain a 24 month stock of active pharmaceutical ingredient, or API, inclusive of finished product, ruxolitinib phosphate might be used by us either to make JAKAFI or for ruxolitinib drug candidates in clinical trials.</w:t>
      </w:r>
    </w:p>
    <w:p>
      <w:pPr>
        <w:spacing w:after="0" w:line="180" w:lineRule="exact"/>
        <w:rPr>
          <w:rFonts w:ascii="Arial" w:cs="Arial" w:eastAsia="Arial" w:hAnsi="Arial"/>
          <w:sz w:val="17"/>
          <w:szCs w:val="17"/>
          <w:color w:val="auto"/>
        </w:rPr>
      </w:pPr>
    </w:p>
    <w:p>
      <w:pPr>
        <w:ind w:left="980" w:hanging="324"/>
        <w:spacing w:after="0" w:line="342" w:lineRule="auto"/>
        <w:tabs>
          <w:tab w:leader="none" w:pos="97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deterioration of worldwide credit and financial markets could result in losses on our holdings of cash and investments due to failures of financial institutions and other parties, and interruptions and delays in our ability to collect, or potential losses on, our accounts receivable.</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collaborators could be affected by similar factors as those that have or could affect our business. The ultimate impact of the COVID-19 pandemic or a similar health epidemic is highly uncertain and subject to change. We do not yet know the full extent of potential impacts or delays on our or our collaborators’ businesses, our revenues, including milestone and royalty revenues from our collaborators, our and our collaborators’ clinical trials, healthcare systems or the global economy as a whole. However, these effects could have a material adverse impact on our business,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our efforts to discover and develop drug candidates and commercialize drug products.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long-term success, revenue growth and diversification of revenues depends on our ability to obtain regulatory approval for new drug products and additional indications for our existing drug products. Our ability to discover and develop drug candidates and to commercialize additional drug products and indications will depend on our ability to:</w:t>
      </w:r>
    </w:p>
    <w:p>
      <w:pPr>
        <w:spacing w:after="0" w:line="184"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hire and retain key employees;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 high quality therapeutic targets;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 potential drug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 products internally or license or acquire drug candidates from others;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 and enroll suitable human subjects, either in the United States or abroad, for our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complete laboratory testing;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commence, conduct and complete safe and effective clinical trials on humans;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and maintain necessary intellectual property rights to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and maintain necessary regulatory approvals for our products, both in the United States and abroad;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arrangements with third parties to provide services or to manufacture our products on our behalf;</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deploy sales, marketing, distribution and manufacturing resources effectively or enter into arrangements with third parties to provide these functions in compliance with all applicable laws;</w:t>
      </w:r>
    </w:p>
    <w:p>
      <w:pPr>
        <w:spacing w:after="0" w:line="170"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appropriate coverage and reimbursement levels for the cost of our products from governmental authorities, private health insurers and other third-party payors;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lease facilities at reasonable rates to support our growth;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arrangements with third parties to license and commercialize our products.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Of the compounds or biologics that we identify as potential drug products or that we may in-license from other companies, including potential products for which we are conducting clinical trials, only a few, if any, are likely to lead to successful drug development programs and commercialized drug products.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depend heavily on the success of our most advanced drug candidates. We and our collaborators might not be able to commercialize any of our or their drug candidates successfully, and we may spend significant time and money attempting to do so.</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invested significant resources in the development of our most advanced drug candidates. We have a number of drug candidates in Phase</w:t>
      </w:r>
    </w:p>
    <w:p>
      <w:pPr>
        <w:spacing w:after="0" w:line="46" w:lineRule="exact"/>
        <w:rPr>
          <w:sz w:val="20"/>
          <w:szCs w:val="20"/>
          <w:color w:val="auto"/>
        </w:rPr>
      </w:pPr>
    </w:p>
    <w:p>
      <w:pPr>
        <w:jc w:val="both"/>
        <w:ind w:firstLine="8"/>
        <w:spacing w:after="0" w:line="251" w:lineRule="auto"/>
        <w:tabs>
          <w:tab w:leader="none" w:pos="2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trials as monotherapies or in combination with other drugs and drug candidates, including parsaclisib, pemigatinib, retifanlimab, ruxolitinib, ruxolitinib cream and tafasitamab. Our ability to generate product revenues will depend on the successful development and eventual commercialization of our most advanced drug candidates. We, or our collaborators or licensees, may decide to discontinue development of any or all of our drug candidates at any time for commercial, scientific or other reasons. For example, in April 2018, we along with Merck stopped the ECHO-301 study with epacadostat, and we also significantly downsized the epacadostat development program. If a product is developed but not approved or marketed, or becomes approved for a narrower set of indications than those for which we initially conducted clinical trials, we may have spent significant amounts of time and money on it without achieving potential returns initially anticipated, which could adversely affect our operating results and financial condition as well as our business plans.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or our collaborators’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or our collaborators’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19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or our collaborators’ drug candidates may be stopped, due to many potential factors, including:</w:t>
      </w:r>
    </w:p>
    <w:p>
      <w:pPr>
        <w:spacing w:after="0" w:line="161"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high degree of risk and uncertainty associated with drug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formulate or manufacture sufficient quantities of materials for use in clinical trials;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variability in the number and types of patients available for each study;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unforeseen safety issues or side effects;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poor or unanticipated effectiveness of drug candidates during the clinical trials;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government or regulatory delays.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For example, the FDA has in the past required, and could in the future require, that we or our collaborators conduct additional trials of any of our drug candidates, which would result in delays.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 In addition, in January 2022, we announced that we withdrew the NDA seeking approval of parsaclisib for the treatment of patients with relapsed or refractory follicular lymphoma, marginal zone lymphoma and mantle cell lymphoma. The decision to withdraw the NDA followed discussions with FDA regarding confirmatory clinical trials that we determined cannot be completed within the time period to support the investment.</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January 2016, a Phase II trial that was evaluating ruxolitinib in combination with regorafenib in patients with relapsed or refractory metastatic colorectal cancer and high C-reactive protein was stopped early after a planned analysis of interim efficacy data determined that the likelihood of the trial meeting its efficacy endpoint was insufficient. In addition, in February 2016, we made a decision to discontinue our JANUS 1 study, our JANUS 2 study, our other studies of ruxolitinib in colorectal, breast and lung cancer, and our study of INCB39110 in pancreatic cancer after a planned analysis of interim efficacy data of JANUS 1 demonstrated that ruxolitinib plus capecitabine did not show a sufficient level of efficacy to warrant continuation. Also, in April 2018, we along with Merck announced that the ECHO-301 study had been stopped and we also significantly downsized the epacadostat development program and in January 2020 we stopped our Phase III trial of itacitinib for the treatment of acute graft-versus-host-disease. If clinical trials of any of our or our collaborators’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17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Even if any of our applications receives an FDA Fast Track or priority review designation (including based on a priority review voucher, one of which we recently acquired and used in connection with our submission seeking FDA approval of ruxolitinib cream for atopic dermatitis), these designations may not result in faster review or approval for our product candidate compared to product candidates considered for approval under conventional FDA procedures and, in any event, do not assure ultimate approval of our product candidate by FDA. For example, in June 2021 we were informed by the FDA that the FDA had extended by three months the review period for the NDA for ruxolitinib cream for atopic dermatitis. Also, in July 2021, we announced that the FDA issued a complete response letter for the BLA of retifanlimab for the treatment of squamous cell carcinoma of the anal canal, in which the FDA stated it cannot approve the BLA and that additional data are needed. In addition, while the FDA had granted orphan drug designation and Fast Track designation to parsaclisib as a treatment for patients with follicular lymphoma, marginal zone lymphoma and mantle cell lymphoma, as discussed above we withdrew our NDA seeking approval for treatment of patients with those lymphomas. The FDA has recently increased its attention on mandated confirmatory trials for oncology drug candidates with accelerated approvals, and the logistics, cost and timing required for confirmatory trials may conflict with the investment thesis for drug candidates, resulting in withdrawal of approval applications.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Health care reform measures could impact the pricing and profitability of pharmaceuticals, and adversely affect the commercial viability of our or our collaborators’ products and drug candidates.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recent years, through legislative and regulatory actions and executive orders, the U.S. federal government has made substantial changes to various payment systems under the Medicare and other federal health care programs. Comprehensive reforms to the U.S. healthcare system were enacted, including changes to the methods for, and amounts of, Medicare reimbursement. For example, a provision in the American Rescue Plan Act of 2021 that is expected to be implemented in 2024 will have the effect of increasing the Medicaid rebate liability for some medicines that increase prices in excess of inflation. Further, in August 2022, the Inflation Reduction Act of 2022 was enacted, which includes provisions allowing the federal government to negotiate prices for certain high-priced single source Medicare drugs, to impose penalties and to implement a potential excise tax for manufacturers that fail to comply with the legislation by offering a price that is not equal to or less than the negotiated “maximum fair price” under the law or for taking price increases that exceed inflation. The new law also reduced the out-of-pocket prescription drug costs for Medicare beneficiaries. The Inflation Reduction Act includes certain exemptions for small biotech drug manufacturers, including Incyte, which exempt those drugs from negotiation through 2028 and permit phased-in discounts under the new Part D benefit. While there is currently significant uncertainty regarding the implementation of some of these reforms or the scope of amended or additional reforms, the implementation of reforms could significantly reduce payments from Medicare and Medicaid or otherwise place limitations on the prices that manufacturers may charge for their products. Reforms or other changes to these payment systems may change the availability, methods and rates of reimbursements from Medicare, private insurers and other third-party payors for our current and any future approved products. Some of these changes and proposed changes could result in reduced reimbursement rates or in eliminating dual sources of payment, which could reduce the price that we or any of our collaborators or licensees receive for any products in the future, and which would adversely affect our business strategy, operations and financial results.</w:t>
      </w:r>
    </w:p>
    <w:p>
      <w:pPr>
        <w:spacing w:after="0" w:line="1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there has been an increasing legislative and enforcement interest in the United States with respect to drug pricing practices. This has resulted in significant legislative activity and proposals from the prior and current Administrations relating to prescription drug prices and reimbursement, any of which, if enacted, could impose downward pressure on the prices that we can charge for our products and may further limit the commercial viability of our products and drug candidates. Specifically, there have been ongoing federal congressional inquiries and proposed and enacted federal and state legislation, executive orders and administrative agency rules designed to, among other things, bring more transparency to drug pricing, reduce drug prices, reform government program reimbursement methodologies for prescription drugs, expand access to government-mandated discounted pricing (known as 340B pricing) through broader contract pharmacy arrangements, allow importation of drugs into the United States from other countries, and limit allowable prices for drugs through reference to an average price from foreign markets that may be substantially lower than what we currently or would otherwise charge. In certain foreign markets, pricing or profitability of prescription pharmaceuticals is subject to government control. We expect that the health 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by our revenue potentially being materially adversely affected and our research and development efforts potentially being materially curtailed or, in some cases, ceasing. There may be future changes that result in reductions in current prices, coverage and reimbursement levels for our current or any future approved products, and we cannot predict the scope of any future changes or the impact that those changes would have on our operations.</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consequences of the COVID-19 pandemic, including the economic effect on government budgets in the United States and elsewhere, may accelerate any of the healthcare reform efforts described above or result in future reform efforts, any of which could have adverse effects on our business, including higher costs for us, lower reimbursement rates for our products and lower demand for our products.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the trend toward managed health care in the United States, the organizations for which could control or significantly influence the purchase of health care services and products, as well as legislative and regulatory proposals to reform health care or address the cost of government insurance programs, may all result in lower prices for or rejection of our products. Adoption of our products by the medical community and patients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continuing efforts of legislatures, health agencies and third-party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licensed to Novartis rights to ruxolitinib outside of the United States and worldwide rights to our MET inhibitor compounds, including TABRECTA, and licensed to Lilly worldwide rights to baricitinib. In addition, we have licensed to Innovent, Zai Lab, InnoCare and Maruho certain Asian rights to some of our drug products and clinical stage compounds.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1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have from time to time occurred, and may in the future arise, relating to, among other things, disputes about the achievement and payment of milestone amounts and royalties owed, the ownership of intellectual property that is developed during the course of a collaborative relationship or the operation or interpretation of other provisions in our collaboration agreements. These disputes have led and could in the future lead to litigation or arbitration, which could be costly and divert the efforts of our management and scientific staff, and could diminish the expected effectiveness of the collaboration.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financial condition and future revenue prospects.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Innovent, Zai Lab, InnoCare and Maruho collaborations, we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our revenues and our future revenue prospects.</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or future collaborations. If a business combination involving a collaborator or licensee and a third-party were to occur, the effect could be to terminate or cause delays in development of a drug candidate.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enter into additional licensing agreements or if these arrangements are unsuccessful, our business and operations might be adversely affected.</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Inc., MacroGenics, Inc., Merus N.V., MorphoSys, Syros Pharmaceuticals, Inc., and Syndax Pharmaceuticals, Inc.,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in January 2022, we decided to opt-out of the continued development with Merus of MCLA-145, which was the most advanced compound under our collaboration with Merus, and in September 2022, we decided to terminate our collaboration with Calithera Biosciences, Inc. If we make or</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incur contractual obligations to make significant upfront payments in connection with licenses for late-stage drug candidates, as we did in March 2020 in connection with the effectiveness of our collaboration agreement with MorphoSys, and if any of those drug candidates do not receive marketing approval or commercial sales as anticipated or we have to fund additional clinical trials before marketing approval can be obtained, we will have expended significant funds that might otherwise be applied for other uses or have to expend funds that were not otherwise budgeted or anticipated in connection with the collaboration, and such developments could have a material adverse effect on our stock price and our ability to pursue other transactions. As discussed above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 and we may be unable to increase our number of successfully marketed products and our revenues.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Even if any of our drug candidates receives regulatory approval, it could be subject to post-regulatory surveillance, and may have to be withdrawn from the market or subject to restrictions if previously unknown problems occur. Regulatory agencies may also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will not cover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approved drug product that we bring to the market may not gain market acceptance by physicians, patients, healthcare payors and others in the medical community.</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Even if we or our collaborators are successful in gaining regulatory approval of any of our or our collaborators’ drug candidates in addition to JAKAFI, OLUMIANT, PEMAZYRE, MONJUVI/MINJUVI and OPZELURA or acquire rights to approved drug products in addition to ICLUSIG, we may not generate significant product revenues if these drug products do not achieve an adequate level of acceptance. Physicians may not recommend our or our collaborators’ drug products until longer-term clinical data or other factors demonstrate the safety and efficacy of our or our collaborators’ drug products as compared to other alternative treatments. Even if the clinical safety and efficacy of our or our collaborators’ drug products is established, physicians may elect not to prescribe these drug products for a variety of reasons, including the reimbursement policies of government and other third-party payors and the effectiveness of our or our collaborators’ competitors in marketing their products.</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Market acceptance of our drug products, if approved for commercial sale, will depend on a number of factors, including the following, and market acceptance of our collaborators’ drug products will depend on similar factors:</w:t>
      </w:r>
    </w:p>
    <w:p>
      <w:pPr>
        <w:spacing w:after="0" w:line="170"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and ability of patients and the healthcare community to use our drug products;</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manufacture our drug products in sufficient quantities that meet all applicable quality standards and to offer our drug products for sale at competitive prices;</w:t>
      </w:r>
    </w:p>
    <w:p>
      <w:pPr>
        <w:spacing w:after="0" w:line="170"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perception of patients and the healthcare community, including third-party payors, regarding the safety, efficacy and benefits of our drug products compared to those of competing products or therapies;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pricing and reimbursement of our drug products relative to existing treatments;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marketing and distribution support for our drug products.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September 2021, the FDA updated labeling for JAKAFI and other JAK-inhibitor drugs to include warnings of increased risk of major adverse cardiovascular events, thrombosis, and secondary malignancies related to another JAK-inhibitor treating rheumatoid arthritis, a condition for which JAKAFI is not indicated. The label for OPZELURA contains similar warnings seen with JAK inhibitors for inflammatory conditions. We cannot predict the effects on sales of JAKAFI as a result of the labeling change or OPZELURA as a result of warning included in its label, but it is possible that future sales of JAKAFI and the commercial success of OPZELURA can be negatively affected by the updated labeling, which could have a material and adverse effect on our business, results of operations and prospects.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limited internal resources and capacity to perform preclinical testing and clinical trials. As part of our development strategy, we often hire contract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for our drug discovery and development efforts, and if we do not compete effectively, our commercial opportunities will be reduced or eliminated.</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biotechnology and pharmaceutical industries are intensely competitive and subject to rapid and significant technological change. Our drug discovery and development efforts may target diseases and conditions that are already subject to existing therapies or that are being developed by our competitors, many of which have substantially greater resources, larger research and development staffs and facilities, more experience in completing preclinical testing and clinical trials, and formulation, marketing and manufacturing capabilities. As a result of these resources, our competitors may develop drug products that render our products obsolete or noncompetitive by developing more effective drugs, developing their products more efficiently or pricing their products more competitively. Our ability to develop competitive products would be limited if our competitors succeeded in obtaining regulatory approvals for drug candidates more rapidly than we were able to or in obtaining patent protection or other intellectual property rights that limited our drug development efforts. Any drug products resulting from our research and development efforts, or from our joint efforts with collaborators or licensees, might not be able to compete successfully with our competitors’ existing and future products, or obtain regulatory approval in the United States or elsewhere. The development of products or processes by our competitors with significant advantages over those that we are developing could harm our future revenues and profitability.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do not currently operate manufacturing facilities for clinical or commercial production of JAKAFI, PEMAZYRE, OPZELURA and most of our other drug candidates or for ICLUSIG. We currently hire third parties to manufacture the raw materials, API and finished drug product of JAKAFI, ICLUSIG, PEMAZYRE, OPZELURA and our other drug candidates for clinical trials and our collaborator MorphoSys is currently responsible for sourcing manufacturing of MONJUVI/MINJUVI. In addition, we expect to continue to rely on third parties for the manufacture of commercial supplies of raw materials, API and finished drug product for any drugs that we successfully develop. We also hire third parties to package and label the finished product. The FDA requires that the raw materials, API and finished product for drug products such as JAKAFI, PEMAZYRE and OPZELURA and our other drug candidates be manufactured according to its current Good Manufacturing Practices regulations and regulatory authorities in other countries have similar requirements. There are only a limited number of manufacturers that comply with these requirements. Failure to comply with current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enforcing product recalls or other enforcement actions, which could have a material adverse effect on our business.</w:t>
      </w:r>
    </w:p>
    <w:p>
      <w:pPr>
        <w:spacing w:after="0" w:line="18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to commercial quantities from clinical quantities. These problems include difficulties with production costs and yields, quality control and assurance and shortages of qualified personnel. To the extent problems are experienced, we could encounter difficulties in supplying sufficient product to meet demand or incur additional costs to remedy the problems or to recall defective products. Any such recall could also harm our sales efforts and our reputation. To the extent our supply chain involves parties in China or materials originating in areas of China that are or could be affected by disease outbreaks such as the COVID-19 pandemic or geopolitical events such as the Russian invasion of Ukraine, we could see disruptions to our supply chain. Currently, our supply chain for our drug products and product candidates depends on operations by us and by other companies in multiple countries around the world, and the effects of the COVID-19 pandemic and measures to address the COVID-19 pandemic, as well as the effects resulting from the Russian invasion of Ukraine and related sanctions and other actions, on any or all of these countries is uncertain and unpredictable and potential disruption is possible. And, for JAKAFI, while our strategy is to maintain a 24 months stock of API, inclusive of finished product, ruxolitinib phosphate might be used by us either to make JAKAFI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our drug products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w:t>
      </w:r>
    </w:p>
    <w:p>
      <w:pPr>
        <w:spacing w:after="0" w:line="18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number of our collaborations involve the manufacture of antibodies. Either we or our collaborators have primary responsibility for manufacturing activities, and we intend to continue to use third-party contract manufacturing organizations for the manufacture of antibodies in conjunction with our manufacturing facility in Switzerland, which became accredited by the Swiss Health Authority in June 2022.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may encounter delays and difficulties in scaling up production at our new facility.</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or DOJ, for documents and information relating to our speaker programs and patient assistance programs, including our support of non-profit organizations that provide financial assistance to eligible patients and in November 2019, the qui tam complaint underlying the DOJ inquiry was unsealed, at which time we learned that a former employee whom we had terminated had made certain allegations relating to the programs described above. While we deny that any improper claims were submitted to government payers, we agreed in May 2021 to settle the matter with the DOJ Civil Division for $12.6 million, plus certain statutory fees.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and any settlement of these proceedings could result in significant payments by us.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illegal distribution and sale by third parties of counterfeit or unfit versions of our or our collaborators’ products or stolen products could harm our business and reputation.</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most of our drug discovery and development operations are conducted at our headquarters in Wilmington, Delaware, the loss of access to this facility would negatively impact our business.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8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ability to develop and commercialize products could suffer.</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June 2016, we completed the acquisition of the European operations of ARIAD.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achieve planned synergies or cost savings,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For example, for the year ended December 31, 2021 and for the three and nine months ended September 30, 2022, we recorded unrealized losses related to our investments in our collaboration partners, and we may in experience additional losses related to our investments in future period. In addition, if we choose to issue shares of our stock as consideration for any acquisition, dilution to our stockholders could result.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acquisition of ARIAD’s European operations significantly expanded our operations in Europe, and we plan to continue to expand our operations and conduct certain development activities outside of the United States. For example, as part of our plans to expand our activities outside of the United States, we now conduct some of our operations in Canada, commercial and clinical development activities in Japan and have opened an office in China. International operations and business expansion plans are subject to numerous additional risks, including:</w:t>
      </w:r>
    </w:p>
    <w:p>
      <w:pPr>
        <w:spacing w:after="0" w:line="171" w:lineRule="exact"/>
        <w:rPr>
          <w:sz w:val="20"/>
          <w:szCs w:val="20"/>
          <w:color w:val="auto"/>
        </w:rPr>
      </w:pPr>
    </w:p>
    <w:p>
      <w:pPr>
        <w:jc w:val="both"/>
        <w:ind w:left="980" w:hanging="324"/>
        <w:spacing w:after="0" w:line="263"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as we enter into additional jurisdictions;</w:t>
      </w:r>
    </w:p>
    <w:p>
      <w:pPr>
        <w:spacing w:after="0" w:line="183"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in staffing and managing operations in diverse countries and difficulties in connection with assimilating and integrating any operations and personnel we might acquire into our company;</w:t>
      </w:r>
    </w:p>
    <w:p>
      <w:pPr>
        <w:spacing w:after="0" w:line="170"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risks associated with obtaining and maintaining, or the failure to obtain or maintain, regulatory approvals for the sale or use of our products in various countries;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complexities associated with managing government payor systems, multiple payor-reimbursement regimes or patient self-pay systems;</w:t>
      </w:r>
    </w:p>
    <w:p>
      <w:pPr>
        <w:spacing w:after="0" w:line="236" w:lineRule="exact"/>
        <w:rPr>
          <w:rFonts w:ascii="Arial" w:cs="Arial" w:eastAsia="Arial" w:hAnsi="Arial"/>
          <w:sz w:val="17"/>
          <w:szCs w:val="17"/>
          <w:color w:val="auto"/>
        </w:rPr>
      </w:pPr>
    </w:p>
    <w:p>
      <w:pPr>
        <w:ind w:left="98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political and economic conditions in the countries in which we operate, including terrorism and political unrest, geopolitical events such as the Russian invasion of Ukraine, curtailment of trade and other business restrictions, and uncertainties associated with the implementation of the relationship between the United Kingdom and the European Union;</w:t>
      </w:r>
    </w:p>
    <w:p>
      <w:pPr>
        <w:spacing w:after="0" w:line="183"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 health risks, such as the effects of the COVID-19 pandemic, and related effects on new patient starts, clinical trial activity, regulatory agency response times, supply chain, travel and employee health and availability; 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80" w:hanging="324"/>
        <w:spacing w:after="0" w:line="259"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our revenues are subject to foreign currency exchange rate fluctuations due to the global nature of our operations and unfavorable changes in foreign currency exchange rates may adversely affect our revenues and net income. To the extent that our non-U.S. source revenues represent a more significant portion of our total revenues, these fluctuations could materially affect our operating results. 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Since December 30, 2017, we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disruptions could seriously harm our operations, future revenues and financial condition and increase our costs and expenses.</w:t>
      </w:r>
    </w:p>
    <w:p>
      <w:pPr>
        <w:spacing w:after="0" w:line="2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operations, and those of our CROs, suppliers, and other contractors and consultants, could be subject to geopolitical events, natural disasters, power and other infrastructure failures or shortages, public health pandemics or epidemics, and other natural or man-made disasters or business interruptions. In addition, geopolitical and other events, such as the Russian invasion of Ukraine,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 The occurrence of any of these business disruptions could seriously harm our operations, future revenues and financial condition and increase our costs and expenses. We have engaged CROs to conduct clinical trials outside the United States, including a limited number of trials in Ukraine and Russia. We may not be able to complete any additional dosing or follow-up visits of patients in Ukraine and Russia who are participating in these clinical trials. We may also be unable to ship additional clinical drug and other supplies necessary to complete the clinical trials in Ukraine and Russia. Although the impact of Russia’s invasion is highly unpredictable, certain clinical trial activities have already been changed or suspended, and may continue to be changed, suspended or terminated, which could potentially increase our costs, slow down our product candidate development and approval process and jeopardize our ability to commence product sales and generate revenues.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FINANCIAL RESULTS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historical net losses, we had an accumulated deficit of $0.5 billion as of September 30, 2022. We intend to continue to spend significant amounts on our efforts to discover and develop drugs. As a result, we may incur losses in future periods as well.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we cannot assure you that we will generate substantial revenues from the drug candidates that we license or develop, including ICLUSIG, PEMAZYRE, MONJUVI/MINJUVI, and OPZELURA, for several years, if ever.</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cannot be certain whether or when we will achieve sustained or increased profitability on a quarterly or annual basis because of the factors discussed under “Risks Relating to Commercialization of our Products” and in the above paragraphs and the significant uncertainties relating to our ability to generate commercially successful drug products. Even if we are successful in obtaining regulatory approvals for manufacturing and commercializing drug products in addition to JAKAFI, ICLUSIG, PEMAZYRE, MONJUVI/MINJUVI, and OPZELURA, we may incur losses if our drug products do not generate significant revenues.</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future funding requirements will depend on many factors and we anticipate that we may need to raise additional capital to fund our business plan and research and development efforts going-forward.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factors that may affect our future funding requirements include:</w:t>
      </w:r>
    </w:p>
    <w:p>
      <w:pPr>
        <w:spacing w:after="0" w:line="225"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acquisition of businesses, technologies, or drug candidates, or the licensing of technologies or drug candidates,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of revenues generated from our business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changes in the breadth of our research and development programs;</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research and development, preclinical testing and clinical trials conducted by us or our current or future collaborators or licensees, if 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exercise of any co-development options with collaborators that may require us to fund future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for future facility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maintain and establish new corporate relationships and research collaborations;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time and costs involved in filing, prosecuting, defending and enforcing patent and intellectual property claims;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receipt or payment of contingent licensing or milestone fees or royalties on product sales from our current or future collaborative and license arrangements, if established;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regulatory approvals, if any.</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equity-linked securities in the future may be dilutive to our stockholders and may provide for rights, preferences or privileges senior to those of our holders of common stock, and debt financing arrangements may require us to pledge certain assets or enter into covenants that could restrict our operations or our ability to pay dividends or other distributions on our common stock or incur further indebtedness.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marketable securities and long term investments are subject to risks that could adversely affect our overall financial position.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invest our cash in accordance with an established internal policy and customarily in short-term instruments, money market funds, U.S.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government backed-funds and Treasury securities, which are investment grade and historically have been highly liquid and carried relatively low risk.</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such as Agenus, Merus and MorphoSys,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loss in value of our long term investments could adversely affect our financial position on the consolidated balance sheets and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regulations could adversely affect our results of operations, business and financial condition.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New tax laws or regulations could be enacted at any time, and existing tax laws or regulations could be interpreted, modified or applied in a manner that is adverse to us or our customers, which could adversely affect our results of operations, business and financial condition. In August 2022, the Inflation Reduction Act of 2022 was enacted, which includes tax provisions implementing a 15% corporate alternative minimum tax on a corporation’s adjusted financial statement income if it exceeds its regular tax liability for tax years beginning after December 31, 2022, and a 1% excise tax on share repurchases occurring after December 31, 2022. At this time, we believe it is unlikely, to have a material impact on our tax provision and financial results in future years. In addition, the Organisation for Economic Co-Operation and Development (OECD) in October 2021 announced an agreement on an outline for new tax rules that would align countries on a minimum corporate tax rate and an expansion of the taxing rights of market countries. If enacted by member countries, this agreement could result in tax increases in both the United States and many foreign jurisdictions where we operate or have a presence. These initiatives not only could significantly increase our tax provision, cash tax liabilities, and effective tax rate, but could also significantly increase tax uncertainty due to differing interpretations and increased audit scrutiny.</w:t>
      </w:r>
    </w:p>
    <w:p>
      <w:pPr>
        <w:spacing w:after="0" w:line="18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We derive a substantial portion of our revenues from royalties, milestone payments and other payments under our collaboration agreements. 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spacing w:after="0" w:line="14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derived a substantial portion of our revenues for the year ended December 31, 2021 and the three and nine months ended September 30, 2022 from JAKAVI and OLUMIANT product royalties and from milestone payments under our collaboration agreements.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a first line therapy,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could affect potential future royalty and milestone and contract revenue.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INTELLECTUAL PROPERTY AND LEGAL MATTERS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subject to arbitration, litigation and infringement claims, they could be costly and disrupt our drug discovery and development efforts.</w:t>
      </w:r>
    </w:p>
    <w:p>
      <w:pPr>
        <w:spacing w:after="0" w:line="24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70"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assert claims of infringement;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enforce our patents or trademarks;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protect our trade secrets or know-how;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determine the enforceability, scope and validity of the proprietary rights of others.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non-infringing technology or license technology on a timely basis or on reasonable terms, our business could be harmed.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Products—Competition for our products could potentially harm our business and result in a decrease in our revenue,” a potential generic drug company competitor has challenged certain patents relating to JAKAFI.</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Additionally, when we do not control the prosecution, maintenance and enforcement of certain important intellectual property, such as a drug candidate in-licensed to us or subject to a collaboration with a third-party, the protection of the intellectual property rights may not be in our hands. If we do not control the intellectual property rights in-licensed to us with respect to a drug candidate and the entity that controls the intellectual property rights does not adequately protect those rights, our rights may be impaired, which may impact our ability to develop, market and commercialize the in-licensed drug candidate.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means of protecting our proprietary rights may not be adequate, and our competitors may:</w:t>
      </w:r>
    </w:p>
    <w:p>
      <w:pPr>
        <w:spacing w:after="0" w:line="225"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independently develop substantially equivalent proprietary information, products and techniques;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otherwise gain access to our proprietary information;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 around patents issued to us or our other intellectual property.</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value of our patents depends, in part, on their duration. A shorter period of patent protection could lessen the value of our rights under any patents that we obtain and may decrease the revenues we derive from our patents. The United States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spacing w:after="0" w:line="15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Other changes in the United States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INFORMATION TECHNOLOGY AND DATA PRIVACY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Significant disruptions of information technology systems, breaches of data security, or unauthorized disclosures of sensitive data or personally identifiable information or individually identifiable health information could adversely affect our business, and could subject us to liability or reputational damage.</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us potentially vulnerable to IT system breakdowns, malicious intrusion, and computer viruses, which may result in the impairment of our ability to operate our business effectively. In addition, having a significant portion of our employees work remotely due to the COVID-19 pandemic or otherwise can strain our information technology infrastructure, which may affect our ability to operate effectively, may make us more susceptible to communications disruptions, and expose us to greater cybersecurity risks.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continuously evaluating and, where appropriate, enhancing our IT systems to address our planned growth, including to support our planned manufacturing operations. In particular, we are currently in the process of implementing a new enterprise resource planning system.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(including personally identifiable information or individually identifiable health information) of our employees, clinical trial patients, customers, business partners, and others, could lead to potential identity theft, or could lead to reputational harm. Data security breaches could also result in loss of clinical trial data or damage to the integrity of that data.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HIPAA,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the European Parliament and the Council of the European Union has adopted a comprehensive general data privacy regulation, known as the GDPR, which governs the collection and use of personal data in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provides an enforcement authority and imposes large penalties for noncompliance, including the potential for fines of up to €20 million or 4% of the annual global revenues of the infringer, whichever is greater. The United Kingdom has enacted legislation similar to the GDPR, the UK GDPR, which provides for potential fines of up to the greater of £17.5 million or 4% of the annual global revenue. Moreover, the European Court of Justice in July 2020 invalidated the Privacy Shield framework that had been in place between the European Union and the United States, which invalidation has created uncertainty about how data can now be shared in a compliant manner. Additionally, the California Consumer Privacy Act (CCPA) affords a private right of action to such consumers if certain data breaches result in the loss or theft of their personal information. The GDPR, UK GDPR, CCPA and other similar laws or regulations enacted or proposed to be enacted in the United States or other jurisdictions associated with the enhanced protection of certain types of sensitive data, including healthcare data or other personal information, may increase our costs of doing business, and the differing requirements of these laws and regulations can complicate our compliance efforts.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7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92"/>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7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4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10.1†*</w:t>
            </w:r>
          </w:p>
        </w:tc>
        <w:tc>
          <w:tcPr>
            <w:tcW w:w="20" w:type="dxa"/>
            <w:vAlign w:val="bottom"/>
          </w:tcPr>
          <w:p>
            <w:pPr>
              <w:spacing w:after="0"/>
              <w:rPr>
                <w:sz w:val="17"/>
                <w:szCs w:val="17"/>
                <w:color w:val="auto"/>
              </w:rPr>
            </w:pPr>
          </w:p>
        </w:tc>
        <w:tc>
          <w:tcPr>
            <w:tcW w:w="9760" w:type="dxa"/>
            <w:vAlign w:val="bottom"/>
            <w:gridSpan w:val="7"/>
          </w:tcPr>
          <w:p>
            <w:pPr>
              <w:spacing w:after="0" w:line="202" w:lineRule="exact"/>
              <w:rPr>
                <w:sz w:val="20"/>
                <w:szCs w:val="20"/>
                <w:color w:val="auto"/>
              </w:rPr>
            </w:pPr>
            <w:r>
              <w:rPr>
                <w:rFonts w:ascii="Arial" w:cs="Arial" w:eastAsia="Arial" w:hAnsi="Arial"/>
                <w:sz w:val="18"/>
                <w:szCs w:val="18"/>
                <w:color w:val="0000FF"/>
                <w:w w:val="96"/>
              </w:rPr>
              <w:t>Amendment No. 3, dated as of July 14, 2022, to Global Collaboration and License Agreement, dated October 24, 2017, by and</w:t>
            </w: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between the Company and MacroGenics, Inc.</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0000EE"/>
              </w:rPr>
              <w:t>Rule 13a-14(a) Certification of Chief Executive Officer.</w:t>
            </w:r>
          </w:p>
        </w:tc>
        <w:tc>
          <w:tcPr>
            <w:tcW w:w="0" w:type="dxa"/>
            <w:vAlign w:val="bottom"/>
          </w:tcPr>
          <w:p>
            <w:pPr>
              <w:spacing w:after="0"/>
              <w:rPr>
                <w:sz w:val="1"/>
                <w:szCs w:val="1"/>
                <w:color w:val="auto"/>
              </w:rPr>
            </w:pPr>
          </w:p>
        </w:tc>
      </w:tr>
      <w:tr>
        <w:trPr>
          <w:trHeight w:val="398"/>
        </w:trPr>
        <w:tc>
          <w:tcPr>
            <w:tcW w:w="136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w w:val="93"/>
              </w:rPr>
              <w:t>Rule 13a-14(a) Certification of Chief Financial Officer.</w:t>
            </w:r>
          </w:p>
        </w:tc>
        <w:tc>
          <w:tcPr>
            <w:tcW w:w="57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4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36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0000EE"/>
              </w:rPr>
              <w:t>Statement of the Chief Executive Officer under Section 906 of the Sarbanes-Oxley Act of 2002 (18 U.S.C. Section 1350).</w:t>
            </w:r>
          </w:p>
        </w:tc>
        <w:tc>
          <w:tcPr>
            <w:tcW w:w="0" w:type="dxa"/>
            <w:vAlign w:val="bottom"/>
          </w:tcPr>
          <w:p>
            <w:pPr>
              <w:spacing w:after="0"/>
              <w:rPr>
                <w:sz w:val="1"/>
                <w:szCs w:val="1"/>
                <w:color w:val="auto"/>
              </w:rPr>
            </w:pPr>
          </w:p>
        </w:tc>
      </w:tr>
      <w:tr>
        <w:trPr>
          <w:trHeight w:val="399"/>
        </w:trPr>
        <w:tc>
          <w:tcPr>
            <w:tcW w:w="136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w w:val="91"/>
              </w:rPr>
              <w:t>Statement of the Chief Financial Officer under Section 906 of the Sarbanes-Oxley Act of 2002 (18 U.S.C. Section 1350).</w:t>
            </w:r>
          </w:p>
        </w:tc>
        <w:tc>
          <w:tcPr>
            <w:tcW w:w="10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60" w:type="dxa"/>
            <w:vAlign w:val="bottom"/>
            <w:gridSpan w:val="4"/>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419"/>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418"/>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18"/>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418"/>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r>
        <w:trPr>
          <w:trHeight w:val="419"/>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480" w:hanging="1454"/>
        <w:spacing w:after="0"/>
        <w:tabs>
          <w:tab w:leader="none" w:pos="14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_____________________________</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17" w:lineRule="exact"/>
        <w:rPr>
          <w:rFonts w:ascii="Arial" w:cs="Arial" w:eastAsia="Arial" w:hAnsi="Arial"/>
          <w:sz w:val="18"/>
          <w:szCs w:val="18"/>
          <w:color w:val="auto"/>
        </w:rPr>
      </w:pPr>
    </w:p>
    <w:p>
      <w:pPr>
        <w:jc w:val="both"/>
        <w:ind w:left="340" w:hanging="332"/>
        <w:spacing w:after="0" w:line="263" w:lineRule="auto"/>
        <w:tabs>
          <w:tab w:leader="none" w:pos="378"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76" w:lineRule="exact"/>
        <w:rPr>
          <w:sz w:val="20"/>
          <w:szCs w:val="20"/>
          <w:color w:val="auto"/>
        </w:rPr>
      </w:pPr>
    </w:p>
    <w:p>
      <w:pPr>
        <w:ind w:left="280" w:hanging="272"/>
        <w:spacing w:after="0"/>
        <w:tabs>
          <w:tab w:leader="none" w:pos="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Portions </w:t>
      </w:r>
      <w:r>
        <w:rPr>
          <w:rFonts w:ascii="Arial" w:cs="Arial" w:eastAsia="Arial" w:hAnsi="Arial"/>
          <w:sz w:val="18"/>
          <w:szCs w:val="18"/>
          <w:color w:val="212529"/>
        </w:rPr>
        <w:t>of this exhibit have been omitted pursuant to Item 601(b)(10)(iv) of Regulation S-K</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520" w:type="dxa"/>
            <w:vAlign w:val="bottom"/>
            <w:gridSpan w:val="2"/>
          </w:tcPr>
          <w:p>
            <w:pPr>
              <w:ind w:left="1960"/>
              <w:spacing w:after="0"/>
              <w:rPr>
                <w:sz w:val="20"/>
                <w:szCs w:val="20"/>
                <w:color w:val="auto"/>
              </w:rPr>
            </w:pPr>
            <w:r>
              <w:rPr>
                <w:rFonts w:ascii="Arial" w:cs="Arial" w:eastAsia="Arial" w:hAnsi="Arial"/>
                <w:sz w:val="18"/>
                <w:szCs w:val="18"/>
                <w:color w:val="auto"/>
              </w:rPr>
              <w:t>INCYTE CORPORATION</w:t>
            </w:r>
          </w:p>
        </w:tc>
      </w:tr>
      <w:tr>
        <w:trPr>
          <w:trHeight w:val="425"/>
        </w:trPr>
        <w:tc>
          <w:tcPr>
            <w:tcW w:w="3700" w:type="dxa"/>
            <w:vAlign w:val="bottom"/>
          </w:tcPr>
          <w:p>
            <w:pPr>
              <w:spacing w:after="0"/>
              <w:rPr>
                <w:sz w:val="20"/>
                <w:szCs w:val="20"/>
                <w:color w:val="auto"/>
              </w:rPr>
            </w:pPr>
            <w:r>
              <w:rPr>
                <w:rFonts w:ascii="Arial" w:cs="Arial" w:eastAsia="Arial" w:hAnsi="Arial"/>
                <w:sz w:val="18"/>
                <w:szCs w:val="18"/>
                <w:color w:val="auto"/>
              </w:rPr>
              <w:t>Dated: November 1, 2022</w:t>
            </w:r>
          </w:p>
        </w:tc>
        <w:tc>
          <w:tcPr>
            <w:tcW w:w="2400" w:type="dxa"/>
            <w:vAlign w:val="bottom"/>
          </w:tcPr>
          <w:p>
            <w:pPr>
              <w:ind w:left="196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HERVÉ HOPPENOT</w:t>
            </w:r>
          </w:p>
        </w:tc>
      </w:tr>
      <w:tr>
        <w:trPr>
          <w:trHeight w:val="243"/>
        </w:trPr>
        <w:tc>
          <w:tcPr>
            <w:tcW w:w="37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Hervé Hoppenot</w:t>
            </w:r>
          </w:p>
        </w:tc>
      </w:tr>
      <w:tr>
        <w:trPr>
          <w:trHeight w:val="257"/>
        </w:trPr>
        <w:tc>
          <w:tcPr>
            <w:tcW w:w="37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57"/>
        </w:trPr>
        <w:tc>
          <w:tcPr>
            <w:tcW w:w="37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25"/>
        </w:trPr>
        <w:tc>
          <w:tcPr>
            <w:tcW w:w="3700" w:type="dxa"/>
            <w:vAlign w:val="bottom"/>
          </w:tcPr>
          <w:p>
            <w:pPr>
              <w:spacing w:after="0"/>
              <w:rPr>
                <w:sz w:val="20"/>
                <w:szCs w:val="20"/>
                <w:color w:val="auto"/>
              </w:rPr>
            </w:pPr>
            <w:r>
              <w:rPr>
                <w:rFonts w:ascii="Arial" w:cs="Arial" w:eastAsia="Arial" w:hAnsi="Arial"/>
                <w:sz w:val="18"/>
                <w:szCs w:val="18"/>
                <w:color w:val="auto"/>
              </w:rPr>
              <w:t>Dated: November 1, 2022</w:t>
            </w:r>
          </w:p>
        </w:tc>
        <w:tc>
          <w:tcPr>
            <w:tcW w:w="2400" w:type="dxa"/>
            <w:vAlign w:val="bottom"/>
          </w:tcPr>
          <w:p>
            <w:pPr>
              <w:ind w:left="196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CHRISTIANA STAMOULIS</w:t>
            </w:r>
          </w:p>
        </w:tc>
      </w:tr>
      <w:tr>
        <w:trPr>
          <w:trHeight w:val="243"/>
        </w:trPr>
        <w:tc>
          <w:tcPr>
            <w:tcW w:w="37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Christiana Stamoulis</w:t>
            </w:r>
          </w:p>
        </w:tc>
      </w:tr>
      <w:tr>
        <w:trPr>
          <w:trHeight w:val="257"/>
        </w:trPr>
        <w:tc>
          <w:tcPr>
            <w:tcW w:w="37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56"/>
        </w:trPr>
        <w:tc>
          <w:tcPr>
            <w:tcW w:w="37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918"/>
        </w:trPr>
        <w:tc>
          <w:tcPr>
            <w:tcW w:w="3700" w:type="dxa"/>
            <w:vAlign w:val="bottom"/>
          </w:tcPr>
          <w:p>
            <w:pPr>
              <w:spacing w:after="0"/>
              <w:rPr>
                <w:sz w:val="24"/>
                <w:szCs w:val="24"/>
                <w:color w:val="auto"/>
              </w:rPr>
            </w:pPr>
          </w:p>
        </w:tc>
        <w:tc>
          <w:tcPr>
            <w:tcW w:w="2400" w:type="dxa"/>
            <w:vAlign w:val="bottom"/>
          </w:tcPr>
          <w:p>
            <w:pPr>
              <w:jc w:val="right"/>
              <w:ind w:right="310"/>
              <w:spacing w:after="0"/>
              <w:rPr>
                <w:sz w:val="20"/>
                <w:szCs w:val="20"/>
                <w:color w:val="auto"/>
              </w:rPr>
            </w:pPr>
            <w:r>
              <w:rPr>
                <w:rFonts w:ascii="Arial" w:cs="Arial" w:eastAsia="Arial" w:hAnsi="Arial"/>
                <w:sz w:val="18"/>
                <w:szCs w:val="18"/>
                <w:color w:val="auto"/>
              </w:rPr>
              <w:t>87</w:t>
            </w:r>
          </w:p>
        </w:tc>
        <w:tc>
          <w:tcPr>
            <w:tcW w:w="512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87" w:name="page88"/>
    <w:bookmarkEnd w:id="87"/>
    <w:p>
      <w:pPr>
        <w:ind w:left="9960"/>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b w:val="1"/>
          <w:bCs w:val="1"/>
          <w:i w:val="1"/>
          <w:iCs w:val="1"/>
          <w:color w:val="auto"/>
        </w:rPr>
        <w:t>Certain identified information, marked by [***], has been excluded from the exhibit because it is both not material and is the type that the Company treats as private or confidential.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3 TO GLOBAL COLLABORATION AND LICENSE AGREEMENT</w:t>
      </w:r>
    </w:p>
    <w:p>
      <w:pPr>
        <w:spacing w:after="0" w:line="18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This Amendment No. 3 to Global Collaboration and License Agreement (this “</w:t>
      </w:r>
      <w:r>
        <w:rPr>
          <w:rFonts w:ascii="Arial" w:cs="Arial" w:eastAsia="Arial" w:hAnsi="Arial"/>
          <w:sz w:val="21"/>
          <w:szCs w:val="21"/>
          <w:u w:val="single" w:color="auto"/>
          <w:color w:val="auto"/>
        </w:rPr>
        <w:t>Amendment No. 3</w:t>
      </w:r>
      <w:r>
        <w:rPr>
          <w:rFonts w:ascii="Arial" w:cs="Arial" w:eastAsia="Arial" w:hAnsi="Arial"/>
          <w:sz w:val="21"/>
          <w:szCs w:val="21"/>
          <w:color w:val="auto"/>
        </w:rPr>
        <w:t xml:space="preserve">”) is dated as of July 14, 2022, by and between </w:t>
      </w:r>
      <w:r>
        <w:rPr>
          <w:rFonts w:ascii="Arial" w:cs="Arial" w:eastAsia="Arial" w:hAnsi="Arial"/>
          <w:sz w:val="21"/>
          <w:szCs w:val="21"/>
          <w:b w:val="1"/>
          <w:bCs w:val="1"/>
          <w:color w:val="auto"/>
        </w:rPr>
        <w:t>INCYTE CORPORATION</w:t>
      </w:r>
      <w:r>
        <w:rPr>
          <w:rFonts w:ascii="Arial" w:cs="Arial" w:eastAsia="Arial" w:hAnsi="Arial"/>
          <w:sz w:val="21"/>
          <w:szCs w:val="21"/>
          <w:color w:val="auto"/>
        </w:rPr>
        <w:t>, a Delaware corporation, having its principal place of business at 1801 Augustine Cut-Off, Wilmington, DE 19803 (hereinafter “</w:t>
      </w:r>
      <w:r>
        <w:rPr>
          <w:rFonts w:ascii="Arial" w:cs="Arial" w:eastAsia="Arial" w:hAnsi="Arial"/>
          <w:sz w:val="21"/>
          <w:szCs w:val="21"/>
          <w:u w:val="single" w:color="auto"/>
          <w:color w:val="auto"/>
        </w:rPr>
        <w:t>Incyte</w:t>
      </w:r>
      <w:r>
        <w:rPr>
          <w:rFonts w:ascii="Arial" w:cs="Arial" w:eastAsia="Arial" w:hAnsi="Arial"/>
          <w:sz w:val="21"/>
          <w:szCs w:val="21"/>
          <w:color w:val="auto"/>
        </w:rPr>
        <w:t xml:space="preserve">”), and </w:t>
      </w:r>
      <w:r>
        <w:rPr>
          <w:rFonts w:ascii="Arial" w:cs="Arial" w:eastAsia="Arial" w:hAnsi="Arial"/>
          <w:sz w:val="21"/>
          <w:szCs w:val="21"/>
          <w:b w:val="1"/>
          <w:bCs w:val="1"/>
          <w:color w:val="auto"/>
        </w:rPr>
        <w:t>MACROGENICS, INC.</w:t>
      </w:r>
      <w:r>
        <w:rPr>
          <w:rFonts w:ascii="Arial" w:cs="Arial" w:eastAsia="Arial" w:hAnsi="Arial"/>
          <w:sz w:val="21"/>
          <w:szCs w:val="21"/>
          <w:color w:val="auto"/>
        </w:rPr>
        <w:t>, a Delaware corporation, having its principal place of business at 9704 Medical Center Drive, Rockville, MD 20850 (“</w:t>
      </w:r>
      <w:r>
        <w:rPr>
          <w:rFonts w:ascii="Arial" w:cs="Arial" w:eastAsia="Arial" w:hAnsi="Arial"/>
          <w:sz w:val="21"/>
          <w:szCs w:val="21"/>
          <w:u w:val="single" w:color="auto"/>
          <w:color w:val="auto"/>
        </w:rPr>
        <w:t>MacroGenics</w:t>
      </w:r>
      <w:r>
        <w:rPr>
          <w:rFonts w:ascii="Arial" w:cs="Arial" w:eastAsia="Arial" w:hAnsi="Arial"/>
          <w:sz w:val="21"/>
          <w:szCs w:val="21"/>
          <w:color w:val="auto"/>
        </w:rPr>
        <w:t>”, together with Incyte, the “</w:t>
      </w:r>
      <w:r>
        <w:rPr>
          <w:rFonts w:ascii="Arial" w:cs="Arial" w:eastAsia="Arial" w:hAnsi="Arial"/>
          <w:sz w:val="21"/>
          <w:szCs w:val="21"/>
          <w:u w:val="single" w:color="auto"/>
          <w:color w:val="auto"/>
        </w:rPr>
        <w:t>Parties</w:t>
      </w:r>
      <w:r>
        <w:rPr>
          <w:rFonts w:ascii="Arial" w:cs="Arial" w:eastAsia="Arial" w:hAnsi="Arial"/>
          <w:sz w:val="21"/>
          <w:szCs w:val="21"/>
          <w:color w:val="auto"/>
        </w:rPr>
        <w:t>” and each separately, a “</w:t>
      </w:r>
      <w:r>
        <w:rPr>
          <w:rFonts w:ascii="Arial" w:cs="Arial" w:eastAsia="Arial" w:hAnsi="Arial"/>
          <w:sz w:val="21"/>
          <w:szCs w:val="21"/>
          <w:u w:val="single" w:color="auto"/>
          <w:color w:val="auto"/>
        </w:rPr>
        <w:t>Party</w:t>
      </w:r>
      <w:r>
        <w:rPr>
          <w:rFonts w:ascii="Arial" w:cs="Arial" w:eastAsia="Arial" w:hAnsi="Arial"/>
          <w:sz w:val="21"/>
          <w:szCs w:val="21"/>
          <w:color w:val="auto"/>
        </w:rPr>
        <w:t>”), and is meant to amend that certain Global Collaboration and License Agreement, dated as of October 24, 2017, between Incyte and MacroGenics and amended on March 15, 2018 (“</w:t>
      </w:r>
      <w:r>
        <w:rPr>
          <w:rFonts w:ascii="Arial" w:cs="Arial" w:eastAsia="Arial" w:hAnsi="Arial"/>
          <w:sz w:val="21"/>
          <w:szCs w:val="21"/>
          <w:u w:val="single" w:color="auto"/>
          <w:color w:val="auto"/>
        </w:rPr>
        <w:t>Amendment No. 1</w:t>
      </w:r>
      <w:r>
        <w:rPr>
          <w:rFonts w:ascii="Arial" w:cs="Arial" w:eastAsia="Arial" w:hAnsi="Arial"/>
          <w:sz w:val="21"/>
          <w:szCs w:val="21"/>
          <w:color w:val="auto"/>
        </w:rPr>
        <w:t>”) and April 7, 2022 (“</w:t>
      </w:r>
      <w:r>
        <w:rPr>
          <w:rFonts w:ascii="Arial" w:cs="Arial" w:eastAsia="Arial" w:hAnsi="Arial"/>
          <w:sz w:val="21"/>
          <w:szCs w:val="21"/>
          <w:u w:val="single" w:color="auto"/>
          <w:color w:val="auto"/>
        </w:rPr>
        <w:t>Amendment No. 2</w:t>
      </w:r>
      <w:r>
        <w:rPr>
          <w:rFonts w:ascii="Arial" w:cs="Arial" w:eastAsia="Arial" w:hAnsi="Arial"/>
          <w:sz w:val="21"/>
          <w:szCs w:val="21"/>
          <w:color w:val="auto"/>
        </w:rPr>
        <w:t>”). The Global Collaboration and License Agreement, Amendment No. 1, and Amendment No. 2 are referred to herein collectively as the “</w:t>
      </w:r>
      <w:r>
        <w:rPr>
          <w:rFonts w:ascii="Arial" w:cs="Arial" w:eastAsia="Arial" w:hAnsi="Arial"/>
          <w:sz w:val="21"/>
          <w:szCs w:val="21"/>
          <w:u w:val="single" w:color="auto"/>
          <w:color w:val="auto"/>
        </w:rPr>
        <w:t>Agreement</w:t>
      </w:r>
      <w:r>
        <w:rPr>
          <w:rFonts w:ascii="Arial" w:cs="Arial" w:eastAsia="Arial" w:hAnsi="Arial"/>
          <w:sz w:val="21"/>
          <w:szCs w:val="21"/>
          <w:color w:val="auto"/>
        </w:rPr>
        <w:t>”. Capitalized terms used and not otherwise defined herein shall have the meanings ascribed to such terms in the Agreement.</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WHEREAS, the Parties wish to modify the Agreement to reflect changes agreed to between the Parties with respect to (a) the acceleration of payment for certain Milestones with respect to </w:t>
      </w:r>
      <w:r>
        <w:rPr>
          <w:rFonts w:ascii="Arial" w:cs="Arial" w:eastAsia="Arial" w:hAnsi="Arial"/>
          <w:sz w:val="22"/>
          <w:szCs w:val="22"/>
          <w:color w:val="212121"/>
        </w:rPr>
        <w:t>[***]</w:t>
      </w:r>
      <w:r>
        <w:rPr>
          <w:rFonts w:ascii="Arial" w:cs="Arial" w:eastAsia="Arial" w:hAnsi="Arial"/>
          <w:sz w:val="22"/>
          <w:szCs w:val="22"/>
          <w:color w:val="auto"/>
        </w:rPr>
        <w:t xml:space="preserve"> and (b) the </w:t>
      </w:r>
      <w:r>
        <w:rPr>
          <w:rFonts w:ascii="Arial" w:cs="Arial" w:eastAsia="Arial" w:hAnsi="Arial"/>
          <w:sz w:val="22"/>
          <w:szCs w:val="22"/>
          <w:color w:val="212121"/>
        </w:rPr>
        <w:t>[***]</w:t>
      </w:r>
      <w:r>
        <w:rPr>
          <w:rFonts w:ascii="Arial" w:cs="Arial" w:eastAsia="Arial" w:hAnsi="Arial"/>
          <w:sz w:val="22"/>
          <w:szCs w:val="22"/>
          <w:color w:val="auto"/>
        </w:rPr>
        <w:t xml:space="preserve"> of certain Milestones with respect to </w:t>
      </w:r>
      <w:r>
        <w:rPr>
          <w:rFonts w:ascii="Arial" w:cs="Arial" w:eastAsia="Arial" w:hAnsi="Arial"/>
          <w:sz w:val="22"/>
          <w:szCs w:val="22"/>
          <w:color w:val="212121"/>
        </w:rPr>
        <w:t>[***]</w:t>
      </w:r>
      <w:r>
        <w:rPr>
          <w:rFonts w:ascii="Arial" w:cs="Arial" w:eastAsia="Arial" w:hAnsi="Arial"/>
          <w:sz w:val="22"/>
          <w:szCs w:val="22"/>
          <w:color w:val="000000"/>
        </w:rPr>
        <w:t>;</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NOW, THEREFORE, IN CONSIDERATION of the mutual covenants contained herein, and for other good and valuable consideration the receipt and adequacy of which are hereby acknowledged, the Parties agree as follows:</w:t>
      </w:r>
    </w:p>
    <w:p>
      <w:pPr>
        <w:spacing w:after="0" w:line="151" w:lineRule="exact"/>
        <w:rPr>
          <w:sz w:val="20"/>
          <w:szCs w:val="20"/>
          <w:color w:val="auto"/>
        </w:rPr>
      </w:pPr>
    </w:p>
    <w:p>
      <w:pPr>
        <w:jc w:val="both"/>
        <w:ind w:left="980" w:hanging="648"/>
        <w:spacing w:after="0" w:line="214" w:lineRule="auto"/>
        <w:tabs>
          <w:tab w:leader="none" w:pos="98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Acceleration of First Development Milestones with respect to</w:t>
      </w:r>
      <w:r>
        <w:rPr>
          <w:rFonts w:ascii="Arial" w:cs="Arial" w:eastAsia="Arial" w:hAnsi="Arial"/>
          <w:sz w:val="22"/>
          <w:szCs w:val="22"/>
          <w:color w:val="auto"/>
        </w:rPr>
        <w:t xml:space="preserve"> </w:t>
      </w:r>
      <w:r>
        <w:rPr>
          <w:rFonts w:ascii="Arial" w:cs="Arial" w:eastAsia="Arial" w:hAnsi="Arial"/>
          <w:sz w:val="22"/>
          <w:szCs w:val="22"/>
          <w:u w:val="single" w:color="auto"/>
          <w:color w:val="212121"/>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Indications</w:t>
      </w:r>
      <w:r>
        <w:rPr>
          <w:rFonts w:ascii="Arial" w:cs="Arial" w:eastAsia="Arial" w:hAnsi="Arial"/>
          <w:sz w:val="22"/>
          <w:szCs w:val="22"/>
          <w:color w:val="auto"/>
        </w:rPr>
        <w:t xml:space="preserve">. The Parties agree that the first Development Milestone set forth in Section 8.2(b) of the Agreement, </w:t>
      </w:r>
      <w:r>
        <w:rPr>
          <w:rFonts w:ascii="Arial" w:cs="Arial" w:eastAsia="Arial" w:hAnsi="Arial"/>
          <w:sz w:val="22"/>
          <w:szCs w:val="22"/>
          <w:color w:val="212121"/>
        </w:rPr>
        <w:t>[***]</w:t>
      </w:r>
      <w:r>
        <w:rPr>
          <w:rFonts w:ascii="Arial" w:cs="Arial" w:eastAsia="Arial" w:hAnsi="Arial"/>
          <w:sz w:val="22"/>
          <w:szCs w:val="22"/>
          <w:color w:val="auto"/>
        </w:rPr>
        <w:t xml:space="preserve"> (including Incyte Monotherapy Studies and Incyte Combination Studies) </w:t>
      </w:r>
      <w:r>
        <w:rPr>
          <w:rFonts w:ascii="Arial" w:cs="Arial" w:eastAsia="Arial" w:hAnsi="Arial"/>
          <w:sz w:val="22"/>
          <w:szCs w:val="22"/>
          <w:color w:val="212121"/>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Milestone</w:t>
      </w:r>
      <w:r>
        <w:rPr>
          <w:rFonts w:ascii="Arial" w:cs="Arial" w:eastAsia="Arial" w:hAnsi="Arial"/>
          <w:sz w:val="22"/>
          <w:szCs w:val="22"/>
          <w:color w:val="auto"/>
        </w:rPr>
        <w:t xml:space="preserve">”) shall be deemed to have been achieved with respect to the Indications </w:t>
      </w:r>
      <w:r>
        <w:rPr>
          <w:rFonts w:ascii="Arial" w:cs="Arial" w:eastAsia="Arial" w:hAnsi="Arial"/>
          <w:sz w:val="22"/>
          <w:szCs w:val="22"/>
          <w:color w:val="212121"/>
        </w:rPr>
        <w:t>[***]</w:t>
      </w:r>
      <w:r>
        <w:rPr>
          <w:rFonts w:ascii="Arial" w:cs="Arial" w:eastAsia="Arial" w:hAnsi="Arial"/>
          <w:sz w:val="22"/>
          <w:szCs w:val="22"/>
          <w:color w:val="auto"/>
        </w:rPr>
        <w:t xml:space="preserve">. Incyte shall pay MacroGenics within </w:t>
      </w:r>
      <w:r>
        <w:rPr>
          <w:rFonts w:ascii="Arial" w:cs="Arial" w:eastAsia="Arial" w:hAnsi="Arial"/>
          <w:sz w:val="22"/>
          <w:szCs w:val="22"/>
          <w:color w:val="212121"/>
        </w:rPr>
        <w:t>[***]</w:t>
      </w:r>
      <w:r>
        <w:rPr>
          <w:rFonts w:ascii="Arial" w:cs="Arial" w:eastAsia="Arial" w:hAnsi="Arial"/>
          <w:sz w:val="22"/>
          <w:szCs w:val="22"/>
          <w:color w:val="auto"/>
        </w:rPr>
        <w:t xml:space="preserve"> Business Days of the date hereof the amount of </w:t>
      </w:r>
      <w:r>
        <w:rPr>
          <w:rFonts w:ascii="Arial" w:cs="Arial" w:eastAsia="Arial" w:hAnsi="Arial"/>
          <w:sz w:val="22"/>
          <w:szCs w:val="22"/>
          <w:color w:val="212121"/>
        </w:rPr>
        <w:t>[***]</w:t>
      </w:r>
      <w:r>
        <w:rPr>
          <w:rFonts w:ascii="Arial" w:cs="Arial" w:eastAsia="Arial" w:hAnsi="Arial"/>
          <w:sz w:val="22"/>
          <w:szCs w:val="22"/>
          <w:color w:val="auto"/>
        </w:rPr>
        <w:t xml:space="preserve">, representing payment for the achievement of such </w:t>
      </w:r>
      <w:r>
        <w:rPr>
          <w:rFonts w:ascii="Arial" w:cs="Arial" w:eastAsia="Arial" w:hAnsi="Arial"/>
          <w:sz w:val="22"/>
          <w:szCs w:val="22"/>
          <w:color w:val="212121"/>
        </w:rPr>
        <w:t>[***] Milestones</w:t>
      </w:r>
      <w:r>
        <w:rPr>
          <w:rFonts w:ascii="Arial" w:cs="Arial" w:eastAsia="Arial" w:hAnsi="Arial"/>
          <w:sz w:val="22"/>
          <w:szCs w:val="22"/>
          <w:color w:val="auto"/>
        </w:rPr>
        <w:t xml:space="preserve">. The Parties agree that only </w:t>
      </w:r>
      <w:r>
        <w:rPr>
          <w:rFonts w:ascii="Arial" w:cs="Arial" w:eastAsia="Arial" w:hAnsi="Arial"/>
          <w:sz w:val="22"/>
          <w:szCs w:val="22"/>
          <w:color w:val="212121"/>
        </w:rPr>
        <w:t>[***]</w:t>
      </w:r>
      <w:r>
        <w:rPr>
          <w:rFonts w:ascii="Arial" w:cs="Arial" w:eastAsia="Arial" w:hAnsi="Arial"/>
          <w:sz w:val="22"/>
          <w:szCs w:val="22"/>
          <w:color w:val="auto"/>
        </w:rPr>
        <w:t xml:space="preserve"> remains unachieved and potentially payable by Incyte in the future.</w:t>
      </w:r>
    </w:p>
    <w:p>
      <w:pPr>
        <w:spacing w:after="0" w:line="158" w:lineRule="exact"/>
        <w:rPr>
          <w:rFonts w:ascii="Arial" w:cs="Arial" w:eastAsia="Arial" w:hAnsi="Arial"/>
          <w:sz w:val="22"/>
          <w:szCs w:val="22"/>
          <w:color w:val="auto"/>
        </w:rPr>
      </w:pPr>
    </w:p>
    <w:p>
      <w:pPr>
        <w:ind w:left="980" w:hanging="648"/>
        <w:spacing w:after="0"/>
        <w:tabs>
          <w:tab w:leader="none" w:pos="98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Removal of Certain Milestones and Payments for</w:t>
      </w:r>
      <w:r>
        <w:rPr>
          <w:rFonts w:ascii="Arial" w:cs="Arial" w:eastAsia="Arial" w:hAnsi="Arial"/>
          <w:sz w:val="22"/>
          <w:szCs w:val="22"/>
          <w:color w:val="auto"/>
        </w:rPr>
        <w:t xml:space="preserve"> </w:t>
      </w:r>
      <w:r>
        <w:rPr>
          <w:rFonts w:ascii="Arial" w:cs="Arial" w:eastAsia="Arial" w:hAnsi="Arial"/>
          <w:sz w:val="22"/>
          <w:szCs w:val="22"/>
          <w:u w:val="single" w:color="auto"/>
          <w:color w:val="212121"/>
        </w:rPr>
        <w:t>[***]</w:t>
      </w:r>
      <w:r>
        <w:rPr>
          <w:rFonts w:ascii="Arial" w:cs="Arial" w:eastAsia="Arial" w:hAnsi="Arial"/>
          <w:sz w:val="22"/>
          <w:szCs w:val="22"/>
          <w:color w:val="auto"/>
        </w:rPr>
        <w:t>. The Parties agree that:</w:t>
      </w:r>
    </w:p>
    <w:p>
      <w:pPr>
        <w:spacing w:after="0" w:line="179" w:lineRule="exact"/>
        <w:rPr>
          <w:rFonts w:ascii="Arial" w:cs="Arial" w:eastAsia="Arial" w:hAnsi="Arial"/>
          <w:sz w:val="22"/>
          <w:szCs w:val="22"/>
          <w:color w:val="auto"/>
        </w:rPr>
      </w:pPr>
    </w:p>
    <w:p>
      <w:pPr>
        <w:ind w:left="1300" w:right="20" w:hanging="324"/>
        <w:spacing w:after="0" w:line="244" w:lineRule="auto"/>
        <w:rPr>
          <w:rFonts w:ascii="Arial" w:cs="Arial" w:eastAsia="Arial" w:hAnsi="Arial"/>
          <w:sz w:val="22"/>
          <w:szCs w:val="22"/>
          <w:color w:val="auto"/>
        </w:rPr>
      </w:pPr>
      <w:r>
        <w:rPr>
          <w:rFonts w:ascii="Arial" w:cs="Arial" w:eastAsia="Arial" w:hAnsi="Arial"/>
          <w:sz w:val="19"/>
          <w:szCs w:val="19"/>
          <w:color w:val="auto"/>
        </w:rPr>
        <w:t xml:space="preserve">a. The </w:t>
      </w:r>
      <w:r>
        <w:rPr>
          <w:rFonts w:ascii="Arial" w:cs="Arial" w:eastAsia="Arial" w:hAnsi="Arial"/>
          <w:sz w:val="17"/>
          <w:szCs w:val="17"/>
          <w:color w:val="212121"/>
        </w:rPr>
        <w:t>[***]</w:t>
      </w:r>
      <w:r>
        <w:rPr>
          <w:rFonts w:ascii="Arial" w:cs="Arial" w:eastAsia="Arial" w:hAnsi="Arial"/>
          <w:sz w:val="19"/>
          <w:szCs w:val="19"/>
          <w:color w:val="auto"/>
        </w:rPr>
        <w:t xml:space="preserve"> shall not apply with respect to the Indication </w:t>
      </w:r>
      <w:r>
        <w:rPr>
          <w:rFonts w:ascii="Arial" w:cs="Arial" w:eastAsia="Arial" w:hAnsi="Arial"/>
          <w:sz w:val="17"/>
          <w:szCs w:val="17"/>
          <w:color w:val="212121"/>
        </w:rPr>
        <w:t>[***]</w:t>
      </w:r>
      <w:r>
        <w:rPr>
          <w:rFonts w:ascii="Arial" w:cs="Arial" w:eastAsia="Arial" w:hAnsi="Arial"/>
          <w:sz w:val="19"/>
          <w:szCs w:val="19"/>
          <w:color w:val="auto"/>
        </w:rPr>
        <w:t xml:space="preserve">, and </w:t>
      </w:r>
      <w:r>
        <w:rPr>
          <w:rFonts w:ascii="Arial" w:cs="Arial" w:eastAsia="Arial" w:hAnsi="Arial"/>
          <w:sz w:val="17"/>
          <w:szCs w:val="17"/>
          <w:color w:val="212121"/>
        </w:rPr>
        <w:t>[***]</w:t>
      </w:r>
      <w:r>
        <w:rPr>
          <w:rFonts w:ascii="Arial" w:cs="Arial" w:eastAsia="Arial" w:hAnsi="Arial"/>
          <w:sz w:val="19"/>
          <w:szCs w:val="19"/>
          <w:color w:val="auto"/>
        </w:rPr>
        <w:t xml:space="preserve"> for the </w:t>
      </w:r>
      <w:r>
        <w:rPr>
          <w:rFonts w:ascii="Arial" w:cs="Arial" w:eastAsia="Arial" w:hAnsi="Arial"/>
          <w:sz w:val="17"/>
          <w:szCs w:val="17"/>
          <w:color w:val="212121"/>
        </w:rPr>
        <w:t>[***]</w:t>
      </w:r>
      <w:r>
        <w:rPr>
          <w:rFonts w:ascii="Arial" w:cs="Arial" w:eastAsia="Arial" w:hAnsi="Arial"/>
          <w:sz w:val="19"/>
          <w:szCs w:val="19"/>
          <w:color w:val="auto"/>
        </w:rPr>
        <w:t xml:space="preserve"> shall </w:t>
      </w:r>
      <w:r>
        <w:rPr>
          <w:rFonts w:ascii="Arial" w:cs="Arial" w:eastAsia="Arial" w:hAnsi="Arial"/>
          <w:sz w:val="17"/>
          <w:szCs w:val="17"/>
          <w:color w:val="212121"/>
        </w:rPr>
        <w:t>[***]</w:t>
      </w:r>
      <w:r>
        <w:rPr>
          <w:rFonts w:ascii="Arial" w:cs="Arial" w:eastAsia="Arial" w:hAnsi="Arial"/>
          <w:sz w:val="19"/>
          <w:szCs w:val="19"/>
          <w:color w:val="auto"/>
        </w:rPr>
        <w:t xml:space="preserve"> with respect to the Indication of </w:t>
      </w:r>
      <w:r>
        <w:rPr>
          <w:rFonts w:ascii="Arial" w:cs="Arial" w:eastAsia="Arial" w:hAnsi="Arial"/>
          <w:sz w:val="17"/>
          <w:szCs w:val="17"/>
          <w:color w:val="212121"/>
        </w:rPr>
        <w:t>[***]</w:t>
      </w:r>
      <w:r>
        <w:rPr>
          <w:rFonts w:ascii="Arial" w:cs="Arial" w:eastAsia="Arial" w:hAnsi="Arial"/>
          <w:sz w:val="19"/>
          <w:szCs w:val="19"/>
          <w:color w:val="auto"/>
        </w:rPr>
        <w:t xml:space="preserve">, whether by reason of (i) actually </w:t>
      </w:r>
      <w:r>
        <w:rPr>
          <w:rFonts w:ascii="Arial" w:cs="Arial" w:eastAsia="Arial" w:hAnsi="Arial"/>
          <w:sz w:val="17"/>
          <w:szCs w:val="17"/>
          <w:color w:val="212121"/>
        </w:rPr>
        <w:t>[***]</w:t>
      </w:r>
      <w:r>
        <w:rPr>
          <w:rFonts w:ascii="Arial" w:cs="Arial" w:eastAsia="Arial" w:hAnsi="Arial"/>
          <w:sz w:val="19"/>
          <w:szCs w:val="19"/>
          <w:color w:val="auto"/>
        </w:rPr>
        <w:t xml:space="preserve"> in the Indication </w:t>
      </w:r>
      <w:r>
        <w:rPr>
          <w:rFonts w:ascii="Arial" w:cs="Arial" w:eastAsia="Arial" w:hAnsi="Arial"/>
          <w:sz w:val="17"/>
          <w:szCs w:val="17"/>
          <w:color w:val="212121"/>
        </w:rPr>
        <w:t>[***]</w:t>
      </w:r>
      <w:r>
        <w:rPr>
          <w:rFonts w:ascii="Arial" w:cs="Arial" w:eastAsia="Arial" w:hAnsi="Arial"/>
          <w:sz w:val="19"/>
          <w:szCs w:val="19"/>
          <w:color w:val="auto"/>
        </w:rPr>
        <w:t xml:space="preserve"> or (ii) the occurrence of any of the events set forth in the final sentence in the first paragraph of Section 8.2 stating, “In addition, except with respect to the Breakthrough Designation Milestone, if for any reason any other Development Milestone corresponding to a Milestone payment does not occur prior to the occurrence of Regulatory Approval, then such prior non-occurring Development Milestone shall be deemed to occur concurrently with Regulatory Approval, and the applicable Milestone payments for the applicable Development Milestones shall become due and payable in accordance with this Section 8.2.” For clarity, </w:t>
      </w:r>
      <w:r>
        <w:rPr>
          <w:rFonts w:ascii="Arial" w:cs="Arial" w:eastAsia="Arial" w:hAnsi="Arial"/>
          <w:sz w:val="17"/>
          <w:szCs w:val="17"/>
          <w:color w:val="212121"/>
        </w:rPr>
        <w:t>[***]</w:t>
      </w:r>
      <w:r>
        <w:rPr>
          <w:rFonts w:ascii="Arial" w:cs="Arial" w:eastAsia="Arial" w:hAnsi="Arial"/>
          <w:sz w:val="19"/>
          <w:szCs w:val="19"/>
          <w:color w:val="auto"/>
        </w:rPr>
        <w:t xml:space="preserve"> by Incyte, its Affiliates, or sublicensees for a Monotherapy Regimen or Incyte Combination Regimen in the </w:t>
      </w:r>
      <w:r>
        <w:rPr>
          <w:rFonts w:ascii="Arial" w:cs="Arial" w:eastAsia="Arial" w:hAnsi="Arial"/>
          <w:sz w:val="17"/>
          <w:szCs w:val="17"/>
          <w:color w:val="212121"/>
        </w:rPr>
        <w:t>[***]</w:t>
      </w:r>
      <w:r>
        <w:rPr>
          <w:rFonts w:ascii="Arial" w:cs="Arial" w:eastAsia="Arial" w:hAnsi="Arial"/>
          <w:sz w:val="19"/>
          <w:szCs w:val="19"/>
          <w:color w:val="auto"/>
        </w:rPr>
        <w:t xml:space="preserve"> any such Milestone payment.</w:t>
      </w:r>
    </w:p>
    <w:p>
      <w:pPr>
        <w:sectPr>
          <w:pgSz w:w="11900" w:h="16838" w:orient="portrait"/>
          <w:cols w:equalWidth="0" w:num="1">
            <w:col w:w="11240"/>
          </w:cols>
          <w:pgMar w:left="320" w:top="104" w:right="339" w:bottom="1440" w:gutter="0" w:footer="0" w:header="0"/>
        </w:sectPr>
      </w:pPr>
    </w:p>
    <w:bookmarkStart w:id="88" w:name="page89"/>
    <w:bookmarkEnd w:id="88"/>
    <w:p>
      <w:pPr>
        <w:spacing w:after="0" w:line="200" w:lineRule="exact"/>
        <w:rPr>
          <w:sz w:val="20"/>
          <w:szCs w:val="20"/>
          <w:color w:val="auto"/>
        </w:rPr>
      </w:pPr>
    </w:p>
    <w:p>
      <w:pPr>
        <w:spacing w:after="0" w:line="247" w:lineRule="exact"/>
        <w:rPr>
          <w:sz w:val="20"/>
          <w:szCs w:val="20"/>
          <w:color w:val="auto"/>
        </w:rPr>
      </w:pPr>
    </w:p>
    <w:p>
      <w:pPr>
        <w:ind w:left="968" w:right="180" w:hanging="320"/>
        <w:spacing w:after="0" w:line="232" w:lineRule="auto"/>
        <w:tabs>
          <w:tab w:leader="none" w:pos="968" w:val="left"/>
        </w:tabs>
        <w:numPr>
          <w:ilvl w:val="1"/>
          <w:numId w:val="40"/>
        </w:numPr>
        <w:rPr>
          <w:rFonts w:ascii="Arial" w:cs="Arial" w:eastAsia="Arial" w:hAnsi="Arial"/>
          <w:sz w:val="22"/>
          <w:szCs w:val="22"/>
          <w:color w:val="auto"/>
        </w:rPr>
      </w:pPr>
      <w:r>
        <w:rPr>
          <w:rFonts w:ascii="Arial" w:cs="Arial" w:eastAsia="Arial" w:hAnsi="Arial"/>
          <w:sz w:val="22"/>
          <w:szCs w:val="22"/>
          <w:color w:val="auto"/>
        </w:rPr>
        <w:t xml:space="preserve">The Regulatory Filing Milestone </w:t>
      </w:r>
      <w:r>
        <w:rPr>
          <w:rFonts w:ascii="Arial" w:cs="Arial" w:eastAsia="Arial" w:hAnsi="Arial"/>
          <w:sz w:val="19"/>
          <w:szCs w:val="19"/>
          <w:color w:val="212121"/>
        </w:rPr>
        <w:t>[***]</w:t>
      </w:r>
      <w:r>
        <w:rPr>
          <w:rFonts w:ascii="Arial" w:cs="Arial" w:eastAsia="Arial" w:hAnsi="Arial"/>
          <w:sz w:val="22"/>
          <w:szCs w:val="22"/>
          <w:color w:val="auto"/>
        </w:rPr>
        <w:t xml:space="preserve"> set forth in Section 8.2(c) of the Agreement </w:t>
      </w:r>
      <w:r>
        <w:rPr>
          <w:rFonts w:ascii="Arial" w:cs="Arial" w:eastAsia="Arial" w:hAnsi="Arial"/>
          <w:sz w:val="19"/>
          <w:szCs w:val="19"/>
          <w:color w:val="212121"/>
        </w:rPr>
        <w:t>[***]</w:t>
      </w:r>
      <w:r>
        <w:rPr>
          <w:rFonts w:ascii="Arial" w:cs="Arial" w:eastAsia="Arial" w:hAnsi="Arial"/>
          <w:sz w:val="22"/>
          <w:szCs w:val="22"/>
          <w:color w:val="auto"/>
        </w:rPr>
        <w:t xml:space="preserve"> respect to the Indication </w:t>
      </w:r>
      <w:r>
        <w:rPr>
          <w:rFonts w:ascii="Arial" w:cs="Arial" w:eastAsia="Arial" w:hAnsi="Arial"/>
          <w:sz w:val="19"/>
          <w:szCs w:val="19"/>
          <w:color w:val="212121"/>
        </w:rPr>
        <w:t>[***]</w:t>
      </w:r>
      <w:r>
        <w:rPr>
          <w:rFonts w:ascii="Arial" w:cs="Arial" w:eastAsia="Arial" w:hAnsi="Arial"/>
          <w:sz w:val="21"/>
          <w:szCs w:val="21"/>
          <w:color w:val="000000"/>
        </w:rPr>
        <w:t>, and</w:t>
      </w:r>
      <w:r>
        <w:rPr>
          <w:rFonts w:ascii="Arial" w:cs="Arial" w:eastAsia="Arial" w:hAnsi="Arial"/>
          <w:sz w:val="19"/>
          <w:szCs w:val="19"/>
          <w:color w:val="212121"/>
        </w:rPr>
        <w:t xml:space="preserve"> [***] </w:t>
      </w:r>
      <w:r>
        <w:rPr>
          <w:rFonts w:ascii="Arial" w:cs="Arial" w:eastAsia="Arial" w:hAnsi="Arial"/>
          <w:sz w:val="21"/>
          <w:szCs w:val="21"/>
          <w:color w:val="212121"/>
        </w:rPr>
        <w:t>of such</w:t>
      </w:r>
      <w:r>
        <w:rPr>
          <w:rFonts w:ascii="Arial" w:cs="Arial" w:eastAsia="Arial" w:hAnsi="Arial"/>
          <w:sz w:val="19"/>
          <w:szCs w:val="19"/>
          <w:color w:val="212121"/>
        </w:rPr>
        <w:t xml:space="preserve"> </w:t>
      </w:r>
      <w:r>
        <w:rPr>
          <w:rFonts w:ascii="Arial" w:cs="Arial" w:eastAsia="Arial" w:hAnsi="Arial"/>
          <w:sz w:val="21"/>
          <w:szCs w:val="21"/>
          <w:color w:val="000000"/>
        </w:rPr>
        <w:t>Milestone</w:t>
      </w:r>
      <w:r>
        <w:rPr>
          <w:rFonts w:ascii="Arial" w:cs="Arial" w:eastAsia="Arial" w:hAnsi="Arial"/>
          <w:sz w:val="19"/>
          <w:szCs w:val="19"/>
          <w:color w:val="212121"/>
        </w:rPr>
        <w:t xml:space="preserve"> [***] </w:t>
      </w:r>
      <w:r>
        <w:rPr>
          <w:rFonts w:ascii="Arial" w:cs="Arial" w:eastAsia="Arial" w:hAnsi="Arial"/>
          <w:sz w:val="21"/>
          <w:szCs w:val="21"/>
          <w:color w:val="000000"/>
        </w:rPr>
        <w:t>with respect to the</w:t>
      </w:r>
      <w:r>
        <w:rPr>
          <w:rFonts w:ascii="Arial" w:cs="Arial" w:eastAsia="Arial" w:hAnsi="Arial"/>
          <w:sz w:val="19"/>
          <w:szCs w:val="19"/>
          <w:color w:val="212121"/>
        </w:rPr>
        <w:t xml:space="preserve"> [***]</w:t>
      </w:r>
      <w:r>
        <w:rPr>
          <w:rFonts w:ascii="Arial" w:cs="Arial" w:eastAsia="Arial" w:hAnsi="Arial"/>
          <w:sz w:val="21"/>
          <w:szCs w:val="21"/>
          <w:color w:val="000000"/>
        </w:rPr>
        <w:t>.</w:t>
      </w:r>
    </w:p>
    <w:p>
      <w:pPr>
        <w:spacing w:after="0" w:line="185" w:lineRule="exact"/>
        <w:rPr>
          <w:rFonts w:ascii="Arial" w:cs="Arial" w:eastAsia="Arial" w:hAnsi="Arial"/>
          <w:sz w:val="22"/>
          <w:szCs w:val="22"/>
          <w:color w:val="auto"/>
        </w:rPr>
      </w:pPr>
    </w:p>
    <w:p>
      <w:pPr>
        <w:ind w:left="968" w:right="220" w:hanging="320"/>
        <w:spacing w:after="0" w:line="232" w:lineRule="auto"/>
        <w:tabs>
          <w:tab w:leader="none" w:pos="956" w:val="left"/>
        </w:tabs>
        <w:numPr>
          <w:ilvl w:val="1"/>
          <w:numId w:val="40"/>
        </w:numPr>
        <w:rPr>
          <w:rFonts w:ascii="Arial" w:cs="Arial" w:eastAsia="Arial" w:hAnsi="Arial"/>
          <w:sz w:val="22"/>
          <w:szCs w:val="22"/>
          <w:color w:val="auto"/>
        </w:rPr>
      </w:pPr>
      <w:r>
        <w:rPr>
          <w:rFonts w:ascii="Arial" w:cs="Arial" w:eastAsia="Arial" w:hAnsi="Arial"/>
          <w:sz w:val="22"/>
          <w:szCs w:val="22"/>
          <w:color w:val="auto"/>
        </w:rPr>
        <w:t xml:space="preserve">The Approval Milestone </w:t>
      </w:r>
      <w:r>
        <w:rPr>
          <w:rFonts w:ascii="Arial" w:cs="Arial" w:eastAsia="Arial" w:hAnsi="Arial"/>
          <w:sz w:val="19"/>
          <w:szCs w:val="19"/>
          <w:color w:val="212121"/>
        </w:rPr>
        <w:t>[***]</w:t>
      </w:r>
      <w:r>
        <w:rPr>
          <w:rFonts w:ascii="Arial" w:cs="Arial" w:eastAsia="Arial" w:hAnsi="Arial"/>
          <w:sz w:val="22"/>
          <w:szCs w:val="22"/>
          <w:color w:val="auto"/>
        </w:rPr>
        <w:t xml:space="preserve"> set forth in Section 8.2(d) of the Agreement </w:t>
      </w:r>
      <w:r>
        <w:rPr>
          <w:rFonts w:ascii="Arial" w:cs="Arial" w:eastAsia="Arial" w:hAnsi="Arial"/>
          <w:sz w:val="19"/>
          <w:szCs w:val="19"/>
          <w:color w:val="212121"/>
        </w:rPr>
        <w:t>[***]</w:t>
      </w:r>
      <w:r>
        <w:rPr>
          <w:rFonts w:ascii="Arial" w:cs="Arial" w:eastAsia="Arial" w:hAnsi="Arial"/>
          <w:sz w:val="22"/>
          <w:szCs w:val="22"/>
          <w:color w:val="auto"/>
        </w:rPr>
        <w:t xml:space="preserve"> with respect to the Indication of </w:t>
      </w:r>
      <w:r>
        <w:rPr>
          <w:rFonts w:ascii="Arial" w:cs="Arial" w:eastAsia="Arial" w:hAnsi="Arial"/>
          <w:sz w:val="19"/>
          <w:szCs w:val="19"/>
          <w:color w:val="212121"/>
        </w:rPr>
        <w:t>[***]</w:t>
      </w:r>
      <w:r>
        <w:rPr>
          <w:rFonts w:ascii="Arial" w:cs="Arial" w:eastAsia="Arial" w:hAnsi="Arial"/>
          <w:sz w:val="21"/>
          <w:szCs w:val="21"/>
          <w:color w:val="000000"/>
        </w:rPr>
        <w:t>, and</w:t>
      </w:r>
      <w:r>
        <w:rPr>
          <w:rFonts w:ascii="Arial" w:cs="Arial" w:eastAsia="Arial" w:hAnsi="Arial"/>
          <w:sz w:val="19"/>
          <w:szCs w:val="19"/>
          <w:color w:val="212121"/>
        </w:rPr>
        <w:t xml:space="preserve"> [***] </w:t>
      </w:r>
      <w:r>
        <w:rPr>
          <w:rFonts w:ascii="Arial" w:cs="Arial" w:eastAsia="Arial" w:hAnsi="Arial"/>
          <w:sz w:val="21"/>
          <w:szCs w:val="21"/>
          <w:color w:val="000000"/>
        </w:rPr>
        <w:t>for the</w:t>
      </w:r>
      <w:r>
        <w:rPr>
          <w:rFonts w:ascii="Arial" w:cs="Arial" w:eastAsia="Arial" w:hAnsi="Arial"/>
          <w:sz w:val="19"/>
          <w:szCs w:val="19"/>
          <w:color w:val="212121"/>
        </w:rPr>
        <w:t xml:space="preserve"> [***] </w:t>
      </w:r>
      <w:r>
        <w:rPr>
          <w:rFonts w:ascii="Arial" w:cs="Arial" w:eastAsia="Arial" w:hAnsi="Arial"/>
          <w:sz w:val="21"/>
          <w:szCs w:val="21"/>
          <w:color w:val="000000"/>
        </w:rPr>
        <w:t>Milestone shall</w:t>
      </w:r>
      <w:r>
        <w:rPr>
          <w:rFonts w:ascii="Arial" w:cs="Arial" w:eastAsia="Arial" w:hAnsi="Arial"/>
          <w:sz w:val="19"/>
          <w:szCs w:val="19"/>
          <w:color w:val="212121"/>
        </w:rPr>
        <w:t xml:space="preserve"> [***] </w:t>
      </w:r>
      <w:r>
        <w:rPr>
          <w:rFonts w:ascii="Arial" w:cs="Arial" w:eastAsia="Arial" w:hAnsi="Arial"/>
          <w:sz w:val="21"/>
          <w:szCs w:val="21"/>
          <w:color w:val="000000"/>
        </w:rPr>
        <w:t>with respect to the Indication</w:t>
      </w:r>
      <w:r>
        <w:rPr>
          <w:rFonts w:ascii="Arial" w:cs="Arial" w:eastAsia="Arial" w:hAnsi="Arial"/>
          <w:sz w:val="19"/>
          <w:szCs w:val="19"/>
          <w:color w:val="212121"/>
        </w:rPr>
        <w:t xml:space="preserve"> [***]</w:t>
      </w:r>
      <w:r>
        <w:rPr>
          <w:rFonts w:ascii="Arial" w:cs="Arial" w:eastAsia="Arial" w:hAnsi="Arial"/>
          <w:sz w:val="21"/>
          <w:szCs w:val="21"/>
          <w:color w:val="000000"/>
        </w:rPr>
        <w:t>.</w:t>
      </w:r>
    </w:p>
    <w:p>
      <w:pPr>
        <w:spacing w:after="0" w:line="185" w:lineRule="exact"/>
        <w:rPr>
          <w:rFonts w:ascii="Arial" w:cs="Arial" w:eastAsia="Arial" w:hAnsi="Arial"/>
          <w:sz w:val="22"/>
          <w:szCs w:val="22"/>
          <w:color w:val="auto"/>
        </w:rPr>
      </w:pPr>
    </w:p>
    <w:p>
      <w:pPr>
        <w:jc w:val="both"/>
        <w:ind w:left="648" w:hanging="648"/>
        <w:spacing w:after="0" w:line="247" w:lineRule="auto"/>
        <w:tabs>
          <w:tab w:leader="none" w:pos="648"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Entire Agreement; Remaining Provisions of the Agreement</w:t>
      </w:r>
      <w:r>
        <w:rPr>
          <w:rFonts w:ascii="Arial" w:cs="Arial" w:eastAsia="Arial" w:hAnsi="Arial"/>
          <w:sz w:val="19"/>
          <w:szCs w:val="19"/>
          <w:color w:val="auto"/>
        </w:rPr>
        <w:t>. The Agreement, as supplemented and modified by this Amendment No. 3, contains the entire understanding of the parties with respect to the subject matter hereof and supersedes all prior agreements and understandings, oral or written, with respect to such matters, which the parties acknowledge have been merged into the Agreement. Upon the effectiveness of this Amendment No. 3, on and after the date hereof, each reference in the Agreement to “this Agreement,” “hereunder,” “hereof,” “herein” or words of like import shall mean and be a reference to the Agreement, as amended hereby. Except as provided herein, each of the other provisions of the Agreement shall remain in full force and effect.</w:t>
      </w:r>
    </w:p>
    <w:p>
      <w:pPr>
        <w:spacing w:after="0" w:line="153" w:lineRule="exact"/>
        <w:rPr>
          <w:rFonts w:ascii="Arial" w:cs="Arial" w:eastAsia="Arial" w:hAnsi="Arial"/>
          <w:sz w:val="19"/>
          <w:szCs w:val="19"/>
          <w:color w:val="auto"/>
        </w:rPr>
      </w:pPr>
    </w:p>
    <w:p>
      <w:pPr>
        <w:ind w:left="648" w:right="20" w:hanging="648"/>
        <w:spacing w:after="0" w:line="298" w:lineRule="auto"/>
        <w:tabs>
          <w:tab w:leader="none" w:pos="648"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Amendment No. 3 shall be governed by and construed under the laws of the State of New York, without giving effect to any choice of law principles that would require the application of the laws of a different state.</w:t>
      </w:r>
    </w:p>
    <w:p>
      <w:pPr>
        <w:spacing w:after="0" w:line="105" w:lineRule="exact"/>
        <w:rPr>
          <w:rFonts w:ascii="Arial" w:cs="Arial" w:eastAsia="Arial" w:hAnsi="Arial"/>
          <w:sz w:val="19"/>
          <w:szCs w:val="19"/>
          <w:color w:val="auto"/>
        </w:rPr>
      </w:pPr>
    </w:p>
    <w:p>
      <w:pPr>
        <w:jc w:val="both"/>
        <w:ind w:left="648" w:hanging="648"/>
        <w:spacing w:after="0" w:line="218" w:lineRule="auto"/>
        <w:tabs>
          <w:tab w:leader="none" w:pos="648"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Execution in Counterparts</w:t>
      </w:r>
      <w:r>
        <w:rPr>
          <w:rFonts w:ascii="Arial" w:cs="Arial" w:eastAsia="Arial" w:hAnsi="Arial"/>
          <w:sz w:val="22"/>
          <w:szCs w:val="22"/>
          <w:color w:val="auto"/>
        </w:rPr>
        <w:t>. This Amendment No. 3 may be executed in two (2) or more counterparts, each of which shall be deemed an original, but all of which together shall constitute one and the same instrument. This Amendment No. 3 may be executed by .pdf or other electronically transmitted signatures and such signatures shall be deemed to bind each Party as if they were the original signatures.</w:t>
      </w:r>
    </w:p>
    <w:p>
      <w:pPr>
        <w:spacing w:after="0" w:line="161" w:lineRule="exact"/>
        <w:rPr>
          <w:sz w:val="20"/>
          <w:szCs w:val="20"/>
          <w:color w:val="auto"/>
        </w:rPr>
      </w:pPr>
    </w:p>
    <w:p>
      <w:pPr>
        <w:jc w:val="center"/>
        <w:ind w:right="312"/>
        <w:spacing w:after="0"/>
        <w:rPr>
          <w:sz w:val="20"/>
          <w:szCs w:val="20"/>
          <w:color w:val="auto"/>
        </w:rPr>
      </w:pPr>
      <w:r>
        <w:rPr>
          <w:rFonts w:ascii="Arial" w:cs="Arial" w:eastAsia="Arial" w:hAnsi="Arial"/>
          <w:sz w:val="22"/>
          <w:szCs w:val="22"/>
          <w:i w:val="1"/>
          <w:iCs w:val="1"/>
          <w:color w:val="auto"/>
        </w:rPr>
        <w:t>[remainder of page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2"/>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908"/>
          </w:cols>
          <w:pgMar w:left="652" w:top="1440" w:right="339" w:bottom="1440" w:gutter="0" w:footer="0" w:header="0"/>
        </w:sectPr>
      </w:pPr>
    </w:p>
    <w:bookmarkStart w:id="89" w:name="page90"/>
    <w:bookmarkEnd w:id="89"/>
    <w:p>
      <w:pPr>
        <w:spacing w:after="0" w:line="200" w:lineRule="exact"/>
        <w:rPr>
          <w:sz w:val="20"/>
          <w:szCs w:val="20"/>
          <w:color w:val="auto"/>
        </w:rPr>
      </w:pPr>
    </w:p>
    <w:p>
      <w:pPr>
        <w:spacing w:after="0" w:line="247"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IN WITNESS WHEREOF, the parties hereto have caused this Amendment No. 3 to Global Collaboration and License Agreement to be duly executed by their respective authorized signatories effective as of the date first indicated above.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MACROGENICS, INC.</w:t>
      </w:r>
    </w:p>
    <w:p>
      <w:pPr>
        <w:spacing w:after="0" w:line="4" w:lineRule="exact"/>
        <w:rPr>
          <w:sz w:val="20"/>
          <w:szCs w:val="20"/>
          <w:color w:val="auto"/>
        </w:rPr>
      </w:pPr>
    </w:p>
    <w:p>
      <w:pPr>
        <w:ind w:left="80"/>
        <w:spacing w:after="0"/>
        <w:rPr>
          <w:sz w:val="20"/>
          <w:szCs w:val="20"/>
          <w:color w:val="auto"/>
        </w:rPr>
      </w:pPr>
      <w:r>
        <w:rPr>
          <w:rFonts w:ascii="Arial" w:cs="Arial" w:eastAsia="Arial" w:hAnsi="Arial"/>
          <w:sz w:val="22"/>
          <w:szCs w:val="22"/>
          <w:color w:val="212121"/>
        </w:rPr>
        <w:t>By: /s/ 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-5715</wp:posOffset>
            </wp:positionV>
            <wp:extent cx="10210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1080" cy="8255"/>
                    </a:xfrm>
                    <a:prstGeom prst="rect">
                      <a:avLst/>
                    </a:prstGeom>
                    <a:noFill/>
                  </pic:spPr>
                </pic:pic>
              </a:graphicData>
            </a:graphic>
          </wp:anchor>
        </w:drawing>
      </w:r>
    </w:p>
    <w:p>
      <w:pPr>
        <w:ind w:left="460"/>
        <w:spacing w:after="0" w:line="204" w:lineRule="auto"/>
        <w:rPr>
          <w:sz w:val="20"/>
          <w:szCs w:val="20"/>
          <w:color w:val="auto"/>
        </w:rPr>
      </w:pPr>
      <w:r>
        <w:rPr>
          <w:rFonts w:ascii="Arial" w:cs="Arial" w:eastAsia="Arial" w:hAnsi="Arial"/>
          <w:sz w:val="22"/>
          <w:szCs w:val="22"/>
          <w:color w:val="212121"/>
        </w:rPr>
        <w:t>Name: Scott Koenig</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22"/>
          <w:szCs w:val="22"/>
          <w:color w:val="212121"/>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INCYTE CORPORATION</w:t>
      </w:r>
    </w:p>
    <w:p>
      <w:pPr>
        <w:spacing w:after="0" w:line="4" w:lineRule="exact"/>
        <w:rPr>
          <w:sz w:val="20"/>
          <w:szCs w:val="20"/>
          <w:color w:val="auto"/>
        </w:rPr>
      </w:pPr>
    </w:p>
    <w:p>
      <w:pPr>
        <w:ind w:left="80"/>
        <w:spacing w:after="0"/>
        <w:rPr>
          <w:sz w:val="20"/>
          <w:szCs w:val="20"/>
          <w:color w:val="auto"/>
        </w:rPr>
      </w:pPr>
      <w:r>
        <w:rPr>
          <w:rFonts w:ascii="Arial" w:cs="Arial" w:eastAsia="Arial" w:hAnsi="Arial"/>
          <w:sz w:val="22"/>
          <w:szCs w:val="22"/>
          <w:color w:val="auto"/>
        </w:rPr>
        <w:t>By: /s/ Vijay Iyengar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-5715</wp:posOffset>
            </wp:positionV>
            <wp:extent cx="15995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ind w:left="460"/>
        <w:spacing w:after="0" w:line="204" w:lineRule="auto"/>
        <w:rPr>
          <w:sz w:val="20"/>
          <w:szCs w:val="20"/>
          <w:color w:val="auto"/>
        </w:rPr>
      </w:pPr>
      <w:r>
        <w:rPr>
          <w:rFonts w:ascii="Arial" w:cs="Arial" w:eastAsia="Arial" w:hAnsi="Arial"/>
          <w:sz w:val="22"/>
          <w:szCs w:val="22"/>
          <w:color w:val="auto"/>
        </w:rPr>
        <w:t>Name: Vijay Iyengar</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22"/>
          <w:szCs w:val="22"/>
          <w:color w:val="auto"/>
        </w:rPr>
        <w:t>Title: EVP, Global Strategy &amp; Corporate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440"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Hervé Hoppenot, certify that:</w:t>
      </w:r>
    </w:p>
    <w:p>
      <w:pPr>
        <w:spacing w:after="0" w:line="225"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Incyte Corporation;</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20" w:hanging="644"/>
        <w:spacing w:after="0" w:line="263" w:lineRule="auto"/>
        <w:tabs>
          <w:tab w:leader="none" w:pos="128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460" w:hanging="644"/>
        <w:spacing w:after="0" w:line="342" w:lineRule="auto"/>
        <w:tabs>
          <w:tab w:leader="none" w:pos="1291"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644"/>
        <w:spacing w:after="0" w:line="277" w:lineRule="auto"/>
        <w:tabs>
          <w:tab w:leader="none" w:pos="128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Hervé Hoppenot</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25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November 1, 2022</w:t>
      </w:r>
    </w:p>
    <w:p>
      <w:pPr>
        <w:sectPr>
          <w:pgSz w:w="11900" w:h="16838" w:orient="portrait"/>
          <w:cols w:equalWidth="0" w:num="1">
            <w:col w:w="11240"/>
          </w:cols>
          <w:pgMar w:left="320" w:top="1147"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Christiana Stamoulis, certify that:</w:t>
      </w:r>
    </w:p>
    <w:p>
      <w:pPr>
        <w:spacing w:after="0" w:line="225"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Incyte Corporation;</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28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291"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20" w:hanging="644"/>
        <w:spacing w:after="0" w:line="263" w:lineRule="auto"/>
        <w:tabs>
          <w:tab w:leader="none" w:pos="128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460" w:hanging="644"/>
        <w:spacing w:after="0" w:line="342" w:lineRule="auto"/>
        <w:tabs>
          <w:tab w:leader="none" w:pos="1291"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644"/>
        <w:spacing w:after="0" w:line="277" w:lineRule="auto"/>
        <w:tabs>
          <w:tab w:leader="none" w:pos="128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3604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Christiana Stamoulis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November 1, 2022</w:t>
      </w:r>
    </w:p>
    <w:p>
      <w:pPr>
        <w:sectPr>
          <w:pgSz w:w="11900" w:h="16838" w:orient="portrait"/>
          <w:cols w:equalWidth="0" w:num="1">
            <w:col w:w="11240"/>
          </w:cols>
          <w:pgMar w:left="320" w:top="1147"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With reference to the Quarterly Report of Incyte Corporation (the “Company”) on Form 10-Q for the quarter ended September 30, 2022, as filed with the Securities and Exchange Commission on the date hereof (the “Report”), I, Hervé Hoppenot, Chief Executive Officer of the Company, certify, for the purposes of 18 U.S.C. § 1350, as adopted pursuant to § 906 of the Sarbanes-Oxley Act of 2002, that, to my knowledge:</w:t>
      </w:r>
    </w:p>
    <w:p>
      <w:pPr>
        <w:spacing w:after="0" w:line="165"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640" w:right="540" w:hanging="5632"/>
        <w:spacing w:after="0" w:line="590" w:lineRule="auto"/>
        <w:tabs>
          <w:tab w:leader="none" w:pos="3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HERVÉ HOPPENOT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-173355</wp:posOffset>
            </wp:positionV>
            <wp:extent cx="3566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Hervé Hoppenot</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November 1, 2022</w:t>
      </w:r>
    </w:p>
    <w:p>
      <w:pPr>
        <w:sectPr>
          <w:pgSz w:w="11900" w:h="16838" w:orient="portrait"/>
          <w:cols w:equalWidth="0" w:num="1">
            <w:col w:w="11240"/>
          </w:cols>
          <w:pgMar w:left="320" w:top="1147"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With reference to the Quarterly Report of Incyte Corporation (the “Company”) on Form 10-Q for the quarter ended September 30, 2022, as filed with the Securities and Exchange Commission on the date hereof (the “Report”), I, Christiana Stamoulis, Chief Financial Officer of the Company, certify, for the purposes of 18 U.S.C. § 1350, as adopted pursuant to § 906 of the Sarbanes-Oxley Act of 2002, that, to my knowledge:</w:t>
      </w:r>
    </w:p>
    <w:p>
      <w:pPr>
        <w:spacing w:after="0" w:line="165"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640" w:right="540" w:hanging="5632"/>
        <w:spacing w:after="0" w:line="590" w:lineRule="auto"/>
        <w:tabs>
          <w:tab w:leader="none" w:pos="3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/s/ CHRISTIANA STAMOULIS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-173355</wp:posOffset>
            </wp:positionV>
            <wp:extent cx="3566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Christiana Stamoulis</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November 1, 2022</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x"/>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decimal"/>
      <w:start w:val="313"/>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upperLetter"/>
      <w:start w:val="35"/>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1"/>
      <w:numFmt w:val="upperLetter"/>
      <w:start w:val="6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lvl w:ilvl="1">
      <w:lvlJc w:val="left"/>
      <w:lvlText w:val="%2"/>
      <w:numFmt w:val="decimal"/>
      <w:start w:val="104"/>
    </w:lvl>
  </w:abstractNum>
  <w:abstractNum w:abstractNumId="36">
    <w:nsid w:val="153EA438"/>
    <w:multiLevelType w:val="hybridMultilevel"/>
    <w:lvl w:ilvl="0">
      <w:lvlJc w:val="left"/>
      <w:lvlText w:val="**"/>
      <w:numFmt w:val="bullet"/>
      <w:start w:val="1"/>
    </w:lvl>
    <w:lvl w:ilvl="1">
      <w:lvlJc w:val="left"/>
      <w:lvlText w:val="%2"/>
      <w:numFmt w:val="decimal"/>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1"/>
    </w:lvl>
    <w:lvl w:ilvl="1">
      <w:lvlJc w:val="left"/>
      <w:lvlText w:val="%2"/>
      <w:numFmt w:val="lowerLetter"/>
      <w:start w:val="1"/>
    </w:lvl>
  </w:abstractNum>
  <w:abstractNum w:abstractNumId="39">
    <w:nsid w:val="6A2342EC"/>
    <w:multiLevelType w:val="hybridMultilevel"/>
    <w:lvl w:ilvl="0">
      <w:lvlJc w:val="left"/>
      <w:lvlText w:val="%1"/>
      <w:numFmt w:val="decimal"/>
      <w:start w:val="1"/>
    </w:lvl>
    <w:lvl w:ilvl="1">
      <w:lvlJc w:val="left"/>
      <w:lvlText w:val="%2."/>
      <w:numFmt w:val="lowerLetter"/>
      <w:start w:val="2"/>
    </w:lvl>
  </w:abstractNum>
  <w:abstractNum w:abstractNumId="40">
    <w:nsid w:val="2A487CB0"/>
    <w:multiLevelType w:val="hybridMultilevel"/>
    <w:lvl w:ilvl="0">
      <w:lvlJc w:val="left"/>
      <w:lvlText w:val="%1."/>
      <w:numFmt w:val="decimal"/>
      <w:start w:val="3"/>
    </w:lvl>
    <w:lvl w:ilvl="1">
      <w:lvlJc w:val="left"/>
      <w:lvlText w:val="%2"/>
      <w:numFmt w:val="lowerLetter"/>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2022-11-01T15:31:33Z</dcterms:created>
  <dcterms:modified xsi:type="dcterms:W3CDTF">2022-11-01T15:31:33Z</dcterms:modified>
</cp:coreProperties>
</file>