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8107.xml.htm"/>
      <w:bookmarkStart w:id="1" w:name="kswkform4_17845781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Gardner David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7,395</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16,824</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18,487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award of restricted stock units ("RSUs") that will vest 25% annually over four years. The RSUs may be settled only for shares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Including the July 16, 2026 grant, this includes an aggregate of 16,824 shares of common stock issuable pursuant to previously reported restricted stock units that have not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share represents the right to receive up to 200% of one share of common stock. Such shares may be earned based upon the issuer's relative total shareholder return ("TSR") over a three-year performance period beginning on January 1, 2026 as compared to the TSR of companies in a fixed peer group, as set forth in the Performance Share Award Agreement. The earned shares will vest on the third anniversary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July 16, 2026 options become exercisable in 37 installments, with the first 25% vesting after one year and the remainder vesting monthly over three years. Remarks: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gardner-incytesection16p.htm"/>
      <w:bookmarkStart w:id="3" w:name="ksgardnerincytesection16p"/>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Richard Hoffman, Suketu Upadhyay, Elizabeth Feeney and Thomas Tray, signing singly, the undersigned’s true and lawful attorney-in-fact to: (1) execute for and on behalf of the undersigned, in the undersigned ’s capacity as an officer and/or director of Incyte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 ’s responsibilities to comply with Section 16 of the Securities Exchange Act of 1934. This Power of Attorney shall remain in full force and effect until the undersigned is no longer required to file Forms 3, 4, and 5 with respect to the undersigned ’s holdings of and transactions in securities issued by the Company, unless (a) earlier revoked by the undersigned in a signed writing delivered to the foregoing attorneys-in-fact or (b) superseded by a new power of attorney regarding the purposes outlined in the first paragraph hereof dated as of a later date . IN WITNESS WHEREOF, the undersigned has caused this Power of Attorney to be executed as of May 5, 2026. /s/ David Gardner David Gardner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970"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1236</Words>
  <Characters>6509</Characters>
  <CharactersWithSpaces>7652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gardner-incytesection16p</dc:title>
</cp:coreProperties>
</file>