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423545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448310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10-Q</w:t>
      </w:r>
    </w:p>
    <w:p>
      <w:pPr>
        <w:spacing w:after="0" w:line="7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99" w:lineRule="exact"/>
        <w:rPr>
          <w:sz w:val="24"/>
          <w:szCs w:val="24"/>
          <w:color w:val="auto"/>
        </w:rPr>
      </w:pPr>
    </w:p>
    <w:p>
      <w:pPr>
        <w:ind w:left="440" w:hanging="283"/>
        <w:spacing w:after="0"/>
        <w:tabs>
          <w:tab w:leader="none" w:pos="44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12" w:lineRule="exact"/>
        <w:rPr>
          <w:sz w:val="24"/>
          <w:szCs w:val="24"/>
          <w:color w:val="auto"/>
        </w:rPr>
      </w:pPr>
    </w:p>
    <w:p>
      <w:pPr>
        <w:ind w:left="440" w:hanging="288"/>
        <w:spacing w:after="0"/>
        <w:tabs>
          <w:tab w:leader="none" w:pos="44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233" w:right="339" w:bottom="1440" w:gutter="0" w:footer="0" w:header="0"/>
        </w:sectPr>
      </w:pPr>
    </w:p>
    <w:p>
      <w:pPr>
        <w:spacing w:after="0" w:line="228" w:lineRule="exact"/>
        <w:rPr>
          <w:sz w:val="24"/>
          <w:szCs w:val="24"/>
          <w:color w:val="auto"/>
        </w:rPr>
      </w:pPr>
    </w:p>
    <w:p>
      <w:pPr>
        <w:ind w:left="394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44" w:lineRule="exact"/>
        <w:rPr>
          <w:sz w:val="24"/>
          <w:szCs w:val="24"/>
          <w:color w:val="auto"/>
        </w:rPr>
      </w:pPr>
    </w:p>
    <w:p>
      <w:pPr>
        <w:sectPr>
          <w:pgSz w:w="11900" w:h="16838" w:orient="portrait"/>
          <w:cols w:equalWidth="0" w:num="2">
            <w:col w:w="5980" w:space="600"/>
            <w:col w:w="4660"/>
          </w:cols>
          <w:pgMar w:left="320" w:top="233"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Commission File Number: 001-12400</w:t>
      </w:r>
    </w:p>
    <w:p>
      <w:pPr>
        <w:sectPr>
          <w:pgSz w:w="11900" w:h="16838" w:orient="portrait"/>
          <w:cols w:equalWidth="0" w:num="1">
            <w:col w:w="11240"/>
          </w:cols>
          <w:pgMar w:left="320" w:top="233" w:right="339" w:bottom="1440" w:gutter="0" w:footer="0" w:header="0"/>
          <w:type w:val="continuous"/>
        </w:sectPr>
      </w:pP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3780" w:type="dxa"/>
            <w:vAlign w:val="bottom"/>
          </w:tcPr>
          <w:p>
            <w:pPr>
              <w:spacing w:after="0"/>
              <w:rPr>
                <w:sz w:val="24"/>
                <w:szCs w:val="24"/>
                <w:color w:val="auto"/>
              </w:rPr>
            </w:pPr>
          </w:p>
        </w:tc>
        <w:tc>
          <w:tcPr>
            <w:tcW w:w="3860" w:type="dxa"/>
            <w:vAlign w:val="bottom"/>
            <w:gridSpan w:val="5"/>
          </w:tcPr>
          <w:p>
            <w:pPr>
              <w:jc w:val="center"/>
              <w:ind w:right="160"/>
              <w:spacing w:after="0"/>
              <w:rPr>
                <w:sz w:val="20"/>
                <w:szCs w:val="20"/>
                <w:color w:val="auto"/>
              </w:rPr>
            </w:pPr>
            <w:r>
              <w:rPr>
                <w:rFonts w:ascii="Arial" w:cs="Arial" w:eastAsia="Arial" w:hAnsi="Arial"/>
                <w:sz w:val="30"/>
                <w:szCs w:val="30"/>
                <w:b w:val="1"/>
                <w:bCs w:val="1"/>
                <w:color w:val="auto"/>
              </w:rPr>
              <w:t>INCYTE CORPORATION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780" w:type="dxa"/>
            <w:vAlign w:val="bottom"/>
          </w:tcPr>
          <w:p>
            <w:pPr>
              <w:spacing w:after="0"/>
              <w:rPr>
                <w:sz w:val="17"/>
                <w:szCs w:val="17"/>
                <w:color w:val="auto"/>
              </w:rPr>
            </w:pPr>
          </w:p>
        </w:tc>
        <w:tc>
          <w:tcPr>
            <w:tcW w:w="3860" w:type="dxa"/>
            <w:vAlign w:val="bottom"/>
            <w:gridSpan w:val="5"/>
          </w:tcPr>
          <w:p>
            <w:pPr>
              <w:jc w:val="center"/>
              <w:ind w:right="180"/>
              <w:spacing w:after="0"/>
              <w:rPr>
                <w:sz w:val="20"/>
                <w:szCs w:val="20"/>
                <w:color w:val="auto"/>
              </w:rPr>
            </w:pPr>
            <w:r>
              <w:rPr>
                <w:rFonts w:ascii="Arial" w:cs="Arial" w:eastAsia="Arial" w:hAnsi="Arial"/>
                <w:sz w:val="16"/>
                <w:szCs w:val="16"/>
                <w:color w:val="auto"/>
                <w:w w:val="89"/>
              </w:rPr>
              <w:t>(Exact name of registrant as specified in its charter)</w:t>
            </w:r>
          </w:p>
        </w:tc>
        <w:tc>
          <w:tcPr>
            <w:tcW w:w="3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3780" w:type="dxa"/>
            <w:vAlign w:val="bottom"/>
          </w:tcPr>
          <w:p>
            <w:pPr>
              <w:jc w:val="center"/>
              <w:ind w:left="1783"/>
              <w:spacing w:after="0"/>
              <w:rPr>
                <w:sz w:val="20"/>
                <w:szCs w:val="20"/>
                <w:color w:val="auto"/>
              </w:rPr>
            </w:pPr>
            <w:r>
              <w:rPr>
                <w:rFonts w:ascii="Arial" w:cs="Arial" w:eastAsia="Arial" w:hAnsi="Arial"/>
                <w:sz w:val="16"/>
                <w:szCs w:val="16"/>
                <w:b w:val="1"/>
                <w:bCs w:val="1"/>
                <w:color w:val="auto"/>
                <w:w w:val="91"/>
              </w:rPr>
              <w:t>Delaware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tcPr>
          <w:p>
            <w:pPr>
              <w:jc w:val="right"/>
              <w:ind w:right="2343"/>
              <w:spacing w:after="0"/>
              <w:rPr>
                <w:sz w:val="20"/>
                <w:szCs w:val="20"/>
                <w:color w:val="auto"/>
              </w:rPr>
            </w:pPr>
            <w:r>
              <w:rPr>
                <w:rFonts w:ascii="Arial" w:cs="Arial" w:eastAsia="Arial" w:hAnsi="Arial"/>
                <w:sz w:val="16"/>
                <w:szCs w:val="16"/>
                <w:b w:val="1"/>
                <w:bCs w:val="1"/>
                <w:color w:val="auto"/>
              </w:rPr>
              <w:t>94-3136539</w:t>
            </w:r>
          </w:p>
        </w:tc>
        <w:tc>
          <w:tcPr>
            <w:tcW w:w="0" w:type="dxa"/>
            <w:vAlign w:val="bottom"/>
          </w:tcPr>
          <w:p>
            <w:pPr>
              <w:spacing w:after="0"/>
              <w:rPr>
                <w:sz w:val="1"/>
                <w:szCs w:val="1"/>
                <w:color w:val="auto"/>
              </w:rPr>
            </w:pPr>
          </w:p>
        </w:tc>
      </w:tr>
      <w:tr>
        <w:trPr>
          <w:trHeight w:val="247"/>
        </w:trPr>
        <w:tc>
          <w:tcPr>
            <w:tcW w:w="3780" w:type="dxa"/>
            <w:vAlign w:val="bottom"/>
          </w:tcPr>
          <w:p>
            <w:pPr>
              <w:jc w:val="center"/>
              <w:ind w:left="1783"/>
              <w:spacing w:after="0"/>
              <w:rPr>
                <w:sz w:val="20"/>
                <w:szCs w:val="20"/>
                <w:color w:val="auto"/>
              </w:rPr>
            </w:pPr>
            <w:r>
              <w:rPr>
                <w:rFonts w:ascii="Arial" w:cs="Arial" w:eastAsia="Arial" w:hAnsi="Arial"/>
                <w:sz w:val="16"/>
                <w:szCs w:val="16"/>
                <w:color w:val="auto"/>
                <w:w w:val="91"/>
              </w:rPr>
              <w:t>(State or other jurisdiction of</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0" w:type="dxa"/>
            <w:vAlign w:val="bottom"/>
          </w:tcPr>
          <w:p>
            <w:pPr>
              <w:jc w:val="center"/>
              <w:ind w:right="1943"/>
              <w:spacing w:after="0"/>
              <w:rPr>
                <w:sz w:val="20"/>
                <w:szCs w:val="20"/>
                <w:color w:val="auto"/>
              </w:rPr>
            </w:pPr>
            <w:r>
              <w:rPr>
                <w:rFonts w:ascii="Arial" w:cs="Arial" w:eastAsia="Arial" w:hAnsi="Arial"/>
                <w:sz w:val="16"/>
                <w:szCs w:val="16"/>
                <w:color w:val="auto"/>
                <w:w w:val="94"/>
              </w:rPr>
              <w:t>(IRS Employer</w:t>
            </w:r>
          </w:p>
        </w:tc>
        <w:tc>
          <w:tcPr>
            <w:tcW w:w="0" w:type="dxa"/>
            <w:vAlign w:val="bottom"/>
          </w:tcPr>
          <w:p>
            <w:pPr>
              <w:spacing w:after="0"/>
              <w:rPr>
                <w:sz w:val="1"/>
                <w:szCs w:val="1"/>
                <w:color w:val="auto"/>
              </w:rPr>
            </w:pPr>
          </w:p>
        </w:tc>
      </w:tr>
      <w:tr>
        <w:trPr>
          <w:trHeight w:val="204"/>
        </w:trPr>
        <w:tc>
          <w:tcPr>
            <w:tcW w:w="3780" w:type="dxa"/>
            <w:vAlign w:val="bottom"/>
          </w:tcPr>
          <w:p>
            <w:pPr>
              <w:jc w:val="center"/>
              <w:ind w:left="1783"/>
              <w:spacing w:after="0"/>
              <w:rPr>
                <w:sz w:val="20"/>
                <w:szCs w:val="20"/>
                <w:color w:val="auto"/>
              </w:rPr>
            </w:pPr>
            <w:r>
              <w:rPr>
                <w:rFonts w:ascii="Arial" w:cs="Arial" w:eastAsia="Arial" w:hAnsi="Arial"/>
                <w:sz w:val="16"/>
                <w:szCs w:val="16"/>
                <w:color w:val="auto"/>
                <w:w w:val="92"/>
              </w:rPr>
              <w:t>incorporation or organization)</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0" w:type="dxa"/>
            <w:vAlign w:val="bottom"/>
          </w:tcPr>
          <w:p>
            <w:pPr>
              <w:jc w:val="center"/>
              <w:ind w:right="1943"/>
              <w:spacing w:after="0"/>
              <w:rPr>
                <w:sz w:val="20"/>
                <w:szCs w:val="20"/>
                <w:color w:val="auto"/>
              </w:rPr>
            </w:pPr>
            <w:r>
              <w:rPr>
                <w:rFonts w:ascii="Arial" w:cs="Arial" w:eastAsia="Arial" w:hAnsi="Arial"/>
                <w:sz w:val="16"/>
                <w:szCs w:val="16"/>
                <w:color w:val="auto"/>
                <w:w w:val="94"/>
              </w:rPr>
              <w:t>Identification No.)</w:t>
            </w:r>
          </w:p>
        </w:tc>
        <w:tc>
          <w:tcPr>
            <w:tcW w:w="0" w:type="dxa"/>
            <w:vAlign w:val="bottom"/>
          </w:tcPr>
          <w:p>
            <w:pPr>
              <w:spacing w:after="0"/>
              <w:rPr>
                <w:sz w:val="1"/>
                <w:szCs w:val="1"/>
                <w:color w:val="auto"/>
              </w:rPr>
            </w:pPr>
          </w:p>
        </w:tc>
      </w:tr>
      <w:tr>
        <w:trPr>
          <w:trHeight w:val="322"/>
        </w:trPr>
        <w:tc>
          <w:tcPr>
            <w:tcW w:w="3780" w:type="dxa"/>
            <w:vAlign w:val="bottom"/>
          </w:tcPr>
          <w:p>
            <w:pPr>
              <w:jc w:val="center"/>
              <w:ind w:left="1763"/>
              <w:spacing w:after="0"/>
              <w:rPr>
                <w:sz w:val="20"/>
                <w:szCs w:val="20"/>
                <w:color w:val="auto"/>
              </w:rPr>
            </w:pPr>
            <w:r>
              <w:rPr>
                <w:rFonts w:ascii="Arial" w:cs="Arial" w:eastAsia="Arial" w:hAnsi="Arial"/>
                <w:sz w:val="16"/>
                <w:szCs w:val="16"/>
                <w:b w:val="1"/>
                <w:bCs w:val="1"/>
                <w:color w:val="auto"/>
                <w:w w:val="91"/>
              </w:rPr>
              <w:t>1801 Augustine Cut-Off</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vMerge w:val="restart"/>
          </w:tcPr>
          <w:p>
            <w:pPr>
              <w:jc w:val="right"/>
              <w:ind w:right="2523"/>
              <w:spacing w:after="0"/>
              <w:rPr>
                <w:sz w:val="20"/>
                <w:szCs w:val="20"/>
                <w:color w:val="auto"/>
              </w:rPr>
            </w:pPr>
            <w:r>
              <w:rPr>
                <w:rFonts w:ascii="Arial" w:cs="Arial" w:eastAsia="Arial" w:hAnsi="Arial"/>
                <w:sz w:val="16"/>
                <w:szCs w:val="16"/>
                <w:b w:val="1"/>
                <w:bCs w:val="1"/>
                <w:color w:val="auto"/>
              </w:rPr>
              <w:t>19803</w:t>
            </w:r>
          </w:p>
        </w:tc>
        <w:tc>
          <w:tcPr>
            <w:tcW w:w="0" w:type="dxa"/>
            <w:vAlign w:val="bottom"/>
          </w:tcPr>
          <w:p>
            <w:pPr>
              <w:spacing w:after="0"/>
              <w:rPr>
                <w:sz w:val="1"/>
                <w:szCs w:val="1"/>
                <w:color w:val="auto"/>
              </w:rPr>
            </w:pPr>
          </w:p>
        </w:tc>
      </w:tr>
      <w:tr>
        <w:trPr>
          <w:trHeight w:val="208"/>
        </w:trPr>
        <w:tc>
          <w:tcPr>
            <w:tcW w:w="3780" w:type="dxa"/>
            <w:vAlign w:val="bottom"/>
          </w:tcPr>
          <w:p>
            <w:pPr>
              <w:jc w:val="center"/>
              <w:ind w:left="1763"/>
              <w:spacing w:after="0"/>
              <w:rPr>
                <w:sz w:val="20"/>
                <w:szCs w:val="20"/>
                <w:color w:val="auto"/>
              </w:rPr>
            </w:pPr>
            <w:r>
              <w:rPr>
                <w:rFonts w:ascii="Arial" w:cs="Arial" w:eastAsia="Arial" w:hAnsi="Arial"/>
                <w:sz w:val="16"/>
                <w:szCs w:val="16"/>
                <w:b w:val="1"/>
                <w:bCs w:val="1"/>
                <w:color w:val="auto"/>
                <w:w w:val="92"/>
              </w:rPr>
              <w:t>Wilmington, DE 19803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640" w:type="dxa"/>
            <w:vAlign w:val="bottom"/>
            <w:gridSpan w:val="6"/>
          </w:tcPr>
          <w:p>
            <w:pPr>
              <w:jc w:val="center"/>
              <w:ind w:right="2000"/>
              <w:spacing w:after="0"/>
              <w:rPr>
                <w:sz w:val="20"/>
                <w:szCs w:val="20"/>
                <w:color w:val="auto"/>
              </w:rPr>
            </w:pPr>
            <w:r>
              <w:rPr>
                <w:rFonts w:ascii="Arial" w:cs="Arial" w:eastAsia="Arial" w:hAnsi="Arial"/>
                <w:sz w:val="16"/>
                <w:szCs w:val="16"/>
                <w:color w:val="auto"/>
                <w:w w:val="91"/>
              </w:rPr>
              <w:t>(Address of principal executive offices)</w:t>
            </w:r>
          </w:p>
        </w:tc>
        <w:tc>
          <w:tcPr>
            <w:tcW w:w="3600" w:type="dxa"/>
            <w:vAlign w:val="bottom"/>
          </w:tcPr>
          <w:p>
            <w:pPr>
              <w:jc w:val="center"/>
              <w:ind w:right="1943"/>
              <w:spacing w:after="0"/>
              <w:rPr>
                <w:sz w:val="20"/>
                <w:szCs w:val="20"/>
                <w:color w:val="auto"/>
              </w:rPr>
            </w:pPr>
            <w:r>
              <w:rPr>
                <w:rFonts w:ascii="Arial" w:cs="Arial" w:eastAsia="Arial" w:hAnsi="Arial"/>
                <w:sz w:val="16"/>
                <w:szCs w:val="16"/>
                <w:color w:val="auto"/>
                <w:w w:val="92"/>
              </w:rPr>
              <w:t>(Zip Code)</w:t>
            </w:r>
          </w:p>
        </w:tc>
        <w:tc>
          <w:tcPr>
            <w:tcW w:w="0" w:type="dxa"/>
            <w:vAlign w:val="bottom"/>
          </w:tcPr>
          <w:p>
            <w:pPr>
              <w:spacing w:after="0"/>
              <w:rPr>
                <w:sz w:val="1"/>
                <w:szCs w:val="1"/>
                <w:color w:val="auto"/>
              </w:rPr>
            </w:pPr>
          </w:p>
        </w:tc>
      </w:tr>
      <w:tr>
        <w:trPr>
          <w:trHeight w:val="485"/>
        </w:trPr>
        <w:tc>
          <w:tcPr>
            <w:tcW w:w="3780" w:type="dxa"/>
            <w:vAlign w:val="bottom"/>
          </w:tcPr>
          <w:p>
            <w:pPr>
              <w:spacing w:after="0"/>
              <w:rPr>
                <w:sz w:val="24"/>
                <w:szCs w:val="24"/>
                <w:color w:val="auto"/>
              </w:rPr>
            </w:pPr>
          </w:p>
        </w:tc>
        <w:tc>
          <w:tcPr>
            <w:tcW w:w="3140" w:type="dxa"/>
            <w:vAlign w:val="bottom"/>
            <w:gridSpan w:val="3"/>
          </w:tcPr>
          <w:p>
            <w:pPr>
              <w:jc w:val="center"/>
              <w:ind w:left="446"/>
              <w:spacing w:after="0"/>
              <w:rPr>
                <w:sz w:val="20"/>
                <w:szCs w:val="20"/>
                <w:color w:val="auto"/>
              </w:rPr>
            </w:pPr>
            <w:r>
              <w:rPr>
                <w:rFonts w:ascii="Arial" w:cs="Arial" w:eastAsia="Arial" w:hAnsi="Arial"/>
                <w:sz w:val="16"/>
                <w:szCs w:val="16"/>
                <w:b w:val="1"/>
                <w:bCs w:val="1"/>
                <w:color w:val="auto"/>
                <w:w w:val="91"/>
              </w:rPr>
              <w:t>(302) 498-6700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780" w:type="dxa"/>
            <w:vAlign w:val="bottom"/>
          </w:tcPr>
          <w:p>
            <w:pPr>
              <w:spacing w:after="0"/>
              <w:rPr>
                <w:sz w:val="17"/>
                <w:szCs w:val="17"/>
                <w:color w:val="auto"/>
              </w:rPr>
            </w:pPr>
          </w:p>
        </w:tc>
        <w:tc>
          <w:tcPr>
            <w:tcW w:w="3860" w:type="dxa"/>
            <w:vAlign w:val="bottom"/>
            <w:gridSpan w:val="5"/>
          </w:tcPr>
          <w:p>
            <w:pPr>
              <w:jc w:val="center"/>
              <w:ind w:right="180"/>
              <w:spacing w:after="0"/>
              <w:rPr>
                <w:sz w:val="20"/>
                <w:szCs w:val="20"/>
                <w:color w:val="auto"/>
              </w:rPr>
            </w:pPr>
            <w:r>
              <w:rPr>
                <w:rFonts w:ascii="Arial" w:cs="Arial" w:eastAsia="Arial" w:hAnsi="Arial"/>
                <w:sz w:val="16"/>
                <w:szCs w:val="16"/>
                <w:color w:val="auto"/>
                <w:w w:val="89"/>
              </w:rPr>
              <w:t>(Registrant’s telephone number, including area code)</w:t>
            </w:r>
          </w:p>
        </w:tc>
        <w:tc>
          <w:tcPr>
            <w:tcW w:w="3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3780" w:type="dxa"/>
            <w:vAlign w:val="bottom"/>
          </w:tcPr>
          <w:p>
            <w:pPr>
              <w:spacing w:after="0"/>
              <w:rPr>
                <w:sz w:val="24"/>
                <w:szCs w:val="24"/>
                <w:color w:val="auto"/>
              </w:rPr>
            </w:pPr>
          </w:p>
        </w:tc>
        <w:tc>
          <w:tcPr>
            <w:tcW w:w="3860" w:type="dxa"/>
            <w:vAlign w:val="bottom"/>
            <w:gridSpan w:val="5"/>
          </w:tcPr>
          <w:p>
            <w:pPr>
              <w:jc w:val="center"/>
              <w:ind w:right="160"/>
              <w:spacing w:after="0"/>
              <w:rPr>
                <w:sz w:val="20"/>
                <w:szCs w:val="20"/>
                <w:color w:val="auto"/>
              </w:rPr>
            </w:pPr>
            <w:r>
              <w:rPr>
                <w:rFonts w:ascii="Arial" w:cs="Arial" w:eastAsia="Arial" w:hAnsi="Arial"/>
                <w:sz w:val="16"/>
                <w:szCs w:val="16"/>
                <w:color w:val="auto"/>
                <w:w w:val="90"/>
              </w:rPr>
              <w:t>Securities registered pursuant to Section 12(b) of the Act: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3780" w:type="dxa"/>
            <w:vAlign w:val="bottom"/>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1"/>
              </w:rPr>
              <w:t>Trading Symbol(s)</w:t>
            </w:r>
          </w:p>
        </w:tc>
        <w:tc>
          <w:tcPr>
            <w:tcW w:w="3600" w:type="dxa"/>
            <w:vAlign w:val="bottom"/>
          </w:tcPr>
          <w:p>
            <w:pPr>
              <w:jc w:val="center"/>
              <w:ind w:right="543"/>
              <w:spacing w:after="0"/>
              <w:rPr>
                <w:sz w:val="20"/>
                <w:szCs w:val="20"/>
                <w:color w:val="auto"/>
              </w:rPr>
            </w:pPr>
            <w:r>
              <w:rPr>
                <w:rFonts w:ascii="Arial" w:cs="Arial" w:eastAsia="Arial" w:hAnsi="Arial"/>
                <w:sz w:val="14"/>
                <w:szCs w:val="14"/>
                <w:b w:val="1"/>
                <w:bCs w:val="1"/>
                <w:color w:val="auto"/>
                <w:w w:val="88"/>
              </w:rPr>
              <w:t>Name of exchange on which registered</w:t>
            </w:r>
          </w:p>
        </w:tc>
        <w:tc>
          <w:tcPr>
            <w:tcW w:w="0" w:type="dxa"/>
            <w:vAlign w:val="bottom"/>
          </w:tcPr>
          <w:p>
            <w:pPr>
              <w:spacing w:after="0"/>
              <w:rPr>
                <w:sz w:val="1"/>
                <w:szCs w:val="1"/>
                <w:color w:val="auto"/>
              </w:rPr>
            </w:pPr>
          </w:p>
        </w:tc>
      </w:tr>
      <w:tr>
        <w:trPr>
          <w:trHeight w:val="24"/>
        </w:trPr>
        <w:tc>
          <w:tcPr>
            <w:tcW w:w="3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780" w:type="dxa"/>
            <w:vAlign w:val="bottom"/>
          </w:tcPr>
          <w:p>
            <w:pPr>
              <w:ind w:left="840"/>
              <w:spacing w:after="0"/>
              <w:rPr>
                <w:sz w:val="20"/>
                <w:szCs w:val="20"/>
                <w:color w:val="auto"/>
              </w:rPr>
            </w:pPr>
            <w:r>
              <w:rPr>
                <w:rFonts w:ascii="Arial" w:cs="Arial" w:eastAsia="Arial" w:hAnsi="Arial"/>
                <w:sz w:val="14"/>
                <w:szCs w:val="14"/>
                <w:color w:val="auto"/>
              </w:rPr>
              <w:t>Common Stock, $.001 par value per share</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gridSpan w:val="3"/>
          </w:tcPr>
          <w:p>
            <w:pPr>
              <w:jc w:val="center"/>
              <w:ind w:right="700"/>
              <w:spacing w:after="0"/>
              <w:rPr>
                <w:sz w:val="20"/>
                <w:szCs w:val="20"/>
                <w:color w:val="auto"/>
              </w:rPr>
            </w:pPr>
            <w:r>
              <w:rPr>
                <w:rFonts w:ascii="Arial" w:cs="Arial" w:eastAsia="Arial" w:hAnsi="Arial"/>
                <w:sz w:val="14"/>
                <w:szCs w:val="14"/>
                <w:color w:val="auto"/>
              </w:rPr>
              <w:t>INCY</w:t>
            </w:r>
          </w:p>
        </w:tc>
        <w:tc>
          <w:tcPr>
            <w:tcW w:w="3600" w:type="dxa"/>
            <w:vAlign w:val="bottom"/>
          </w:tcPr>
          <w:p>
            <w:pPr>
              <w:jc w:val="center"/>
              <w:ind w:right="543"/>
              <w:spacing w:after="0"/>
              <w:rPr>
                <w:sz w:val="20"/>
                <w:szCs w:val="20"/>
                <w:color w:val="auto"/>
              </w:rPr>
            </w:pPr>
            <w:r>
              <w:rPr>
                <w:rFonts w:ascii="Arial" w:cs="Arial" w:eastAsia="Arial" w:hAnsi="Arial"/>
                <w:sz w:val="14"/>
                <w:szCs w:val="14"/>
                <w:color w:val="auto"/>
                <w:w w:val="92"/>
              </w:rPr>
              <w:t>The Nasdaq Stock Market LLC</w:t>
            </w:r>
          </w:p>
        </w:tc>
        <w:tc>
          <w:tcPr>
            <w:tcW w:w="0" w:type="dxa"/>
            <w:vAlign w:val="bottom"/>
          </w:tcPr>
          <w:p>
            <w:pPr>
              <w:spacing w:after="0"/>
              <w:rPr>
                <w:sz w:val="1"/>
                <w:szCs w:val="1"/>
                <w:color w:val="auto"/>
              </w:rPr>
            </w:pPr>
          </w:p>
        </w:tc>
      </w:tr>
    </w:tbl>
    <w:p>
      <w:pPr>
        <w:spacing w:after="0" w:line="200" w:lineRule="exact"/>
        <w:rPr>
          <w:sz w:val="24"/>
          <w:szCs w:val="24"/>
          <w:color w:val="auto"/>
        </w:rPr>
      </w:pPr>
    </w:p>
    <w:p>
      <w:pPr>
        <w:jc w:val="both"/>
        <w:ind w:firstLine="318"/>
        <w:spacing w:after="0" w:line="26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71" w:lineRule="exact"/>
        <w:rPr>
          <w:sz w:val="24"/>
          <w:szCs w:val="24"/>
          <w:color w:val="auto"/>
        </w:rPr>
      </w:pPr>
    </w:p>
    <w:p>
      <w:pPr>
        <w:ind w:firstLine="318"/>
        <w:spacing w:after="0" w:line="319"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x Yes o No</w:t>
      </w:r>
    </w:p>
    <w:p>
      <w:pPr>
        <w:spacing w:after="0" w:line="111" w:lineRule="exact"/>
        <w:rPr>
          <w:sz w:val="24"/>
          <w:szCs w:val="24"/>
          <w:color w:val="auto"/>
        </w:rPr>
      </w:pPr>
    </w:p>
    <w:p>
      <w:pPr>
        <w:jc w:val="both"/>
        <w:ind w:firstLine="318"/>
        <w:spacing w:after="0" w:line="33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type w:val="continuous"/>
        </w:sectPr>
      </w:pPr>
    </w:p>
    <w:p>
      <w:pPr>
        <w:spacing w:after="0" w:line="1" w:lineRule="exact"/>
        <w:rPr>
          <w:sz w:val="24"/>
          <w:szCs w:val="24"/>
          <w:color w:val="auto"/>
        </w:rPr>
      </w:pPr>
    </w:p>
    <w:p>
      <w:pPr>
        <w:ind w:left="25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131" w:lineRule="exact"/>
        <w:rPr>
          <w:sz w:val="24"/>
          <w:szCs w:val="24"/>
          <w:color w:val="auto"/>
        </w:rPr>
      </w:pPr>
    </w:p>
    <w:p>
      <w:pPr>
        <w:sectPr>
          <w:pgSz w:w="11900" w:h="16838" w:orient="portrait"/>
          <w:cols w:equalWidth="0" w:num="2">
            <w:col w:w="6580" w:space="720"/>
            <w:col w:w="3940"/>
          </w:cols>
          <w:pgMar w:left="320" w:top="233" w:right="339" w:bottom="1440" w:gutter="0" w:footer="0" w:header="0"/>
          <w:type w:val="continuous"/>
        </w:sectPr>
      </w:pPr>
    </w:p>
    <w:p>
      <w:pPr>
        <w:jc w:val="center"/>
        <w:ind w:left="460"/>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131" w:lineRule="exact"/>
        <w:rPr>
          <w:sz w:val="24"/>
          <w:szCs w:val="24"/>
          <w:color w:val="auto"/>
        </w:rPr>
      </w:pPr>
    </w:p>
    <w:p>
      <w:pPr>
        <w:sectPr>
          <w:pgSz w:w="11900" w:h="16838" w:orient="portrait"/>
          <w:cols w:equalWidth="0" w:num="2">
            <w:col w:w="6240" w:space="720"/>
            <w:col w:w="4280"/>
          </w:cols>
          <w:pgMar w:left="320" w:top="233" w:right="339" w:bottom="1440" w:gutter="0" w:footer="0" w:header="0"/>
          <w:type w:val="continuous"/>
        </w:sectPr>
      </w:pPr>
    </w:p>
    <w:p>
      <w:pPr>
        <w:ind w:left="696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240"/>
          </w:cols>
          <w:pgMar w:left="320" w:top="233" w:right="339" w:bottom="1440" w:gutter="0" w:footer="0" w:header="0"/>
          <w:type w:val="continuous"/>
        </w:sectPr>
      </w:pPr>
    </w:p>
    <w:p>
      <w:pPr>
        <w:spacing w:after="0" w:line="197" w:lineRule="exact"/>
        <w:rPr>
          <w:sz w:val="24"/>
          <w:szCs w:val="24"/>
          <w:color w:val="auto"/>
        </w:rPr>
      </w:pPr>
    </w:p>
    <w:p>
      <w:pPr>
        <w:ind w:right="460" w:firstLine="318"/>
        <w:spacing w:after="0" w:line="284"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5" w:lineRule="exact"/>
        <w:rPr>
          <w:sz w:val="24"/>
          <w:szCs w:val="24"/>
          <w:color w:val="auto"/>
        </w:rPr>
      </w:pPr>
    </w:p>
    <w:p>
      <w:pPr>
        <w:ind w:left="320" w:right="2800"/>
        <w:spacing w:after="0" w:line="498" w:lineRule="auto"/>
        <w:rPr>
          <w:sz w:val="20"/>
          <w:szCs w:val="20"/>
          <w:color w:val="auto"/>
        </w:rPr>
      </w:pPr>
      <w:r>
        <w:rPr>
          <w:rFonts w:ascii="Arial" w:cs="Arial" w:eastAsia="Arial" w:hAnsi="Arial"/>
          <w:sz w:val="14"/>
          <w:szCs w:val="14"/>
          <w:color w:val="auto"/>
        </w:rPr>
        <w:t>Indicate by check mark whether the registrant is a shell company (as defined in Rule 12b-2 of the Exchange Act). o Yes x No The number of outstanding shares of the registrant’s Common Stock, $.001 par value, was 224,109,238 as of October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579120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-72390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-46990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40" w:type="dxa"/>
            <w:vAlign w:val="bottom"/>
            <w:gridSpan w:val="8"/>
          </w:tcPr>
          <w:p>
            <w:pPr>
              <w:jc w:val="center"/>
              <w:ind w:right="2060"/>
              <w:spacing w:after="0"/>
              <w:rPr>
                <w:sz w:val="20"/>
                <w:szCs w:val="20"/>
                <w:color w:val="auto"/>
              </w:rPr>
            </w:pPr>
            <w:r>
              <w:rPr>
                <w:rFonts w:ascii="Arial" w:cs="Arial" w:eastAsia="Arial" w:hAnsi="Arial"/>
                <w:sz w:val="18"/>
                <w:szCs w:val="18"/>
                <w:b w:val="1"/>
                <w:bCs w:val="1"/>
                <w:color w:val="auto"/>
                <w:w w:val="99"/>
              </w:rPr>
              <w:t>INCYTE CORPORATION</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0" w:type="dxa"/>
            <w:vAlign w:val="bottom"/>
            <w:gridSpan w:val="5"/>
          </w:tcPr>
          <w:p>
            <w:pPr>
              <w:jc w:val="center"/>
              <w:ind w:right="3120"/>
              <w:spacing w:after="0"/>
              <w:rPr>
                <w:sz w:val="20"/>
                <w:szCs w:val="20"/>
                <w:color w:val="auto"/>
              </w:rPr>
            </w:pPr>
            <w:r>
              <w:rPr>
                <w:rFonts w:ascii="Arial" w:cs="Arial" w:eastAsia="Arial" w:hAnsi="Arial"/>
                <w:sz w:val="18"/>
                <w:szCs w:val="18"/>
                <w:b w:val="1"/>
                <w:bCs w:val="1"/>
                <w:color w:val="auto"/>
              </w:rPr>
              <w:t>INDEX</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9260" w:type="dxa"/>
            <w:vAlign w:val="bottom"/>
            <w:gridSpan w:val="22"/>
          </w:tcPr>
          <w:p>
            <w:pPr>
              <w:spacing w:after="0"/>
              <w:rPr>
                <w:sz w:val="20"/>
                <w:szCs w:val="20"/>
                <w:color w:val="auto"/>
              </w:rPr>
            </w:pPr>
            <w:r>
              <w:rPr>
                <w:rFonts w:ascii="Arial" w:cs="Arial" w:eastAsia="Arial" w:hAnsi="Arial"/>
                <w:sz w:val="18"/>
                <w:szCs w:val="18"/>
                <w:b w:val="1"/>
                <w:bCs w:val="1"/>
                <w:color w:val="0000FF"/>
              </w:rPr>
              <w:t>PART I: FINANCIAL INFORMATION</w:t>
            </w:r>
          </w:p>
        </w:tc>
        <w:tc>
          <w:tcPr>
            <w:tcW w:w="1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0000FF"/>
                <w:w w:val="91"/>
              </w:rPr>
              <w:t>Item 1.</w:t>
            </w:r>
          </w:p>
        </w:tc>
        <w:tc>
          <w:tcPr>
            <w:tcW w:w="600" w:type="dxa"/>
            <w:vAlign w:val="bottom"/>
            <w:tcBorders>
              <w:top w:val="single" w:sz="8" w:color="0000FF"/>
            </w:tcBorders>
            <w:gridSpan w:val="2"/>
          </w:tcPr>
          <w:p>
            <w:pPr>
              <w:spacing w:after="0"/>
              <w:rPr>
                <w:sz w:val="24"/>
                <w:szCs w:val="24"/>
                <w:color w:val="auto"/>
              </w:rPr>
            </w:pPr>
          </w:p>
        </w:tc>
        <w:tc>
          <w:tcPr>
            <w:tcW w:w="188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Financial Statements</w:t>
            </w:r>
          </w:p>
        </w:tc>
        <w:tc>
          <w:tcPr>
            <w:tcW w:w="6240" w:type="dxa"/>
            <w:vAlign w:val="bottom"/>
            <w:gridSpan w:val="10"/>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w:t>
            </w:r>
          </w:p>
        </w:tc>
        <w:tc>
          <w:tcPr>
            <w:tcW w:w="1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7"/>
              </w:rPr>
              <w:t>Condensed Consolidated Statements of Operations</w:t>
            </w:r>
          </w:p>
        </w:tc>
        <w:tc>
          <w:tcPr>
            <w:tcW w:w="4520" w:type="dxa"/>
            <w:vAlign w:val="bottom"/>
            <w:gridSpan w:val="7"/>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7"/>
              </w:rPr>
              <w:t>Condensed Consolidated Statements of Comprehensive Income (Loss)</w:t>
            </w:r>
          </w:p>
        </w:tc>
        <w:tc>
          <w:tcPr>
            <w:tcW w:w="3120" w:type="dxa"/>
            <w:vAlign w:val="bottom"/>
            <w:gridSpan w:val="2"/>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8"/>
              </w:rPr>
              <w:t>Condensed Consolidated Statements of Stockholders’ Equity</w:t>
            </w:r>
          </w:p>
        </w:tc>
        <w:tc>
          <w:tcPr>
            <w:tcW w:w="3800" w:type="dxa"/>
            <w:vAlign w:val="bottom"/>
            <w:gridSpan w:val="3"/>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Cash Flows</w:t>
            </w:r>
          </w:p>
        </w:tc>
        <w:tc>
          <w:tcPr>
            <w:tcW w:w="19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9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vMerge w:val="restart"/>
          </w:tcPr>
          <w:p>
            <w:pPr>
              <w:spacing w:after="0"/>
              <w:rPr>
                <w:sz w:val="20"/>
                <w:szCs w:val="20"/>
                <w:color w:val="auto"/>
              </w:rPr>
            </w:pPr>
            <w:r>
              <w:rPr>
                <w:rFonts w:ascii="Arial" w:cs="Arial" w:eastAsia="Arial" w:hAnsi="Arial"/>
                <w:sz w:val="18"/>
                <w:szCs w:val="18"/>
                <w:b w:val="1"/>
                <w:bCs w:val="1"/>
                <w:color w:val="0000FF"/>
                <w:w w:val="91"/>
              </w:rPr>
              <w:t>Item 2.</w:t>
            </w:r>
          </w:p>
        </w:tc>
        <w:tc>
          <w:tcPr>
            <w:tcW w:w="600" w:type="dxa"/>
            <w:vAlign w:val="bottom"/>
            <w:gridSpan w:val="2"/>
            <w:vMerge w:val="restart"/>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600" w:type="dxa"/>
            <w:vAlign w:val="bottom"/>
            <w:gridSpan w:val="2"/>
            <w:vMerge w:val="continue"/>
          </w:tcPr>
          <w:p>
            <w:pPr>
              <w:spacing w:after="0"/>
              <w:rPr>
                <w:sz w:val="24"/>
                <w:szCs w:val="24"/>
                <w:color w:val="auto"/>
              </w:rPr>
            </w:pPr>
          </w:p>
        </w:tc>
        <w:tc>
          <w:tcPr>
            <w:tcW w:w="8120" w:type="dxa"/>
            <w:vAlign w:val="bottom"/>
            <w:gridSpan w:val="1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9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9"/>
              </w:rPr>
              <w:t>Forward-Looking Statements</w:t>
            </w:r>
          </w:p>
        </w:tc>
        <w:tc>
          <w:tcPr>
            <w:tcW w:w="6040" w:type="dxa"/>
            <w:vAlign w:val="bottom"/>
            <w:gridSpan w:val="9"/>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Arial" w:cs="Arial" w:eastAsia="Arial" w:hAnsi="Arial"/>
                <w:sz w:val="18"/>
                <w:szCs w:val="18"/>
                <w:color w:val="0000FF"/>
              </w:rPr>
              <w:t>Summary Risk Factors</w:t>
            </w:r>
          </w:p>
        </w:tc>
        <w:tc>
          <w:tcPr>
            <w:tcW w:w="19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vMerge w:val="restart"/>
          </w:tcPr>
          <w:p>
            <w:pPr>
              <w:spacing w:after="0"/>
              <w:rPr>
                <w:sz w:val="20"/>
                <w:szCs w:val="20"/>
                <w:color w:val="auto"/>
              </w:rPr>
            </w:pPr>
            <w:r>
              <w:rPr>
                <w:rFonts w:ascii="Arial" w:cs="Arial" w:eastAsia="Arial" w:hAnsi="Arial"/>
                <w:sz w:val="18"/>
                <w:szCs w:val="18"/>
                <w:b w:val="1"/>
                <w:bCs w:val="1"/>
                <w:color w:val="0000FF"/>
                <w:w w:val="91"/>
              </w:rPr>
              <w:t>Item 3.</w:t>
            </w:r>
          </w:p>
        </w:tc>
        <w:tc>
          <w:tcPr>
            <w:tcW w:w="600" w:type="dxa"/>
            <w:vAlign w:val="bottom"/>
            <w:gridSpan w:val="2"/>
            <w:vMerge w:val="restart"/>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600" w:type="dxa"/>
            <w:vAlign w:val="bottom"/>
            <w:gridSpan w:val="2"/>
            <w:vMerge w:val="continue"/>
          </w:tcPr>
          <w:p>
            <w:pPr>
              <w:spacing w:after="0"/>
              <w:rPr>
                <w:sz w:val="24"/>
                <w:szCs w:val="24"/>
                <w:color w:val="auto"/>
              </w:rPr>
            </w:pPr>
          </w:p>
        </w:tc>
        <w:tc>
          <w:tcPr>
            <w:tcW w:w="8120" w:type="dxa"/>
            <w:vAlign w:val="bottom"/>
            <w:gridSpan w:val="1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9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0000FF"/>
                <w:w w:val="91"/>
              </w:rPr>
              <w:t>Item 4.</w:t>
            </w:r>
          </w:p>
        </w:tc>
        <w:tc>
          <w:tcPr>
            <w:tcW w:w="600" w:type="dxa"/>
            <w:vAlign w:val="bottom"/>
            <w:gridSpan w:val="2"/>
          </w:tcPr>
          <w:p>
            <w:pPr>
              <w:spacing w:after="0"/>
              <w:rPr>
                <w:sz w:val="24"/>
                <w:szCs w:val="24"/>
                <w:color w:val="auto"/>
              </w:rPr>
            </w:pPr>
          </w:p>
        </w:tc>
        <w:tc>
          <w:tcPr>
            <w:tcW w:w="8120" w:type="dxa"/>
            <w:vAlign w:val="bottom"/>
            <w:gridSpan w:val="19"/>
          </w:tcPr>
          <w:p>
            <w:pPr>
              <w:spacing w:after="0"/>
              <w:rPr>
                <w:sz w:val="20"/>
                <w:szCs w:val="20"/>
                <w:color w:val="auto"/>
              </w:rPr>
            </w:pPr>
            <w:r>
              <w:rPr>
                <w:rFonts w:ascii="Arial" w:cs="Arial" w:eastAsia="Arial" w:hAnsi="Arial"/>
                <w:sz w:val="18"/>
                <w:szCs w:val="18"/>
                <w:color w:val="0000FF"/>
              </w:rPr>
              <w:t>Controls and Procedures</w:t>
            </w:r>
          </w:p>
        </w:tc>
        <w:tc>
          <w:tcPr>
            <w:tcW w:w="19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380" w:type="dxa"/>
            <w:vAlign w:val="bottom"/>
            <w:gridSpan w:val="11"/>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27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b w:val="1"/>
                <w:bCs w:val="1"/>
                <w:color w:val="0000FF"/>
              </w:rPr>
              <w:t>PART II: OTHER INFORMATION</w:t>
            </w:r>
          </w:p>
        </w:tc>
        <w:tc>
          <w:tcPr>
            <w:tcW w:w="6500" w:type="dxa"/>
            <w:vAlign w:val="bottom"/>
            <w:gridSpan w:val="12"/>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0000FF"/>
              </w:rPr>
              <w:t>Item 1A.</w:t>
            </w:r>
          </w:p>
        </w:tc>
        <w:tc>
          <w:tcPr>
            <w:tcW w:w="812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19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20" w:type="dxa"/>
            <w:vAlign w:val="bottom"/>
            <w:gridSpan w:val="1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0000FF"/>
                <w:w w:val="91"/>
              </w:rPr>
              <w:t>Item 5.</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196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20" w:type="dxa"/>
            <w:vAlign w:val="bottom"/>
            <w:gridSpan w:val="1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0000FF"/>
                <w:w w:val="91"/>
              </w:rPr>
              <w:t>Item 6.</w:t>
            </w:r>
          </w:p>
        </w:tc>
        <w:tc>
          <w:tcPr>
            <w:tcW w:w="600" w:type="dxa"/>
            <w:vAlign w:val="bottom"/>
            <w:gridSpan w:val="2"/>
          </w:tcPr>
          <w:p>
            <w:pPr>
              <w:spacing w:after="0"/>
              <w:rPr>
                <w:sz w:val="24"/>
                <w:szCs w:val="24"/>
                <w:color w:val="auto"/>
              </w:rPr>
            </w:pPr>
          </w:p>
        </w:tc>
        <w:tc>
          <w:tcPr>
            <w:tcW w:w="8120" w:type="dxa"/>
            <w:vAlign w:val="bottom"/>
            <w:gridSpan w:val="19"/>
          </w:tcPr>
          <w:p>
            <w:pPr>
              <w:spacing w:after="0"/>
              <w:rPr>
                <w:sz w:val="20"/>
                <w:szCs w:val="20"/>
                <w:color w:val="auto"/>
              </w:rPr>
            </w:pPr>
            <w:r>
              <w:rPr>
                <w:rFonts w:ascii="Arial" w:cs="Arial" w:eastAsia="Arial" w:hAnsi="Arial"/>
                <w:sz w:val="18"/>
                <w:szCs w:val="18"/>
                <w:color w:val="0000FF"/>
              </w:rPr>
              <w:t>Exhibits</w:t>
            </w:r>
          </w:p>
        </w:tc>
        <w:tc>
          <w:tcPr>
            <w:tcW w:w="19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380" w:type="dxa"/>
            <w:vAlign w:val="bottom"/>
            <w:gridSpan w:val="16"/>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Arial" w:cs="Arial" w:eastAsia="Arial" w:hAnsi="Arial"/>
                <w:sz w:val="18"/>
                <w:szCs w:val="18"/>
                <w:color w:val="0000FF"/>
              </w:rPr>
              <w:t>Signatures</w:t>
            </w:r>
          </w:p>
        </w:tc>
        <w:tc>
          <w:tcPr>
            <w:tcW w:w="196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90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0000FF"/>
            </w:tcBorders>
            <w:gridSpan w:val="2"/>
          </w:tcPr>
          <w:p>
            <w:pPr>
              <w:spacing w:after="0"/>
              <w:rPr>
                <w:sz w:val="24"/>
                <w:szCs w:val="24"/>
                <w:color w:val="auto"/>
              </w:rPr>
            </w:pPr>
          </w:p>
        </w:tc>
        <w:tc>
          <w:tcPr>
            <w:tcW w:w="4260" w:type="dxa"/>
            <w:vAlign w:val="bottom"/>
            <w:gridSpan w:val="14"/>
          </w:tcPr>
          <w:p>
            <w:pPr>
              <w:jc w:val="center"/>
              <w:ind w:left="3092"/>
              <w:spacing w:after="0"/>
              <w:rPr>
                <w:sz w:val="20"/>
                <w:szCs w:val="20"/>
                <w:color w:val="auto"/>
              </w:rPr>
            </w:pPr>
            <w:r>
              <w:rPr>
                <w:rFonts w:ascii="Arial" w:cs="Arial" w:eastAsia="Arial" w:hAnsi="Arial"/>
                <w:sz w:val="18"/>
                <w:szCs w:val="18"/>
                <w:color w:val="auto"/>
                <w:w w:val="79"/>
              </w:rPr>
              <w:t>2</w:t>
            </w:r>
          </w:p>
        </w:tc>
        <w:tc>
          <w:tcPr>
            <w:tcW w:w="1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 thousands, except number of shares and par value)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4"/>
                <w:szCs w:val="14"/>
                <w:color w:val="auto"/>
              </w:rPr>
            </w:pPr>
          </w:p>
        </w:tc>
        <w:tc>
          <w:tcPr>
            <w:tcW w:w="1260" w:type="dxa"/>
            <w:vAlign w:val="bottom"/>
          </w:tcPr>
          <w:p>
            <w:pPr>
              <w:jc w:val="right"/>
              <w:ind w:right="24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(unaudited)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1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3,227,230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2,951,422</w:t>
            </w:r>
          </w:p>
        </w:tc>
        <w:tc>
          <w:tcPr>
            <w:tcW w:w="0" w:type="dxa"/>
            <w:vAlign w:val="bottom"/>
          </w:tcPr>
          <w:p>
            <w:pPr>
              <w:spacing w:after="0"/>
              <w:rPr>
                <w:sz w:val="1"/>
                <w:szCs w:val="1"/>
                <w:color w:val="auto"/>
              </w:rPr>
            </w:pPr>
          </w:p>
        </w:tc>
      </w:tr>
      <w:tr>
        <w:trPr>
          <w:trHeight w:val="202"/>
        </w:trPr>
        <w:tc>
          <w:tcPr>
            <w:tcW w:w="8180" w:type="dxa"/>
            <w:vAlign w:val="bottom"/>
          </w:tcPr>
          <w:p>
            <w:pPr>
              <w:ind w:left="260"/>
              <w:spacing w:after="0"/>
              <w:rPr>
                <w:sz w:val="20"/>
                <w:szCs w:val="20"/>
                <w:color w:val="auto"/>
              </w:rPr>
            </w:pPr>
            <w:r>
              <w:rPr>
                <w:rFonts w:ascii="Arial" w:cs="Arial" w:eastAsia="Arial" w:hAnsi="Arial"/>
                <w:sz w:val="16"/>
                <w:szCs w:val="16"/>
                <w:color w:val="auto"/>
                <w:w w:val="99"/>
              </w:rPr>
              <w:t>Marketable securities—available-for-sale (amortized cost $290,583 and $292,580 as of September 30, 2023 and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180" w:type="dxa"/>
            <w:vAlign w:val="bottom"/>
          </w:tcPr>
          <w:p>
            <w:pPr>
              <w:ind w:left="260"/>
              <w:spacing w:after="0"/>
              <w:rPr>
                <w:sz w:val="20"/>
                <w:szCs w:val="20"/>
                <w:color w:val="auto"/>
              </w:rPr>
            </w:pPr>
            <w:r>
              <w:rPr>
                <w:rFonts w:ascii="Arial" w:cs="Arial" w:eastAsia="Arial" w:hAnsi="Arial"/>
                <w:sz w:val="16"/>
                <w:szCs w:val="16"/>
                <w:color w:val="auto"/>
                <w:w w:val="96"/>
              </w:rPr>
              <w:t>December 31, 2022, respectively; allowance for credit losses $0 as of September 30, 2023 and December 31, 2022)</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289,223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287,543</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Accounts receivable</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657,263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644,879</w:t>
            </w:r>
          </w:p>
        </w:tc>
        <w:tc>
          <w:tcPr>
            <w:tcW w:w="0" w:type="dxa"/>
            <w:vAlign w:val="bottom"/>
          </w:tcPr>
          <w:p>
            <w:pPr>
              <w:spacing w:after="0"/>
              <w:rPr>
                <w:sz w:val="1"/>
                <w:szCs w:val="1"/>
                <w:color w:val="auto"/>
              </w:rPr>
            </w:pPr>
          </w:p>
        </w:tc>
      </w:tr>
      <w:tr>
        <w:trPr>
          <w:trHeight w:val="209"/>
        </w:trPr>
        <w:tc>
          <w:tcPr>
            <w:tcW w:w="8180" w:type="dxa"/>
            <w:vAlign w:val="bottom"/>
          </w:tcPr>
          <w:p>
            <w:pPr>
              <w:ind w:left="26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57,200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41,995</w:t>
            </w:r>
          </w:p>
        </w:tc>
        <w:tc>
          <w:tcPr>
            <w:tcW w:w="0" w:type="dxa"/>
            <w:vAlign w:val="bottom"/>
          </w:tcPr>
          <w:p>
            <w:pPr>
              <w:spacing w:after="0"/>
              <w:rPr>
                <w:sz w:val="1"/>
                <w:szCs w:val="1"/>
                <w:color w:val="auto"/>
              </w:rPr>
            </w:pPr>
          </w:p>
        </w:tc>
      </w:tr>
      <w:tr>
        <w:trPr>
          <w:trHeight w:val="215"/>
        </w:trPr>
        <w:tc>
          <w:tcPr>
            <w:tcW w:w="8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171,749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167,011</w:t>
            </w: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4,402,665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4,092,850</w:t>
            </w:r>
          </w:p>
        </w:tc>
        <w:tc>
          <w:tcPr>
            <w:tcW w:w="0" w:type="dxa"/>
            <w:vAlign w:val="bottom"/>
          </w:tcPr>
          <w:p>
            <w:pPr>
              <w:spacing w:after="0"/>
              <w:rPr>
                <w:sz w:val="1"/>
                <w:szCs w:val="1"/>
                <w:color w:val="auto"/>
              </w:rPr>
            </w:pPr>
          </w:p>
        </w:tc>
      </w:tr>
      <w:tr>
        <w:trPr>
          <w:trHeight w:val="161"/>
        </w:trPr>
        <w:tc>
          <w:tcPr>
            <w:tcW w:w="8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1,698</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 term investments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133,676</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142,086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78,964</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733,046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739,310</w:t>
            </w:r>
          </w:p>
        </w:tc>
        <w:tc>
          <w:tcPr>
            <w:tcW w:w="0" w:type="dxa"/>
            <w:vAlign w:val="bottom"/>
          </w:tcPr>
          <w:p>
            <w:pPr>
              <w:spacing w:after="0"/>
              <w:rPr>
                <w:sz w:val="1"/>
                <w:szCs w:val="1"/>
                <w:color w:val="auto"/>
              </w:rPr>
            </w:pPr>
          </w:p>
        </w:tc>
      </w:tr>
      <w:tr>
        <w:trPr>
          <w:trHeight w:val="209"/>
        </w:trPr>
        <w:tc>
          <w:tcPr>
            <w:tcW w:w="8180" w:type="dxa"/>
            <w:vAlign w:val="bottom"/>
          </w:tcPr>
          <w:p>
            <w:pPr>
              <w:ind w:left="20"/>
              <w:spacing w:after="0"/>
              <w:rPr>
                <w:sz w:val="20"/>
                <w:szCs w:val="20"/>
                <w:color w:val="auto"/>
              </w:rPr>
            </w:pPr>
            <w:r>
              <w:rPr>
                <w:rFonts w:ascii="Arial" w:cs="Arial" w:eastAsia="Arial" w:hAnsi="Arial"/>
                <w:sz w:val="16"/>
                <w:szCs w:val="16"/>
                <w:color w:val="auto"/>
              </w:rPr>
              <w:t>Finance lease right-of-use assets,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24,880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26,298</w:t>
            </w:r>
          </w:p>
        </w:tc>
        <w:tc>
          <w:tcPr>
            <w:tcW w:w="0" w:type="dxa"/>
            <w:vAlign w:val="bottom"/>
          </w:tcPr>
          <w:p>
            <w:pPr>
              <w:spacing w:after="0"/>
              <w:rPr>
                <w:sz w:val="1"/>
                <w:szCs w:val="1"/>
                <w:color w:val="auto"/>
              </w:rPr>
            </w:pPr>
          </w:p>
        </w:tc>
      </w:tr>
      <w:tr>
        <w:trPr>
          <w:trHeight w:val="215"/>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129,219</w:t>
            </w:r>
          </w:p>
        </w:tc>
        <w:tc>
          <w:tcPr>
            <w:tcW w:w="0" w:type="dxa"/>
            <w:vAlign w:val="bottom"/>
          </w:tcPr>
          <w:p>
            <w:pPr>
              <w:spacing w:after="0"/>
              <w:rPr>
                <w:sz w:val="1"/>
                <w:szCs w:val="1"/>
                <w:color w:val="auto"/>
              </w:rPr>
            </w:pPr>
          </w:p>
        </w:tc>
      </w:tr>
      <w:tr>
        <w:trPr>
          <w:trHeight w:val="209"/>
        </w:trPr>
        <w:tc>
          <w:tcPr>
            <w:tcW w:w="81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155,593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155,593</w:t>
            </w:r>
          </w:p>
        </w:tc>
        <w:tc>
          <w:tcPr>
            <w:tcW w:w="0" w:type="dxa"/>
            <w:vAlign w:val="bottom"/>
          </w:tcPr>
          <w:p>
            <w:pPr>
              <w:spacing w:after="0"/>
              <w:rPr>
                <w:sz w:val="1"/>
                <w:szCs w:val="1"/>
                <w:color w:val="auto"/>
              </w:rPr>
            </w:pPr>
          </w:p>
        </w:tc>
      </w:tr>
      <w:tr>
        <w:trPr>
          <w:trHeight w:val="215"/>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asset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564,385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457,941</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 net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80,955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25,435</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6,388,239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5,840,984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8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277,546</w:t>
            </w:r>
          </w:p>
        </w:tc>
        <w:tc>
          <w:tcPr>
            <w:tcW w:w="0" w:type="dxa"/>
            <w:vAlign w:val="bottom"/>
          </w:tcPr>
          <w:p>
            <w:pPr>
              <w:spacing w:after="0"/>
              <w:rPr>
                <w:sz w:val="1"/>
                <w:szCs w:val="1"/>
                <w:color w:val="auto"/>
              </w:rPr>
            </w:pPr>
          </w:p>
        </w:tc>
      </w:tr>
      <w:tr>
        <w:trPr>
          <w:trHeight w:val="209"/>
        </w:trPr>
        <w:tc>
          <w:tcPr>
            <w:tcW w:w="8180" w:type="dxa"/>
            <w:vAlign w:val="bottom"/>
          </w:tcPr>
          <w:p>
            <w:pPr>
              <w:ind w:left="260"/>
              <w:spacing w:after="0"/>
              <w:rPr>
                <w:sz w:val="20"/>
                <w:szCs w:val="20"/>
                <w:color w:val="auto"/>
              </w:rPr>
            </w:pPr>
            <w:r>
              <w:rPr>
                <w:rFonts w:ascii="Arial" w:cs="Arial" w:eastAsia="Arial" w:hAnsi="Arial"/>
                <w:sz w:val="16"/>
                <w:szCs w:val="16"/>
                <w:color w:val="auto"/>
              </w:rPr>
              <w:t>Accrued compensation</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124,783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138,761</w:t>
            </w:r>
          </w:p>
        </w:tc>
        <w:tc>
          <w:tcPr>
            <w:tcW w:w="0" w:type="dxa"/>
            <w:vAlign w:val="bottom"/>
          </w:tcPr>
          <w:p>
            <w:pPr>
              <w:spacing w:after="0"/>
              <w:rPr>
                <w:sz w:val="1"/>
                <w:szCs w:val="1"/>
                <w:color w:val="auto"/>
              </w:rPr>
            </w:pPr>
          </w:p>
        </w:tc>
      </w:tr>
      <w:tr>
        <w:trPr>
          <w:trHeight w:val="215"/>
        </w:trPr>
        <w:tc>
          <w:tcPr>
            <w:tcW w:w="8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Accrued and other 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820,607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701,053</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Arial" w:cs="Arial" w:eastAsia="Arial" w:hAnsi="Arial"/>
                <w:sz w:val="16"/>
                <w:szCs w:val="16"/>
                <w:color w:val="auto"/>
              </w:rPr>
              <w:t>Finance lease liabilities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3,179</w:t>
            </w:r>
          </w:p>
        </w:tc>
        <w:tc>
          <w:tcPr>
            <w:tcW w:w="0" w:type="dxa"/>
            <w:vAlign w:val="bottom"/>
          </w:tcPr>
          <w:p>
            <w:pPr>
              <w:spacing w:after="0"/>
              <w:rPr>
                <w:sz w:val="1"/>
                <w:szCs w:val="1"/>
                <w:color w:val="auto"/>
              </w:rPr>
            </w:pPr>
          </w:p>
        </w:tc>
      </w:tr>
      <w:tr>
        <w:trPr>
          <w:trHeight w:val="215"/>
        </w:trPr>
        <w:tc>
          <w:tcPr>
            <w:tcW w:w="8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Acquisition-related contingent consideration</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36,815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36,538</w:t>
            </w: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1,124,680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1,157,077</w:t>
            </w:r>
          </w:p>
        </w:tc>
        <w:tc>
          <w:tcPr>
            <w:tcW w:w="0" w:type="dxa"/>
            <w:vAlign w:val="bottom"/>
          </w:tcPr>
          <w:p>
            <w:pPr>
              <w:spacing w:after="0"/>
              <w:rPr>
                <w:sz w:val="1"/>
                <w:szCs w:val="1"/>
                <w:color w:val="auto"/>
              </w:rPr>
            </w:pPr>
          </w:p>
        </w:tc>
      </w:tr>
      <w:tr>
        <w:trPr>
          <w:trHeight w:val="162"/>
        </w:trPr>
        <w:tc>
          <w:tcPr>
            <w:tcW w:w="8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180" w:type="dxa"/>
            <w:vAlign w:val="bottom"/>
          </w:tcPr>
          <w:p>
            <w:pPr>
              <w:ind w:left="20"/>
              <w:spacing w:after="0"/>
              <w:rPr>
                <w:sz w:val="20"/>
                <w:szCs w:val="20"/>
                <w:color w:val="auto"/>
              </w:rPr>
            </w:pPr>
            <w:r>
              <w:rPr>
                <w:rFonts w:ascii="Arial" w:cs="Arial" w:eastAsia="Arial" w:hAnsi="Arial"/>
                <w:sz w:val="16"/>
                <w:szCs w:val="16"/>
                <w:color w:val="auto"/>
              </w:rPr>
              <w:t>Acquisition-related contingent consideration</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170,185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184,462</w:t>
            </w:r>
          </w:p>
        </w:tc>
        <w:tc>
          <w:tcPr>
            <w:tcW w:w="0" w:type="dxa"/>
            <w:vAlign w:val="bottom"/>
          </w:tcPr>
          <w:p>
            <w:pPr>
              <w:spacing w:after="0"/>
              <w:rPr>
                <w:sz w:val="1"/>
                <w:szCs w:val="1"/>
                <w:color w:val="auto"/>
              </w:rPr>
            </w:pPr>
          </w:p>
        </w:tc>
      </w:tr>
      <w:tr>
        <w:trPr>
          <w:trHeight w:val="215"/>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30,083</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133,068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99,243</w:t>
            </w: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1,456,792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1,470,865</w:t>
            </w:r>
          </w:p>
        </w:tc>
        <w:tc>
          <w:tcPr>
            <w:tcW w:w="0" w:type="dxa"/>
            <w:vAlign w:val="bottom"/>
          </w:tcPr>
          <w:p>
            <w:pPr>
              <w:spacing w:after="0"/>
              <w:rPr>
                <w:sz w:val="1"/>
                <w:szCs w:val="1"/>
                <w:color w:val="auto"/>
              </w:rPr>
            </w:pPr>
          </w:p>
        </w:tc>
      </w:tr>
      <w:tr>
        <w:trPr>
          <w:trHeight w:val="142"/>
        </w:trPr>
        <w:tc>
          <w:tcPr>
            <w:tcW w:w="8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14)</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Arial" w:cs="Arial" w:eastAsia="Arial" w:hAnsi="Arial"/>
                <w:sz w:val="16"/>
                <w:szCs w:val="16"/>
                <w:color w:val="auto"/>
              </w:rPr>
              <w:t>Preferred stock, $0.001 par value; 5,000,000 shares authorized; none issued or outstanding</w:t>
            </w:r>
          </w:p>
        </w:tc>
        <w:tc>
          <w:tcPr>
            <w:tcW w:w="2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8180" w:type="dxa"/>
            <w:vAlign w:val="bottom"/>
            <w:shd w:val="clear" w:color="auto" w:fill="CCEEFF"/>
          </w:tcPr>
          <w:p>
            <w:pPr>
              <w:ind w:left="260"/>
              <w:spacing w:after="0" w:line="165" w:lineRule="exact"/>
              <w:rPr>
                <w:sz w:val="20"/>
                <w:szCs w:val="20"/>
                <w:color w:val="auto"/>
              </w:rPr>
            </w:pPr>
            <w:r>
              <w:rPr>
                <w:rFonts w:ascii="Arial" w:cs="Arial" w:eastAsia="Arial" w:hAnsi="Arial"/>
                <w:sz w:val="16"/>
                <w:szCs w:val="16"/>
                <w:color w:val="auto"/>
                <w:w w:val="96"/>
              </w:rPr>
              <w:t>Common stock, $0.001 par value; 400,000,000 shares authorized; 224,101,839 and 222,746,719 shares issued and</w:t>
            </w:r>
          </w:p>
        </w:tc>
        <w:tc>
          <w:tcPr>
            <w:tcW w:w="2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outstanding as of September 30, 2023 and December 31, 2022, respectively</w:t>
            </w:r>
          </w:p>
        </w:tc>
        <w:tc>
          <w:tcPr>
            <w:tcW w:w="2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4,949,023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4,792,041</w:t>
            </w:r>
          </w:p>
        </w:tc>
        <w:tc>
          <w:tcPr>
            <w:tcW w:w="0" w:type="dxa"/>
            <w:vAlign w:val="bottom"/>
          </w:tcPr>
          <w:p>
            <w:pPr>
              <w:spacing w:after="0"/>
              <w:rPr>
                <w:sz w:val="1"/>
                <w:szCs w:val="1"/>
                <w:color w:val="auto"/>
              </w:rPr>
            </w:pPr>
          </w:p>
        </w:tc>
      </w:tr>
      <w:tr>
        <w:trPr>
          <w:trHeight w:val="215"/>
        </w:trPr>
        <w:tc>
          <w:tcPr>
            <w:tcW w:w="8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15,069</w:t>
            </w:r>
          </w:p>
        </w:tc>
        <w:tc>
          <w:tcPr>
            <w:tcW w:w="0" w:type="dxa"/>
            <w:vAlign w:val="bottom"/>
          </w:tcPr>
          <w:p>
            <w:pPr>
              <w:spacing w:after="0"/>
              <w:rPr>
                <w:sz w:val="1"/>
                <w:szCs w:val="1"/>
                <w:color w:val="auto"/>
              </w:rPr>
            </w:pPr>
          </w:p>
        </w:tc>
      </w:tr>
      <w:tr>
        <w:trPr>
          <w:trHeight w:val="209"/>
        </w:trPr>
        <w:tc>
          <w:tcPr>
            <w:tcW w:w="81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Accumulated deficit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(40,694)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(437,214)</w:t>
            </w:r>
          </w:p>
        </w:tc>
        <w:tc>
          <w:tcPr>
            <w:tcW w:w="0" w:type="dxa"/>
            <w:vAlign w:val="bottom"/>
          </w:tcPr>
          <w:p>
            <w:pPr>
              <w:spacing w:after="0"/>
              <w:rPr>
                <w:sz w:val="1"/>
                <w:szCs w:val="1"/>
                <w:color w:val="auto"/>
              </w:rPr>
            </w:pPr>
          </w:p>
        </w:tc>
      </w:tr>
      <w:tr>
        <w:trPr>
          <w:trHeight w:val="208"/>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4,931,447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4,370,119</w:t>
            </w: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6,388,239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5,840,984</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left="4720" w:right="640" w:hanging="4714"/>
        <w:spacing w:after="0" w:line="326" w:lineRule="auto"/>
        <w:tabs>
          <w:tab w:leader="none" w:pos="31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condensed consolidated balance sheet at December 31, 2022 has been derived from the audited consolidated financial statements at that date. See accompanying notes.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ind w:left="520"/>
              <w:spacing w:after="0"/>
              <w:rPr>
                <w:sz w:val="20"/>
                <w:szCs w:val="20"/>
                <w:color w:val="auto"/>
              </w:rPr>
            </w:pPr>
            <w:r>
              <w:rPr>
                <w:rFonts w:ascii="Arial" w:cs="Arial" w:eastAsia="Arial" w:hAnsi="Arial"/>
                <w:sz w:val="14"/>
                <w:szCs w:val="14"/>
                <w:b w:val="1"/>
                <w:bCs w:val="1"/>
                <w:color w:val="auto"/>
                <w:w w:val="90"/>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84"/>
        </w:trPr>
        <w:tc>
          <w:tcPr>
            <w:tcW w:w="5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5"/>
                <w:szCs w:val="15"/>
                <w:color w:val="auto"/>
              </w:rPr>
            </w:pPr>
          </w:p>
        </w:tc>
      </w:tr>
      <w:tr>
        <w:trPr>
          <w:trHeight w:val="38"/>
        </w:trPr>
        <w:tc>
          <w:tcPr>
            <w:tcW w:w="50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5"/>
        </w:trPr>
        <w:tc>
          <w:tcPr>
            <w:tcW w:w="5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2022</w:t>
            </w:r>
          </w:p>
        </w:tc>
      </w:tr>
      <w:tr>
        <w:trPr>
          <w:trHeight w:val="212"/>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5"/>
        </w:trPr>
        <w:tc>
          <w:tcPr>
            <w:tcW w:w="5040" w:type="dxa"/>
            <w:vAlign w:val="bottom"/>
          </w:tcPr>
          <w:p>
            <w:pPr>
              <w:ind w:left="260"/>
              <w:spacing w:after="0"/>
              <w:rPr>
                <w:sz w:val="20"/>
                <w:szCs w:val="20"/>
                <w:color w:val="auto"/>
              </w:rPr>
            </w:pPr>
            <w:r>
              <w:rPr>
                <w:rFonts w:ascii="Arial" w:cs="Arial" w:eastAsia="Arial" w:hAnsi="Arial"/>
                <w:sz w:val="18"/>
                <w:szCs w:val="18"/>
                <w:color w:val="auto"/>
              </w:rPr>
              <w:t>Product revenues, net</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783,197</w:t>
            </w:r>
          </w:p>
        </w:tc>
        <w:tc>
          <w:tcPr>
            <w:tcW w:w="80" w:type="dxa"/>
            <w:vAlign w:val="bottom"/>
          </w:tcPr>
          <w:p>
            <w:pPr>
              <w:spacing w:after="0"/>
              <w:rPr>
                <w:sz w:val="19"/>
                <w:szCs w:val="19"/>
                <w:color w:val="auto"/>
              </w:rPr>
            </w:pPr>
          </w:p>
        </w:tc>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713,010</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2,303,439</w:t>
            </w:r>
          </w:p>
        </w:tc>
        <w:tc>
          <w:tcPr>
            <w:tcW w:w="100" w:type="dxa"/>
            <w:vAlign w:val="bottom"/>
          </w:tcPr>
          <w:p>
            <w:pPr>
              <w:spacing w:after="0"/>
              <w:rPr>
                <w:sz w:val="19"/>
                <w:szCs w:val="19"/>
                <w:color w:val="auto"/>
              </w:rPr>
            </w:pP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1,982,682</w:t>
            </w:r>
          </w:p>
        </w:tc>
      </w:tr>
      <w:tr>
        <w:trPr>
          <w:trHeight w:val="226"/>
        </w:trPr>
        <w:tc>
          <w:tcPr>
            <w:tcW w:w="5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Product royalty revenues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130,828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350,253</w:t>
            </w:r>
          </w:p>
        </w:tc>
      </w:tr>
      <w:tr>
        <w:trPr>
          <w:trHeight w:val="225"/>
        </w:trPr>
        <w:tc>
          <w:tcPr>
            <w:tcW w:w="5040" w:type="dxa"/>
            <w:vAlign w:val="bottom"/>
          </w:tcPr>
          <w:p>
            <w:pPr>
              <w:ind w:left="260"/>
              <w:spacing w:after="0"/>
              <w:rPr>
                <w:sz w:val="20"/>
                <w:szCs w:val="20"/>
                <w:color w:val="auto"/>
              </w:rPr>
            </w:pPr>
            <w:r>
              <w:rPr>
                <w:rFonts w:ascii="Arial" w:cs="Arial" w:eastAsia="Arial" w:hAnsi="Arial"/>
                <w:sz w:val="18"/>
                <w:szCs w:val="18"/>
                <w:color w:val="auto"/>
              </w:rPr>
              <w:t>Milestone and contract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135,000</w:t>
            </w:r>
          </w:p>
        </w:tc>
      </w:tr>
      <w:tr>
        <w:trPr>
          <w:trHeight w:val="218"/>
        </w:trPr>
        <w:tc>
          <w:tcPr>
            <w:tcW w:w="5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919,025</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823,303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2,682,308</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2,467,935</w:t>
            </w:r>
          </w:p>
        </w:tc>
      </w:tr>
      <w:tr>
        <w:trPr>
          <w:trHeight w:val="246"/>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73"/>
        </w:trPr>
        <w:tc>
          <w:tcPr>
            <w:tcW w:w="5040" w:type="dxa"/>
            <w:vAlign w:val="bottom"/>
          </w:tcPr>
          <w:p>
            <w:pPr>
              <w:ind w:left="260"/>
              <w:spacing w:after="0" w:line="173" w:lineRule="exact"/>
              <w:rPr>
                <w:sz w:val="20"/>
                <w:szCs w:val="20"/>
                <w:color w:val="auto"/>
              </w:rPr>
            </w:pPr>
            <w:r>
              <w:rPr>
                <w:rFonts w:ascii="Arial" w:cs="Arial" w:eastAsia="Arial" w:hAnsi="Arial"/>
                <w:sz w:val="18"/>
                <w:szCs w:val="18"/>
                <w:color w:val="auto"/>
              </w:rPr>
              <w:t>Cost of product revenues (including definite-lived intangible</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7"/>
        </w:trPr>
        <w:tc>
          <w:tcPr>
            <w:tcW w:w="5040" w:type="dxa"/>
            <w:vAlign w:val="bottom"/>
          </w:tcPr>
          <w:p>
            <w:pPr>
              <w:ind w:left="26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60,091</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54,584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185,239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147,834</w:t>
            </w:r>
          </w:p>
        </w:tc>
      </w:tr>
      <w:tr>
        <w:trPr>
          <w:trHeight w:val="226"/>
        </w:trPr>
        <w:tc>
          <w:tcPr>
            <w:tcW w:w="5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375,709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1,183,100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1,084,576</w:t>
            </w:r>
          </w:p>
        </w:tc>
      </w:tr>
      <w:tr>
        <w:trPr>
          <w:trHeight w:val="225"/>
        </w:trPr>
        <w:tc>
          <w:tcPr>
            <w:tcW w:w="504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267,893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266,460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867,428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729,321</w:t>
            </w:r>
          </w:p>
        </w:tc>
      </w:tr>
      <w:tr>
        <w:trPr>
          <w:trHeight w:val="174"/>
        </w:trPr>
        <w:tc>
          <w:tcPr>
            <w:tcW w:w="5040" w:type="dxa"/>
            <w:vAlign w:val="bottom"/>
            <w:shd w:val="clear" w:color="auto" w:fill="CCEEFF"/>
          </w:tcPr>
          <w:p>
            <w:pPr>
              <w:ind w:left="260"/>
              <w:spacing w:after="0" w:line="174" w:lineRule="exact"/>
              <w:rPr>
                <w:sz w:val="20"/>
                <w:szCs w:val="20"/>
                <w:color w:val="auto"/>
              </w:rPr>
            </w:pPr>
            <w:r>
              <w:rPr>
                <w:rFonts w:ascii="Arial" w:cs="Arial" w:eastAsia="Arial" w:hAnsi="Arial"/>
                <w:sz w:val="18"/>
                <w:szCs w:val="18"/>
                <w:color w:val="auto"/>
              </w:rPr>
              <w:t>(Gain) loss on change in fair value of acquisition-related</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38"/>
        </w:trPr>
        <w:tc>
          <w:tcPr>
            <w:tcW w:w="5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contingent consideration</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(12,198)</w:t>
            </w:r>
          </w:p>
        </w:tc>
      </w:tr>
      <w:tr>
        <w:trPr>
          <w:trHeight w:val="225"/>
        </w:trPr>
        <w:tc>
          <w:tcPr>
            <w:tcW w:w="50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Loss and (profit) sharing under collaboration agreements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9,055</w:t>
            </w:r>
          </w:p>
        </w:tc>
      </w:tr>
      <w:tr>
        <w:trPr>
          <w:trHeight w:val="218"/>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704,320</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684,927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2,249,053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1,958,588</w:t>
            </w:r>
          </w:p>
        </w:tc>
      </w:tr>
      <w:tr>
        <w:trPr>
          <w:trHeight w:val="246"/>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214,705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433,255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509,347</w:t>
            </w:r>
          </w:p>
        </w:tc>
      </w:tr>
      <w:tr>
        <w:trPr>
          <w:trHeight w:val="225"/>
        </w:trPr>
        <w:tc>
          <w:tcPr>
            <w:tcW w:w="5040" w:type="dxa"/>
            <w:vAlign w:val="bottom"/>
          </w:tcPr>
          <w:p>
            <w:pPr>
              <w:ind w:left="20"/>
              <w:spacing w:after="0"/>
              <w:rPr>
                <w:sz w:val="20"/>
                <w:szCs w:val="20"/>
                <w:color w:val="auto"/>
              </w:rPr>
            </w:pPr>
            <w:r>
              <w:rPr>
                <w:rFonts w:ascii="Arial" w:cs="Arial" w:eastAsia="Arial" w:hAnsi="Arial"/>
                <w:sz w:val="18"/>
                <w:szCs w:val="18"/>
                <w:color w:val="auto"/>
              </w:rPr>
              <w:t>Interest income and other,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46,371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121,912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13,295</w:t>
            </w:r>
          </w:p>
        </w:tc>
      </w:tr>
      <w:tr>
        <w:trPr>
          <w:trHeight w:val="22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r>
      <w:tr>
        <w:trPr>
          <w:trHeight w:val="225"/>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Unrealized (loss) gain on long term investments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(26,654)</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(72,142)</w:t>
            </w:r>
          </w:p>
        </w:tc>
      </w:tr>
      <w:tr>
        <w:trPr>
          <w:trHeight w:val="219"/>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provision for income taxes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233,799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563,259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448,501</w:t>
            </w:r>
          </w:p>
        </w:tc>
      </w:tr>
      <w:tr>
        <w:trPr>
          <w:trHeight w:val="225"/>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62,530</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166,739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136,302</w:t>
            </w:r>
          </w:p>
        </w:tc>
      </w:tr>
      <w:tr>
        <w:trPr>
          <w:trHeight w:val="244"/>
        </w:trPr>
        <w:tc>
          <w:tcPr>
            <w:tcW w:w="5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171,269</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112,775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396,520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312,199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5040" w:type="dxa"/>
            <w:vAlign w:val="bottom"/>
          </w:tcPr>
          <w:p>
            <w:pPr>
              <w:ind w:left="2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0.76</w:t>
            </w:r>
          </w:p>
        </w:tc>
        <w:tc>
          <w:tcPr>
            <w:tcW w:w="80" w:type="dxa"/>
            <w:vAlign w:val="bottom"/>
          </w:tcPr>
          <w:p>
            <w:pPr>
              <w:spacing w:after="0"/>
              <w:rPr>
                <w:sz w:val="19"/>
                <w:szCs w:val="19"/>
                <w:color w:val="auto"/>
              </w:rPr>
            </w:pPr>
          </w:p>
        </w:tc>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2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65"/>
        </w:trPr>
        <w:tc>
          <w:tcPr>
            <w:tcW w:w="5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in computing net income per share: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5040" w:type="dxa"/>
            <w:vAlign w:val="bottom"/>
          </w:tcPr>
          <w:p>
            <w:pPr>
              <w:ind w:left="2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120" w:type="dxa"/>
            <w:vAlign w:val="bottom"/>
          </w:tcPr>
          <w:p>
            <w:pPr>
              <w:ind w:left="520"/>
              <w:spacing w:after="0"/>
              <w:rPr>
                <w:sz w:val="20"/>
                <w:szCs w:val="20"/>
                <w:color w:val="auto"/>
              </w:rPr>
            </w:pPr>
            <w:r>
              <w:rPr>
                <w:rFonts w:ascii="Arial" w:cs="Arial" w:eastAsia="Arial" w:hAnsi="Arial"/>
                <w:sz w:val="18"/>
                <w:szCs w:val="18"/>
                <w:color w:val="auto"/>
                <w:w w:val="89"/>
              </w:rPr>
              <w:t>224,078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222,415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223,428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221,801</w:t>
            </w:r>
          </w:p>
        </w:tc>
      </w:tr>
      <w:tr>
        <w:trPr>
          <w:trHeight w:val="22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9"/>
              </w:rPr>
              <w:t>226,167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225,756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223,626</w:t>
            </w: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89"/>
        </w:trPr>
        <w:tc>
          <w:tcPr>
            <w:tcW w:w="4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1"/>
        </w:trPr>
        <w:tc>
          <w:tcPr>
            <w:tcW w:w="45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9"/>
              </w:rPr>
              <w:t>2022</w:t>
            </w:r>
          </w:p>
        </w:tc>
      </w:tr>
      <w:tr>
        <w:trPr>
          <w:trHeight w:val="225"/>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171,269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396,520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312,199</w:t>
            </w:r>
          </w:p>
        </w:tc>
      </w:tr>
      <w:tr>
        <w:trPr>
          <w:trHeight w:val="265"/>
        </w:trPr>
        <w:tc>
          <w:tcPr>
            <w:tcW w:w="4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5"/>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4540" w:type="dxa"/>
            <w:vAlign w:val="bottom"/>
          </w:tcPr>
          <w:p>
            <w:pPr>
              <w:ind w:left="260"/>
              <w:spacing w:after="0"/>
              <w:rPr>
                <w:sz w:val="20"/>
                <w:szCs w:val="20"/>
                <w:color w:val="auto"/>
              </w:rPr>
            </w:pPr>
            <w:r>
              <w:rPr>
                <w:rFonts w:ascii="Arial" w:cs="Arial" w:eastAsia="Arial" w:hAnsi="Arial"/>
                <w:sz w:val="18"/>
                <w:szCs w:val="18"/>
                <w:color w:val="auto"/>
              </w:rPr>
              <w:t>Foreign currency translation (loss) gain</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(4,855)</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3,594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(5,132)</w:t>
            </w:r>
          </w:p>
        </w:tc>
      </w:tr>
      <w:tr>
        <w:trPr>
          <w:trHeight w:val="226"/>
        </w:trPr>
        <w:tc>
          <w:tcPr>
            <w:tcW w:w="45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Unrealized gain (loss) on marketable securities, net of tax</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w:t>
            </w:r>
          </w:p>
        </w:tc>
      </w:tr>
      <w:tr>
        <w:trPr>
          <w:trHeight w:val="225"/>
        </w:trPr>
        <w:tc>
          <w:tcPr>
            <w:tcW w:w="45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Defined benefit pension gain, net of tax</w:t>
            </w:r>
          </w:p>
        </w:tc>
        <w:tc>
          <w:tcPr>
            <w:tcW w:w="5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r>
      <w:tr>
        <w:trPr>
          <w:trHeight w:val="219"/>
        </w:trPr>
        <w:tc>
          <w:tcPr>
            <w:tcW w:w="4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comprehensive (loss) income</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(9,608)</w:t>
            </w:r>
          </w:p>
        </w:tc>
      </w:tr>
      <w:tr>
        <w:trPr>
          <w:trHeight w:val="265"/>
        </w:trPr>
        <w:tc>
          <w:tcPr>
            <w:tcW w:w="4540" w:type="dxa"/>
            <w:vAlign w:val="bottom"/>
            <w:tcBorders>
              <w:bottom w:val="single" w:sz="8" w:color="CCEEFF"/>
            </w:tcBorders>
          </w:tcPr>
          <w:p>
            <w:pPr>
              <w:spacing w:after="0"/>
              <w:rPr>
                <w:sz w:val="23"/>
                <w:szCs w:val="23"/>
                <w:color w:val="auto"/>
              </w:rPr>
            </w:pPr>
          </w:p>
        </w:tc>
        <w:tc>
          <w:tcPr>
            <w:tcW w:w="5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23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167,357</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109,409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404,345</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302,591</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83"/>
        </w:trPr>
        <w:tc>
          <w:tcPr>
            <w:tcW w:w="4540" w:type="dxa"/>
            <w:vAlign w:val="bottom"/>
          </w:tcPr>
          <w:p>
            <w:pPr>
              <w:spacing w:after="0"/>
              <w:rPr>
                <w:sz w:val="24"/>
                <w:szCs w:val="24"/>
                <w:color w:val="auto"/>
              </w:rPr>
            </w:pPr>
          </w:p>
        </w:tc>
        <w:tc>
          <w:tcPr>
            <w:tcW w:w="2060" w:type="dxa"/>
            <w:vAlign w:val="bottom"/>
            <w:gridSpan w:val="4"/>
          </w:tcPr>
          <w:p>
            <w:pPr>
              <w:ind w:left="180"/>
              <w:spacing w:after="0"/>
              <w:rPr>
                <w:sz w:val="20"/>
                <w:szCs w:val="20"/>
                <w:color w:val="auto"/>
              </w:rPr>
            </w:pPr>
            <w:r>
              <w:rPr>
                <w:rFonts w:ascii="Arial" w:cs="Arial" w:eastAsia="Arial" w:hAnsi="Arial"/>
                <w:sz w:val="18"/>
                <w:szCs w:val="18"/>
                <w:color w:val="auto"/>
                <w:w w:val="89"/>
              </w:rPr>
              <w:t>See accompanying notes.</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95"/>
        </w:trPr>
        <w:tc>
          <w:tcPr>
            <w:tcW w:w="4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777"/>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4"/>
        </w:trPr>
        <w:tc>
          <w:tcPr>
            <w:tcW w:w="45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number of shares)</w:t>
      </w:r>
    </w:p>
    <w:p>
      <w:pPr>
        <w:spacing w:after="0" w:line="248" w:lineRule="exact"/>
        <w:rPr>
          <w:sz w:val="20"/>
          <w:szCs w:val="20"/>
          <w:color w:val="auto"/>
        </w:rPr>
      </w:pPr>
    </w:p>
    <w:tbl>
      <w:tblPr>
        <w:tblLayout w:type="fixed"/>
        <w:tblInd w:w="4480" w:type="dxa"/>
        <w:tblCellMar>
          <w:top w:w="0" w:type="dxa"/>
          <w:left w:w="0" w:type="dxa"/>
          <w:bottom w:w="0" w:type="dxa"/>
          <w:right w:w="0" w:type="dxa"/>
        </w:tblCellMar>
      </w:tblPr>
      <w:tr>
        <w:trPr>
          <w:trHeight w:val="172"/>
        </w:trPr>
        <w:tc>
          <w:tcPr>
            <w:tcW w:w="900" w:type="dxa"/>
            <w:vAlign w:val="bottom"/>
            <w:vMerge w:val="restart"/>
          </w:tcPr>
          <w:p>
            <w:pPr>
              <w:jc w:val="center"/>
              <w:ind w:right="289"/>
              <w:spacing w:after="0"/>
              <w:rPr>
                <w:sz w:val="20"/>
                <w:szCs w:val="20"/>
                <w:color w:val="auto"/>
              </w:rPr>
            </w:pPr>
            <w:r>
              <w:rPr>
                <w:rFonts w:ascii="Arial" w:cs="Arial" w:eastAsia="Arial" w:hAnsi="Arial"/>
                <w:sz w:val="14"/>
                <w:szCs w:val="14"/>
                <w:b w:val="1"/>
                <w:bCs w:val="1"/>
                <w:color w:val="auto"/>
                <w:w w:val="88"/>
              </w:rPr>
              <w:t>Common</w:t>
            </w:r>
          </w:p>
        </w:tc>
        <w:tc>
          <w:tcPr>
            <w:tcW w:w="1480" w:type="dxa"/>
            <w:vAlign w:val="bottom"/>
            <w:vMerge w:val="restart"/>
          </w:tcPr>
          <w:p>
            <w:pPr>
              <w:jc w:val="center"/>
              <w:ind w:left="89"/>
              <w:spacing w:after="0"/>
              <w:rPr>
                <w:sz w:val="20"/>
                <w:szCs w:val="20"/>
                <w:color w:val="auto"/>
              </w:rPr>
            </w:pPr>
            <w:r>
              <w:rPr>
                <w:rFonts w:ascii="Arial" w:cs="Arial" w:eastAsia="Arial" w:hAnsi="Arial"/>
                <w:sz w:val="14"/>
                <w:szCs w:val="14"/>
                <w:b w:val="1"/>
                <w:bCs w:val="1"/>
                <w:color w:val="auto"/>
                <w:w w:val="93"/>
              </w:rPr>
              <w:t>Additional</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Accumulated Other</w:t>
            </w:r>
          </w:p>
        </w:tc>
        <w:tc>
          <w:tcPr>
            <w:tcW w:w="1340" w:type="dxa"/>
            <w:vAlign w:val="bottom"/>
            <w:vMerge w:val="restart"/>
          </w:tcPr>
          <w:p>
            <w:pPr>
              <w:jc w:val="center"/>
              <w:ind w:right="29"/>
              <w:spacing w:after="0"/>
              <w:rPr>
                <w:sz w:val="20"/>
                <w:szCs w:val="20"/>
                <w:color w:val="auto"/>
              </w:rPr>
            </w:pPr>
            <w:r>
              <w:rPr>
                <w:rFonts w:ascii="Arial" w:cs="Arial" w:eastAsia="Arial" w:hAnsi="Arial"/>
                <w:sz w:val="14"/>
                <w:szCs w:val="14"/>
                <w:b w:val="1"/>
                <w:bCs w:val="1"/>
                <w:color w:val="auto"/>
                <w:w w:val="90"/>
              </w:rPr>
              <w:t>Accumulated</w:t>
            </w:r>
          </w:p>
        </w:tc>
        <w:tc>
          <w:tcPr>
            <w:tcW w:w="1160" w:type="dxa"/>
            <w:vAlign w:val="bottom"/>
          </w:tcPr>
          <w:p>
            <w:pPr>
              <w:jc w:val="center"/>
              <w:ind w:left="24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9"/>
        </w:trPr>
        <w:tc>
          <w:tcPr>
            <w:tcW w:w="90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6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9"/>
              </w:rPr>
              <w:t>Comprehensive</w:t>
            </w:r>
          </w:p>
        </w:tc>
        <w:tc>
          <w:tcPr>
            <w:tcW w:w="1340" w:type="dxa"/>
            <w:vAlign w:val="bottom"/>
            <w:vMerge w:val="continue"/>
          </w:tcPr>
          <w:p>
            <w:pPr>
              <w:spacing w:after="0"/>
              <w:rPr>
                <w:sz w:val="13"/>
                <w:szCs w:val="13"/>
                <w:color w:val="auto"/>
              </w:rPr>
            </w:pPr>
          </w:p>
        </w:tc>
        <w:tc>
          <w:tcPr>
            <w:tcW w:w="1160" w:type="dxa"/>
            <w:vAlign w:val="bottom"/>
          </w:tcPr>
          <w:p>
            <w:pPr>
              <w:jc w:val="center"/>
              <w:ind w:left="249"/>
              <w:spacing w:after="0" w:line="15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7"/>
        </w:trPr>
        <w:tc>
          <w:tcPr>
            <w:tcW w:w="900" w:type="dxa"/>
            <w:vAlign w:val="bottom"/>
          </w:tcPr>
          <w:p>
            <w:pPr>
              <w:jc w:val="center"/>
              <w:ind w:right="289"/>
              <w:spacing w:after="0"/>
              <w:rPr>
                <w:sz w:val="20"/>
                <w:szCs w:val="20"/>
                <w:color w:val="auto"/>
              </w:rPr>
            </w:pPr>
            <w:r>
              <w:rPr>
                <w:rFonts w:ascii="Arial" w:cs="Arial" w:eastAsia="Arial" w:hAnsi="Arial"/>
                <w:sz w:val="14"/>
                <w:szCs w:val="14"/>
                <w:b w:val="1"/>
                <w:bCs w:val="1"/>
                <w:color w:val="auto"/>
                <w:w w:val="89"/>
              </w:rPr>
              <w:t>Stock</w:t>
            </w:r>
          </w:p>
        </w:tc>
        <w:tc>
          <w:tcPr>
            <w:tcW w:w="1480" w:type="dxa"/>
            <w:vAlign w:val="bottom"/>
          </w:tcPr>
          <w:p>
            <w:pPr>
              <w:jc w:val="center"/>
              <w:ind w:left="89"/>
              <w:spacing w:after="0"/>
              <w:rPr>
                <w:sz w:val="20"/>
                <w:szCs w:val="20"/>
                <w:color w:val="auto"/>
              </w:rPr>
            </w:pPr>
            <w:r>
              <w:rPr>
                <w:rFonts w:ascii="Arial" w:cs="Arial" w:eastAsia="Arial" w:hAnsi="Arial"/>
                <w:sz w:val="14"/>
                <w:szCs w:val="14"/>
                <w:b w:val="1"/>
                <w:bCs w:val="1"/>
                <w:color w:val="auto"/>
                <w:w w:val="94"/>
              </w:rPr>
              <w:t>Paid-in Capital</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9"/>
              </w:rPr>
              <w:t>Income</w:t>
            </w:r>
          </w:p>
        </w:tc>
        <w:tc>
          <w:tcPr>
            <w:tcW w:w="1340" w:type="dxa"/>
            <w:vAlign w:val="bottom"/>
          </w:tcPr>
          <w:p>
            <w:pPr>
              <w:jc w:val="center"/>
              <w:ind w:right="29"/>
              <w:spacing w:after="0"/>
              <w:rPr>
                <w:sz w:val="20"/>
                <w:szCs w:val="20"/>
                <w:color w:val="auto"/>
              </w:rPr>
            </w:pPr>
            <w:r>
              <w:rPr>
                <w:rFonts w:ascii="Arial" w:cs="Arial" w:eastAsia="Arial" w:hAnsi="Arial"/>
                <w:sz w:val="14"/>
                <w:szCs w:val="14"/>
                <w:b w:val="1"/>
                <w:bCs w:val="1"/>
                <w:color w:val="auto"/>
                <w:w w:val="93"/>
              </w:rPr>
              <w:t>Deficit</w:t>
            </w:r>
          </w:p>
        </w:tc>
        <w:tc>
          <w:tcPr>
            <w:tcW w:w="1160" w:type="dxa"/>
            <w:vAlign w:val="bottom"/>
          </w:tcPr>
          <w:p>
            <w:pPr>
              <w:jc w:val="center"/>
              <w:ind w:left="249"/>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142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4060" w:type="dxa"/>
            <w:vAlign w:val="bottom"/>
          </w:tcPr>
          <w:p>
            <w:pPr>
              <w:spacing w:after="0"/>
              <w:rPr>
                <w:sz w:val="20"/>
                <w:szCs w:val="20"/>
                <w:color w:val="auto"/>
              </w:rPr>
            </w:pPr>
            <w:r>
              <w:rPr>
                <w:rFonts w:ascii="Arial" w:cs="Arial" w:eastAsia="Arial" w:hAnsi="Arial"/>
                <w:sz w:val="16"/>
                <w:szCs w:val="16"/>
                <w:color w:val="auto"/>
              </w:rPr>
              <w:t>Balances at January 1, 2023</w:t>
            </w:r>
          </w:p>
        </w:tc>
        <w:tc>
          <w:tcPr>
            <w:tcW w:w="560" w:type="dxa"/>
            <w:vAlign w:val="bottom"/>
            <w:tcBorders>
              <w:top w:val="single" w:sz="8" w:color="auto"/>
            </w:tcBorders>
          </w:tcPr>
          <w:p>
            <w:pPr>
              <w:jc w:val="right"/>
              <w:ind w:right="38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060" w:type="dxa"/>
            <w:vAlign w:val="bottom"/>
          </w:tcPr>
          <w:p>
            <w:pPr>
              <w:spacing w:after="0"/>
              <w:rPr>
                <w:sz w:val="20"/>
                <w:szCs w:val="20"/>
                <w:color w:val="auto"/>
              </w:rPr>
            </w:pPr>
            <w:r>
              <w:rPr>
                <w:rFonts w:ascii="Arial" w:cs="Arial" w:eastAsia="Arial" w:hAnsi="Arial"/>
                <w:sz w:val="16"/>
                <w:szCs w:val="16"/>
                <w:color w:val="auto"/>
                <w:w w:val="89"/>
              </w:rPr>
              <w:t>Issuance of 313,995 shares of Common Stock upon exercise of</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60" w:type="dxa"/>
            <w:vAlign w:val="bottom"/>
          </w:tcPr>
          <w:p>
            <w:pPr>
              <w:spacing w:after="0"/>
              <w:rPr>
                <w:sz w:val="20"/>
                <w:szCs w:val="20"/>
                <w:color w:val="auto"/>
              </w:rPr>
            </w:pPr>
            <w:r>
              <w:rPr>
                <w:rFonts w:ascii="Arial" w:cs="Arial" w:eastAsia="Arial" w:hAnsi="Arial"/>
                <w:sz w:val="16"/>
                <w:szCs w:val="16"/>
                <w:color w:val="auto"/>
                <w:w w:val="89"/>
              </w:rPr>
              <w:t>stock options and settlement of employee restricted stock units,</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60" w:type="dxa"/>
            <w:vAlign w:val="bottom"/>
          </w:tcPr>
          <w:p>
            <w:pPr>
              <w:spacing w:after="0"/>
              <w:rPr>
                <w:sz w:val="20"/>
                <w:szCs w:val="20"/>
                <w:color w:val="auto"/>
              </w:rPr>
            </w:pPr>
            <w:r>
              <w:rPr>
                <w:rFonts w:ascii="Arial" w:cs="Arial" w:eastAsia="Arial" w:hAnsi="Arial"/>
                <w:sz w:val="16"/>
                <w:szCs w:val="16"/>
                <w:color w:val="auto"/>
              </w:rPr>
              <w:t>net of shares withheld for taxes</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60" w:type="dxa"/>
            <w:vAlign w:val="bottom"/>
          </w:tcPr>
          <w:p>
            <w:pPr>
              <w:spacing w:after="0"/>
              <w:rPr>
                <w:sz w:val="20"/>
                <w:szCs w:val="20"/>
                <w:color w:val="auto"/>
              </w:rPr>
            </w:pPr>
            <w:r>
              <w:rPr>
                <w:rFonts w:ascii="Arial" w:cs="Arial" w:eastAsia="Arial" w:hAnsi="Arial"/>
                <w:sz w:val="16"/>
                <w:szCs w:val="16"/>
                <w:color w:val="auto"/>
              </w:rPr>
              <w:t>Issuance of 1,073 shares of Common Stock for services</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6"/>
                <w:szCs w:val="16"/>
                <w:color w:val="auto"/>
              </w:rPr>
              <w:t>rendered</w:t>
            </w:r>
          </w:p>
        </w:tc>
        <w:tc>
          <w:tcPr>
            <w:tcW w:w="5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6"/>
                <w:szCs w:val="16"/>
                <w:color w:val="auto"/>
              </w:rPr>
              <w:t>Stock compensation</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60" w:type="dxa"/>
            <w:vAlign w:val="bottom"/>
          </w:tcPr>
          <w:p>
            <w:pPr>
              <w:spacing w:after="0"/>
              <w:rPr>
                <w:sz w:val="20"/>
                <w:szCs w:val="20"/>
                <w:color w:val="auto"/>
              </w:rPr>
            </w:pPr>
            <w:r>
              <w:rPr>
                <w:rFonts w:ascii="Arial" w:cs="Arial" w:eastAsia="Arial" w:hAnsi="Arial"/>
                <w:sz w:val="16"/>
                <w:szCs w:val="16"/>
                <w:color w:val="auto"/>
              </w:rPr>
              <w:t>Net income</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6"/>
                <w:szCs w:val="16"/>
                <w:color w:val="auto"/>
              </w:rPr>
              <w:t>Balance at March 31, 2023</w:t>
            </w:r>
          </w:p>
        </w:tc>
        <w:tc>
          <w:tcPr>
            <w:tcW w:w="5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6"/>
                <w:szCs w:val="16"/>
                <w:color w:val="auto"/>
                <w:w w:val="91"/>
              </w:rPr>
              <w:t>Issuance of 59,093 shares of Common Stock upon exercise of</w:t>
            </w: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060" w:type="dxa"/>
            <w:vAlign w:val="bottom"/>
          </w:tcPr>
          <w:p>
            <w:pPr>
              <w:spacing w:after="0"/>
              <w:rPr>
                <w:sz w:val="20"/>
                <w:szCs w:val="20"/>
                <w:color w:val="auto"/>
              </w:rPr>
            </w:pPr>
            <w:r>
              <w:rPr>
                <w:rFonts w:ascii="Arial" w:cs="Arial" w:eastAsia="Arial" w:hAnsi="Arial"/>
                <w:sz w:val="16"/>
                <w:szCs w:val="16"/>
                <w:color w:val="auto"/>
                <w:w w:val="90"/>
              </w:rPr>
              <w:t>stock options and settlement of employee restricted stock units</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060" w:type="dxa"/>
            <w:vAlign w:val="bottom"/>
          </w:tcPr>
          <w:p>
            <w:pPr>
              <w:spacing w:after="0"/>
              <w:rPr>
                <w:sz w:val="20"/>
                <w:szCs w:val="20"/>
                <w:color w:val="auto"/>
              </w:rPr>
            </w:pPr>
            <w:r>
              <w:rPr>
                <w:rFonts w:ascii="Arial" w:cs="Arial" w:eastAsia="Arial" w:hAnsi="Arial"/>
                <w:sz w:val="16"/>
                <w:szCs w:val="16"/>
                <w:color w:val="auto"/>
                <w:w w:val="92"/>
              </w:rPr>
              <w:t>and performance shares, net of shares withheld for taxes and</w:t>
            </w: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6"/>
                <w:szCs w:val="16"/>
                <w:color w:val="auto"/>
              </w:rPr>
              <w:t>216,168 shares of Common Stock under the ESPP</w:t>
            </w:r>
          </w:p>
        </w:tc>
        <w:tc>
          <w:tcPr>
            <w:tcW w:w="5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060" w:type="dxa"/>
            <w:vAlign w:val="bottom"/>
          </w:tcPr>
          <w:p>
            <w:pPr>
              <w:spacing w:after="0"/>
              <w:rPr>
                <w:sz w:val="20"/>
                <w:szCs w:val="20"/>
                <w:color w:val="auto"/>
              </w:rPr>
            </w:pPr>
            <w:r>
              <w:rPr>
                <w:rFonts w:ascii="Arial" w:cs="Arial" w:eastAsia="Arial" w:hAnsi="Arial"/>
                <w:sz w:val="16"/>
                <w:szCs w:val="16"/>
                <w:color w:val="auto"/>
              </w:rPr>
              <w:t>Issuance of 1,282 shares of Common Stock for services</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6"/>
                <w:szCs w:val="16"/>
                <w:color w:val="auto"/>
              </w:rPr>
              <w:t>rendered</w:t>
            </w:r>
          </w:p>
        </w:tc>
        <w:tc>
          <w:tcPr>
            <w:tcW w:w="5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6"/>
                <w:szCs w:val="16"/>
                <w:color w:val="auto"/>
              </w:rPr>
              <w:t>Stock compensation</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60" w:type="dxa"/>
            <w:vAlign w:val="bottom"/>
          </w:tcPr>
          <w:p>
            <w:pPr>
              <w:spacing w:after="0"/>
              <w:rPr>
                <w:sz w:val="20"/>
                <w:szCs w:val="20"/>
                <w:color w:val="auto"/>
              </w:rPr>
            </w:pPr>
            <w:r>
              <w:rPr>
                <w:rFonts w:ascii="Arial" w:cs="Arial" w:eastAsia="Arial" w:hAnsi="Arial"/>
                <w:sz w:val="16"/>
                <w:szCs w:val="16"/>
                <w:color w:val="auto"/>
              </w:rPr>
              <w:t>Net income</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6"/>
                <w:szCs w:val="16"/>
                <w:color w:val="auto"/>
              </w:rPr>
              <w:t>Balances at June 30, 2023</w:t>
            </w:r>
          </w:p>
        </w:tc>
        <w:tc>
          <w:tcPr>
            <w:tcW w:w="5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line="169" w:lineRule="exact"/>
              <w:rPr>
                <w:sz w:val="20"/>
                <w:szCs w:val="20"/>
                <w:color w:val="auto"/>
              </w:rPr>
            </w:pPr>
            <w:r>
              <w:rPr>
                <w:rFonts w:ascii="Arial" w:cs="Arial" w:eastAsia="Arial" w:hAnsi="Arial"/>
                <w:sz w:val="16"/>
                <w:szCs w:val="16"/>
                <w:color w:val="auto"/>
                <w:w w:val="89"/>
              </w:rPr>
              <w:t>Issuance of 762,231 shares of Common Stock upon exercise of</w:t>
            </w: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6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line="159" w:lineRule="exact"/>
              <w:rPr>
                <w:sz w:val="20"/>
                <w:szCs w:val="20"/>
                <w:color w:val="auto"/>
              </w:rPr>
            </w:pPr>
            <w:r>
              <w:rPr>
                <w:rFonts w:ascii="Arial" w:cs="Arial" w:eastAsia="Arial" w:hAnsi="Arial"/>
                <w:sz w:val="16"/>
                <w:szCs w:val="16"/>
                <w:color w:val="auto"/>
                <w:w w:val="89"/>
              </w:rPr>
              <w:t>stock options and settlement of employee restricted stock units,</w:t>
            </w:r>
          </w:p>
        </w:tc>
        <w:tc>
          <w:tcPr>
            <w:tcW w:w="5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060" w:type="dxa"/>
            <w:vAlign w:val="bottom"/>
          </w:tcPr>
          <w:p>
            <w:pPr>
              <w:spacing w:after="0"/>
              <w:rPr>
                <w:sz w:val="20"/>
                <w:szCs w:val="20"/>
                <w:color w:val="auto"/>
              </w:rPr>
            </w:pPr>
            <w:r>
              <w:rPr>
                <w:rFonts w:ascii="Arial" w:cs="Arial" w:eastAsia="Arial" w:hAnsi="Arial"/>
                <w:sz w:val="16"/>
                <w:szCs w:val="16"/>
                <w:color w:val="auto"/>
              </w:rPr>
              <w:t>net of shares withheld for taxes</w:t>
            </w:r>
          </w:p>
        </w:tc>
        <w:tc>
          <w:tcPr>
            <w:tcW w:w="5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060" w:type="dxa"/>
            <w:vAlign w:val="bottom"/>
          </w:tcPr>
          <w:p>
            <w:pPr>
              <w:spacing w:after="0" w:line="168" w:lineRule="exact"/>
              <w:rPr>
                <w:sz w:val="20"/>
                <w:szCs w:val="20"/>
                <w:color w:val="auto"/>
              </w:rPr>
            </w:pPr>
            <w:r>
              <w:rPr>
                <w:rFonts w:ascii="Arial" w:cs="Arial" w:eastAsia="Arial" w:hAnsi="Arial"/>
                <w:sz w:val="16"/>
                <w:szCs w:val="16"/>
                <w:color w:val="auto"/>
              </w:rPr>
              <w:t>Issuance of 1,278 shares of Common Stock for services</w:t>
            </w:r>
          </w:p>
        </w:tc>
        <w:tc>
          <w:tcPr>
            <w:tcW w:w="5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060" w:type="dxa"/>
            <w:vAlign w:val="bottom"/>
          </w:tcPr>
          <w:p>
            <w:pPr>
              <w:spacing w:after="0"/>
              <w:rPr>
                <w:sz w:val="20"/>
                <w:szCs w:val="20"/>
                <w:color w:val="auto"/>
              </w:rPr>
            </w:pPr>
            <w:r>
              <w:rPr>
                <w:rFonts w:ascii="Arial" w:cs="Arial" w:eastAsia="Arial" w:hAnsi="Arial"/>
                <w:sz w:val="16"/>
                <w:szCs w:val="16"/>
                <w:color w:val="auto"/>
              </w:rPr>
              <w:t>rendered</w:t>
            </w:r>
          </w:p>
        </w:tc>
        <w:tc>
          <w:tcPr>
            <w:tcW w:w="5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6"/>
                <w:szCs w:val="16"/>
                <w:color w:val="auto"/>
              </w:rPr>
              <w:t>Stock compensation</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60" w:type="dxa"/>
            <w:vAlign w:val="bottom"/>
          </w:tcPr>
          <w:p>
            <w:pPr>
              <w:spacing w:after="0"/>
              <w:rPr>
                <w:sz w:val="20"/>
                <w:szCs w:val="20"/>
                <w:color w:val="auto"/>
              </w:rPr>
            </w:pPr>
            <w:r>
              <w:rPr>
                <w:rFonts w:ascii="Arial" w:cs="Arial" w:eastAsia="Arial" w:hAnsi="Arial"/>
                <w:sz w:val="16"/>
                <w:szCs w:val="16"/>
                <w:color w:val="auto"/>
              </w:rPr>
              <w:t>Net income</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6"/>
                <w:szCs w:val="16"/>
                <w:color w:val="auto"/>
              </w:rPr>
              <w:t>Balances at September 30, 2023</w:t>
            </w:r>
          </w:p>
        </w:tc>
        <w:tc>
          <w:tcPr>
            <w:tcW w:w="5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-3356610</wp:posOffset>
            </wp:positionV>
            <wp:extent cx="7134860" cy="277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-2943860</wp:posOffset>
            </wp:positionV>
            <wp:extent cx="7134860" cy="134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-1993265</wp:posOffset>
            </wp:positionV>
            <wp:extent cx="7134860" cy="277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-1581150</wp:posOffset>
            </wp:positionV>
            <wp:extent cx="7134860" cy="134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-815340</wp:posOffset>
            </wp:positionV>
            <wp:extent cx="7134860" cy="235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-445135</wp:posOffset>
            </wp:positionV>
            <wp:extent cx="7134860" cy="134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-175895</wp:posOffset>
            </wp:positionV>
            <wp:extent cx="7134860" cy="160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-1311910</wp:posOffset>
            </wp:positionV>
            <wp:extent cx="7134860" cy="160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-2675255</wp:posOffset>
            </wp:positionV>
            <wp:extent cx="7134860" cy="160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800" w:type="dxa"/>
            <w:vAlign w:val="bottom"/>
          </w:tcPr>
          <w:p>
            <w:pPr>
              <w:jc w:val="right"/>
              <w:ind w:right="81"/>
              <w:spacing w:after="0"/>
              <w:rPr>
                <w:sz w:val="20"/>
                <w:szCs w:val="20"/>
                <w:color w:val="auto"/>
              </w:rPr>
            </w:pPr>
            <w:r>
              <w:rPr>
                <w:rFonts w:ascii="Arial" w:cs="Arial" w:eastAsia="Arial" w:hAnsi="Arial"/>
                <w:sz w:val="16"/>
                <w:szCs w:val="16"/>
                <w:color w:val="auto"/>
                <w:w w:val="87"/>
              </w:rPr>
              <w:t>4,792,041</w:t>
            </w:r>
          </w:p>
        </w:tc>
        <w:tc>
          <w:tcPr>
            <w:tcW w:w="480" w:type="dxa"/>
            <w:vAlign w:val="bottom"/>
            <w:tcBorders>
              <w:top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15,069</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(437,214)</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4,370,119</w:t>
            </w:r>
          </w:p>
        </w:tc>
      </w:tr>
      <w:tr>
        <w:trPr>
          <w:trHeight w:val="623"/>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11,235</w:t>
            </w:r>
          </w:p>
        </w:tc>
        <w:tc>
          <w:tcPr>
            <w:tcW w:w="4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11,235</w:t>
            </w:r>
          </w:p>
        </w:tc>
      </w:tr>
      <w:tr>
        <w:trPr>
          <w:trHeight w:val="437"/>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80</w:t>
            </w:r>
          </w:p>
        </w:tc>
        <w:tc>
          <w:tcPr>
            <w:tcW w:w="4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2"/>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53,558</w:t>
            </w:r>
          </w:p>
        </w:tc>
        <w:tc>
          <w:tcPr>
            <w:tcW w:w="4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53,558</w:t>
            </w:r>
          </w:p>
        </w:tc>
      </w:tr>
      <w:tr>
        <w:trPr>
          <w:trHeight w:val="212"/>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5,873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5,873</w:t>
            </w:r>
          </w:p>
        </w:tc>
      </w:tr>
      <w:tr>
        <w:trPr>
          <w:trHeight w:val="212"/>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21,703</w:t>
            </w:r>
          </w:p>
        </w:tc>
      </w:tr>
      <w:tr>
        <w:trPr>
          <w:trHeight w:val="208"/>
        </w:trPr>
        <w:tc>
          <w:tcPr>
            <w:tcW w:w="800" w:type="dxa"/>
            <w:vAlign w:val="bottom"/>
          </w:tcPr>
          <w:p>
            <w:pPr>
              <w:jc w:val="right"/>
              <w:ind w:right="81"/>
              <w:spacing w:after="0"/>
              <w:rPr>
                <w:sz w:val="20"/>
                <w:szCs w:val="20"/>
                <w:color w:val="auto"/>
              </w:rPr>
            </w:pPr>
            <w:r>
              <w:rPr>
                <w:rFonts w:ascii="Arial" w:cs="Arial" w:eastAsia="Arial" w:hAnsi="Arial"/>
                <w:sz w:val="16"/>
                <w:szCs w:val="16"/>
                <w:color w:val="auto"/>
                <w:w w:val="87"/>
              </w:rPr>
              <w:t>4,856,914</w:t>
            </w:r>
          </w:p>
        </w:tc>
        <w:tc>
          <w:tcPr>
            <w:tcW w:w="48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20,942</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(415,511)</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4,462,568</w:t>
            </w:r>
          </w:p>
        </w:tc>
      </w:tr>
      <w:tr>
        <w:trPr>
          <w:trHeight w:val="22"/>
        </w:trPr>
        <w:tc>
          <w:tcPr>
            <w:tcW w:w="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83"/>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13,704</w:t>
            </w:r>
          </w:p>
        </w:tc>
        <w:tc>
          <w:tcPr>
            <w:tcW w:w="4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13,704</w:t>
            </w:r>
          </w:p>
        </w:tc>
      </w:tr>
      <w:tr>
        <w:trPr>
          <w:trHeight w:val="437"/>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80</w:t>
            </w:r>
          </w:p>
        </w:tc>
        <w:tc>
          <w:tcPr>
            <w:tcW w:w="4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2"/>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54,928</w:t>
            </w:r>
          </w:p>
        </w:tc>
        <w:tc>
          <w:tcPr>
            <w:tcW w:w="4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54,928</w:t>
            </w:r>
          </w:p>
        </w:tc>
      </w:tr>
      <w:tr>
        <w:trPr>
          <w:trHeight w:val="212"/>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5,864</w:t>
            </w:r>
          </w:p>
        </w:tc>
      </w:tr>
      <w:tr>
        <w:trPr>
          <w:trHeight w:val="212"/>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203,548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203,548</w:t>
            </w:r>
          </w:p>
        </w:tc>
      </w:tr>
      <w:tr>
        <w:trPr>
          <w:trHeight w:val="208"/>
        </w:trPr>
        <w:tc>
          <w:tcPr>
            <w:tcW w:w="800" w:type="dxa"/>
            <w:vAlign w:val="bottom"/>
          </w:tcPr>
          <w:p>
            <w:pPr>
              <w:jc w:val="right"/>
              <w:ind w:right="81"/>
              <w:spacing w:after="0"/>
              <w:rPr>
                <w:sz w:val="20"/>
                <w:szCs w:val="20"/>
                <w:color w:val="auto"/>
              </w:rPr>
            </w:pPr>
            <w:r>
              <w:rPr>
                <w:rFonts w:ascii="Arial" w:cs="Arial" w:eastAsia="Arial" w:hAnsi="Arial"/>
                <w:sz w:val="16"/>
                <w:szCs w:val="16"/>
                <w:color w:val="auto"/>
                <w:w w:val="87"/>
              </w:rPr>
              <w:t>4,925,626</w:t>
            </w:r>
          </w:p>
        </w:tc>
        <w:tc>
          <w:tcPr>
            <w:tcW w:w="48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26,806</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(211,963)</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4,740,692</w:t>
            </w:r>
          </w:p>
        </w:tc>
      </w:tr>
      <w:tr>
        <w:trPr>
          <w:trHeight w:val="22"/>
        </w:trPr>
        <w:tc>
          <w:tcPr>
            <w:tcW w:w="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92"/>
        </w:trPr>
        <w:tc>
          <w:tcPr>
            <w:tcW w:w="800" w:type="dxa"/>
            <w:vAlign w:val="bottom"/>
          </w:tcPr>
          <w:p>
            <w:pPr>
              <w:jc w:val="right"/>
              <w:ind w:right="41"/>
              <w:spacing w:after="0"/>
              <w:rPr>
                <w:sz w:val="20"/>
                <w:szCs w:val="20"/>
                <w:color w:val="auto"/>
              </w:rPr>
            </w:pPr>
            <w:r>
              <w:rPr>
                <w:rFonts w:ascii="Arial" w:cs="Arial" w:eastAsia="Arial" w:hAnsi="Arial"/>
                <w:sz w:val="16"/>
                <w:szCs w:val="16"/>
                <w:color w:val="auto"/>
              </w:rPr>
              <w:t>(24,682)</w:t>
            </w:r>
          </w:p>
        </w:tc>
        <w:tc>
          <w:tcPr>
            <w:tcW w:w="4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(24,681)</w:t>
            </w:r>
          </w:p>
        </w:tc>
      </w:tr>
      <w:tr>
        <w:trPr>
          <w:trHeight w:val="371"/>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80</w:t>
            </w:r>
          </w:p>
        </w:tc>
        <w:tc>
          <w:tcPr>
            <w:tcW w:w="4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2"/>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47,999</w:t>
            </w:r>
          </w:p>
        </w:tc>
        <w:tc>
          <w:tcPr>
            <w:tcW w:w="4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47,999</w:t>
            </w:r>
          </w:p>
        </w:tc>
      </w:tr>
      <w:tr>
        <w:trPr>
          <w:trHeight w:val="212"/>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(3,912)</w:t>
            </w:r>
          </w:p>
        </w:tc>
      </w:tr>
      <w:tr>
        <w:trPr>
          <w:trHeight w:val="212"/>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171,269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171,269</w:t>
            </w:r>
          </w:p>
        </w:tc>
      </w:tr>
      <w:tr>
        <w:trPr>
          <w:trHeight w:val="208"/>
        </w:trPr>
        <w:tc>
          <w:tcPr>
            <w:tcW w:w="800" w:type="dxa"/>
            <w:vAlign w:val="bottom"/>
          </w:tcPr>
          <w:p>
            <w:pPr>
              <w:jc w:val="right"/>
              <w:ind w:right="81"/>
              <w:spacing w:after="0"/>
              <w:rPr>
                <w:sz w:val="20"/>
                <w:szCs w:val="20"/>
                <w:color w:val="auto"/>
              </w:rPr>
            </w:pPr>
            <w:r>
              <w:rPr>
                <w:rFonts w:ascii="Arial" w:cs="Arial" w:eastAsia="Arial" w:hAnsi="Arial"/>
                <w:sz w:val="16"/>
                <w:szCs w:val="16"/>
                <w:color w:val="auto"/>
                <w:w w:val="87"/>
              </w:rPr>
              <w:t>4,949,023</w:t>
            </w:r>
          </w:p>
        </w:tc>
        <w:tc>
          <w:tcPr>
            <w:tcW w:w="48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22,894</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(40,694)</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4,931,447</w:t>
            </w:r>
          </w:p>
        </w:tc>
      </w:tr>
      <w:tr>
        <w:trPr>
          <w:trHeight w:val="22"/>
        </w:trPr>
        <w:tc>
          <w:tcPr>
            <w:tcW w:w="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-7620</wp:posOffset>
            </wp:positionV>
            <wp:extent cx="8585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-1143635</wp:posOffset>
            </wp:positionV>
            <wp:extent cx="8585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-2506980</wp:posOffset>
            </wp:positionV>
            <wp:extent cx="8585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85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20" w:space="540"/>
            <w:col w:w="5080"/>
          </w:cols>
          <w:pgMar w:left="320" w:top="1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number of shares)</w:t>
      </w:r>
    </w:p>
    <w:p>
      <w:pPr>
        <w:spacing w:after="0" w:line="220" w:lineRule="exact"/>
        <w:rPr>
          <w:sz w:val="20"/>
          <w:szCs w:val="20"/>
          <w:color w:val="auto"/>
        </w:rPr>
      </w:pPr>
    </w:p>
    <w:tbl>
      <w:tblPr>
        <w:tblLayout w:type="fixed"/>
        <w:tblInd w:w="4480" w:type="dxa"/>
        <w:tblCellMar>
          <w:top w:w="0" w:type="dxa"/>
          <w:left w:w="0" w:type="dxa"/>
          <w:bottom w:w="0" w:type="dxa"/>
          <w:right w:w="0" w:type="dxa"/>
        </w:tblCellMar>
      </w:tblPr>
      <w:tr>
        <w:trPr>
          <w:trHeight w:val="161"/>
        </w:trPr>
        <w:tc>
          <w:tcPr>
            <w:tcW w:w="900" w:type="dxa"/>
            <w:vAlign w:val="bottom"/>
            <w:vMerge w:val="restart"/>
          </w:tcPr>
          <w:p>
            <w:pPr>
              <w:jc w:val="center"/>
              <w:ind w:right="289"/>
              <w:spacing w:after="0"/>
              <w:rPr>
                <w:sz w:val="20"/>
                <w:szCs w:val="20"/>
                <w:color w:val="auto"/>
              </w:rPr>
            </w:pPr>
            <w:r>
              <w:rPr>
                <w:rFonts w:ascii="Arial" w:cs="Arial" w:eastAsia="Arial" w:hAnsi="Arial"/>
                <w:sz w:val="14"/>
                <w:szCs w:val="14"/>
                <w:b w:val="1"/>
                <w:bCs w:val="1"/>
                <w:color w:val="auto"/>
                <w:w w:val="88"/>
              </w:rPr>
              <w:t>Common</w:t>
            </w:r>
          </w:p>
        </w:tc>
        <w:tc>
          <w:tcPr>
            <w:tcW w:w="1460" w:type="dxa"/>
            <w:vAlign w:val="bottom"/>
            <w:vMerge w:val="restart"/>
          </w:tcPr>
          <w:p>
            <w:pPr>
              <w:jc w:val="center"/>
              <w:ind w:left="109"/>
              <w:spacing w:after="0"/>
              <w:rPr>
                <w:sz w:val="20"/>
                <w:szCs w:val="20"/>
                <w:color w:val="auto"/>
              </w:rPr>
            </w:pPr>
            <w:r>
              <w:rPr>
                <w:rFonts w:ascii="Arial" w:cs="Arial" w:eastAsia="Arial" w:hAnsi="Arial"/>
                <w:sz w:val="14"/>
                <w:szCs w:val="14"/>
                <w:b w:val="1"/>
                <w:bCs w:val="1"/>
                <w:color w:val="auto"/>
                <w:w w:val="93"/>
              </w:rPr>
              <w:t>Additional</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Accumulated Other</w:t>
            </w:r>
          </w:p>
        </w:tc>
        <w:tc>
          <w:tcPr>
            <w:tcW w:w="1340" w:type="dxa"/>
            <w:vAlign w:val="bottom"/>
            <w:vMerge w:val="restart"/>
          </w:tcPr>
          <w:p>
            <w:pPr>
              <w:jc w:val="center"/>
              <w:ind w:right="29"/>
              <w:spacing w:after="0"/>
              <w:rPr>
                <w:sz w:val="20"/>
                <w:szCs w:val="20"/>
                <w:color w:val="auto"/>
              </w:rPr>
            </w:pPr>
            <w:r>
              <w:rPr>
                <w:rFonts w:ascii="Arial" w:cs="Arial" w:eastAsia="Arial" w:hAnsi="Arial"/>
                <w:sz w:val="14"/>
                <w:szCs w:val="14"/>
                <w:b w:val="1"/>
                <w:bCs w:val="1"/>
                <w:color w:val="auto"/>
                <w:w w:val="90"/>
              </w:rPr>
              <w:t>Accumulated</w:t>
            </w:r>
          </w:p>
        </w:tc>
        <w:tc>
          <w:tcPr>
            <w:tcW w:w="1160" w:type="dxa"/>
            <w:vAlign w:val="bottom"/>
          </w:tcPr>
          <w:p>
            <w:pPr>
              <w:jc w:val="center"/>
              <w:ind w:left="24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90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160" w:type="dxa"/>
            <w:vAlign w:val="bottom"/>
          </w:tcPr>
          <w:p>
            <w:pPr>
              <w:jc w:val="center"/>
              <w:ind w:left="249"/>
              <w:spacing w:after="0" w:line="142"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900" w:type="dxa"/>
            <w:vAlign w:val="bottom"/>
          </w:tcPr>
          <w:p>
            <w:pPr>
              <w:jc w:val="center"/>
              <w:ind w:right="289"/>
              <w:spacing w:after="0"/>
              <w:rPr>
                <w:sz w:val="20"/>
                <w:szCs w:val="20"/>
                <w:color w:val="auto"/>
              </w:rPr>
            </w:pPr>
            <w:r>
              <w:rPr>
                <w:rFonts w:ascii="Arial" w:cs="Arial" w:eastAsia="Arial" w:hAnsi="Arial"/>
                <w:sz w:val="14"/>
                <w:szCs w:val="14"/>
                <w:b w:val="1"/>
                <w:bCs w:val="1"/>
                <w:color w:val="auto"/>
                <w:w w:val="89"/>
              </w:rPr>
              <w:t>Stock</w:t>
            </w:r>
          </w:p>
        </w:tc>
        <w:tc>
          <w:tcPr>
            <w:tcW w:w="1460" w:type="dxa"/>
            <w:vAlign w:val="bottom"/>
          </w:tcPr>
          <w:p>
            <w:pPr>
              <w:jc w:val="center"/>
              <w:ind w:left="109"/>
              <w:spacing w:after="0"/>
              <w:rPr>
                <w:sz w:val="20"/>
                <w:szCs w:val="20"/>
                <w:color w:val="auto"/>
              </w:rPr>
            </w:pPr>
            <w:r>
              <w:rPr>
                <w:rFonts w:ascii="Arial" w:cs="Arial" w:eastAsia="Arial" w:hAnsi="Arial"/>
                <w:sz w:val="14"/>
                <w:szCs w:val="14"/>
                <w:b w:val="1"/>
                <w:bCs w:val="1"/>
                <w:color w:val="auto"/>
                <w:w w:val="94"/>
              </w:rPr>
              <w:t>Paid-in Capital</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7"/>
              </w:rPr>
              <w:t>Comprehensive Loss</w:t>
            </w:r>
          </w:p>
        </w:tc>
        <w:tc>
          <w:tcPr>
            <w:tcW w:w="1340" w:type="dxa"/>
            <w:vAlign w:val="bottom"/>
          </w:tcPr>
          <w:p>
            <w:pPr>
              <w:jc w:val="center"/>
              <w:ind w:right="29"/>
              <w:spacing w:after="0"/>
              <w:rPr>
                <w:sz w:val="20"/>
                <w:szCs w:val="20"/>
                <w:color w:val="auto"/>
              </w:rPr>
            </w:pPr>
            <w:r>
              <w:rPr>
                <w:rFonts w:ascii="Arial" w:cs="Arial" w:eastAsia="Arial" w:hAnsi="Arial"/>
                <w:sz w:val="14"/>
                <w:szCs w:val="14"/>
                <w:b w:val="1"/>
                <w:bCs w:val="1"/>
                <w:color w:val="auto"/>
                <w:w w:val="93"/>
              </w:rPr>
              <w:t>Deficit</w:t>
            </w:r>
          </w:p>
        </w:tc>
        <w:tc>
          <w:tcPr>
            <w:tcW w:w="1160" w:type="dxa"/>
            <w:vAlign w:val="bottom"/>
          </w:tcPr>
          <w:p>
            <w:pPr>
              <w:jc w:val="center"/>
              <w:ind w:left="249"/>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142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tbl>
      <w:tblPr>
        <w:tblLayout w:type="fixed"/>
        <w:tblInd w:w="20" w:type="dxa"/>
        <w:tblCellMar>
          <w:top w:w="0" w:type="dxa"/>
          <w:left w:w="0" w:type="dxa"/>
          <w:bottom w:w="0" w:type="dxa"/>
          <w:right w:w="0" w:type="dxa"/>
        </w:tblCellMar>
      </w:tblPr>
      <w:tr>
        <w:trPr>
          <w:trHeight w:val="211"/>
        </w:trPr>
        <w:tc>
          <w:tcPr>
            <w:tcW w:w="4060" w:type="dxa"/>
            <w:vAlign w:val="bottom"/>
          </w:tcPr>
          <w:p>
            <w:pPr>
              <w:spacing w:after="0"/>
              <w:rPr>
                <w:sz w:val="20"/>
                <w:szCs w:val="20"/>
                <w:color w:val="auto"/>
              </w:rPr>
            </w:pPr>
            <w:r>
              <w:rPr>
                <w:rFonts w:ascii="Arial" w:cs="Arial" w:eastAsia="Arial" w:hAnsi="Arial"/>
                <w:sz w:val="16"/>
                <w:szCs w:val="16"/>
                <w:color w:val="auto"/>
              </w:rPr>
              <w:t>Balances at January 1, 2022</w:t>
            </w:r>
          </w:p>
        </w:tc>
        <w:tc>
          <w:tcPr>
            <w:tcW w:w="560" w:type="dxa"/>
            <w:vAlign w:val="bottom"/>
            <w:tcBorders>
              <w:top w:val="single" w:sz="8" w:color="auto"/>
            </w:tcBorders>
          </w:tcPr>
          <w:p>
            <w:pPr>
              <w:jc w:val="right"/>
              <w:ind w:right="38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7"/>
        </w:trPr>
        <w:tc>
          <w:tcPr>
            <w:tcW w:w="4060" w:type="dxa"/>
            <w:vAlign w:val="bottom"/>
          </w:tcPr>
          <w:p>
            <w:pPr>
              <w:spacing w:after="0" w:line="168" w:lineRule="exact"/>
              <w:rPr>
                <w:sz w:val="20"/>
                <w:szCs w:val="20"/>
                <w:color w:val="auto"/>
              </w:rPr>
            </w:pPr>
            <w:r>
              <w:rPr>
                <w:rFonts w:ascii="Arial" w:cs="Arial" w:eastAsia="Arial" w:hAnsi="Arial"/>
                <w:sz w:val="16"/>
                <w:szCs w:val="16"/>
                <w:color w:val="auto"/>
                <w:w w:val="89"/>
              </w:rPr>
              <w:t>Issuance of 323,582 shares of Common Stock upon exercise of</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line="159" w:lineRule="exact"/>
              <w:rPr>
                <w:sz w:val="20"/>
                <w:szCs w:val="20"/>
                <w:color w:val="auto"/>
              </w:rPr>
            </w:pPr>
            <w:r>
              <w:rPr>
                <w:rFonts w:ascii="Arial" w:cs="Arial" w:eastAsia="Arial" w:hAnsi="Arial"/>
                <w:sz w:val="16"/>
                <w:szCs w:val="16"/>
                <w:color w:val="auto"/>
                <w:w w:val="89"/>
              </w:rPr>
              <w:t>stock options and settlement of employee restricted stock units,</w:t>
            </w:r>
          </w:p>
        </w:tc>
        <w:tc>
          <w:tcPr>
            <w:tcW w:w="5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060" w:type="dxa"/>
            <w:vAlign w:val="bottom"/>
          </w:tcPr>
          <w:p>
            <w:pPr>
              <w:spacing w:after="0"/>
              <w:rPr>
                <w:sz w:val="20"/>
                <w:szCs w:val="20"/>
                <w:color w:val="auto"/>
              </w:rPr>
            </w:pPr>
            <w:r>
              <w:rPr>
                <w:rFonts w:ascii="Arial" w:cs="Arial" w:eastAsia="Arial" w:hAnsi="Arial"/>
                <w:sz w:val="16"/>
                <w:szCs w:val="16"/>
                <w:color w:val="auto"/>
              </w:rPr>
              <w:t>net of shares withheld for taxes</w:t>
            </w:r>
          </w:p>
        </w:tc>
        <w:tc>
          <w:tcPr>
            <w:tcW w:w="5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060" w:type="dxa"/>
            <w:vAlign w:val="bottom"/>
          </w:tcPr>
          <w:p>
            <w:pPr>
              <w:spacing w:after="0" w:line="168" w:lineRule="exact"/>
              <w:rPr>
                <w:sz w:val="20"/>
                <w:szCs w:val="20"/>
                <w:color w:val="auto"/>
              </w:rPr>
            </w:pPr>
            <w:r>
              <w:rPr>
                <w:rFonts w:ascii="Arial" w:cs="Arial" w:eastAsia="Arial" w:hAnsi="Arial"/>
                <w:sz w:val="16"/>
                <w:szCs w:val="16"/>
                <w:color w:val="auto"/>
              </w:rPr>
              <w:t>Issuance of 1,535 shares of Common Stock for services</w:t>
            </w:r>
          </w:p>
        </w:tc>
        <w:tc>
          <w:tcPr>
            <w:tcW w:w="5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060" w:type="dxa"/>
            <w:vAlign w:val="bottom"/>
          </w:tcPr>
          <w:p>
            <w:pPr>
              <w:spacing w:after="0"/>
              <w:rPr>
                <w:sz w:val="20"/>
                <w:szCs w:val="20"/>
                <w:color w:val="auto"/>
              </w:rPr>
            </w:pPr>
            <w:r>
              <w:rPr>
                <w:rFonts w:ascii="Arial" w:cs="Arial" w:eastAsia="Arial" w:hAnsi="Arial"/>
                <w:sz w:val="16"/>
                <w:szCs w:val="16"/>
                <w:color w:val="auto"/>
              </w:rPr>
              <w:t>rendered</w:t>
            </w:r>
          </w:p>
        </w:tc>
        <w:tc>
          <w:tcPr>
            <w:tcW w:w="5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6"/>
                <w:szCs w:val="16"/>
                <w:color w:val="auto"/>
              </w:rPr>
              <w:t>Stock compensation</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60" w:type="dxa"/>
            <w:vAlign w:val="bottom"/>
          </w:tcPr>
          <w:p>
            <w:pPr>
              <w:spacing w:after="0"/>
              <w:rPr>
                <w:sz w:val="20"/>
                <w:szCs w:val="20"/>
                <w:color w:val="auto"/>
              </w:rPr>
            </w:pPr>
            <w:r>
              <w:rPr>
                <w:rFonts w:ascii="Arial" w:cs="Arial" w:eastAsia="Arial" w:hAnsi="Arial"/>
                <w:sz w:val="16"/>
                <w:szCs w:val="16"/>
                <w:color w:val="auto"/>
              </w:rPr>
              <w:t>Net income</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6"/>
                <w:szCs w:val="16"/>
                <w:color w:val="auto"/>
              </w:rPr>
              <w:t>Balances at March 31, 2022</w:t>
            </w:r>
          </w:p>
        </w:tc>
        <w:tc>
          <w:tcPr>
            <w:tcW w:w="5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line="169" w:lineRule="exact"/>
              <w:rPr>
                <w:sz w:val="20"/>
                <w:szCs w:val="20"/>
                <w:color w:val="auto"/>
              </w:rPr>
            </w:pPr>
            <w:r>
              <w:rPr>
                <w:rFonts w:ascii="Arial" w:cs="Arial" w:eastAsia="Arial" w:hAnsi="Arial"/>
                <w:sz w:val="16"/>
                <w:szCs w:val="16"/>
                <w:color w:val="auto"/>
                <w:w w:val="89"/>
              </w:rPr>
              <w:t>Issuance of 274,693 shares of Common Stock upon exercise of</w:t>
            </w: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6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line="159" w:lineRule="exact"/>
              <w:rPr>
                <w:sz w:val="20"/>
                <w:szCs w:val="20"/>
                <w:color w:val="auto"/>
              </w:rPr>
            </w:pPr>
            <w:r>
              <w:rPr>
                <w:rFonts w:ascii="Arial" w:cs="Arial" w:eastAsia="Arial" w:hAnsi="Arial"/>
                <w:sz w:val="16"/>
                <w:szCs w:val="16"/>
                <w:color w:val="auto"/>
                <w:w w:val="90"/>
              </w:rPr>
              <w:t>stock options and settlement of employee restricted stock units</w:t>
            </w: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line="159" w:lineRule="exact"/>
              <w:rPr>
                <w:sz w:val="20"/>
                <w:szCs w:val="20"/>
                <w:color w:val="auto"/>
              </w:rPr>
            </w:pPr>
            <w:r>
              <w:rPr>
                <w:rFonts w:ascii="Arial" w:cs="Arial" w:eastAsia="Arial" w:hAnsi="Arial"/>
                <w:sz w:val="16"/>
                <w:szCs w:val="16"/>
                <w:color w:val="auto"/>
                <w:w w:val="92"/>
              </w:rPr>
              <w:t>and performance shares, net of shares withheld for taxes and</w:t>
            </w:r>
          </w:p>
        </w:tc>
        <w:tc>
          <w:tcPr>
            <w:tcW w:w="5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060" w:type="dxa"/>
            <w:vAlign w:val="bottom"/>
          </w:tcPr>
          <w:p>
            <w:pPr>
              <w:spacing w:after="0"/>
              <w:rPr>
                <w:sz w:val="20"/>
                <w:szCs w:val="20"/>
                <w:color w:val="auto"/>
              </w:rPr>
            </w:pPr>
            <w:r>
              <w:rPr>
                <w:rFonts w:ascii="Arial" w:cs="Arial" w:eastAsia="Arial" w:hAnsi="Arial"/>
                <w:sz w:val="16"/>
                <w:szCs w:val="16"/>
                <w:color w:val="auto"/>
              </w:rPr>
              <w:t>189,684 shares of Common Stock under the ESPP</w:t>
            </w:r>
          </w:p>
        </w:tc>
        <w:tc>
          <w:tcPr>
            <w:tcW w:w="5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060" w:type="dxa"/>
            <w:vAlign w:val="bottom"/>
          </w:tcPr>
          <w:p>
            <w:pPr>
              <w:spacing w:after="0" w:line="168" w:lineRule="exact"/>
              <w:rPr>
                <w:sz w:val="20"/>
                <w:szCs w:val="20"/>
                <w:color w:val="auto"/>
              </w:rPr>
            </w:pPr>
            <w:r>
              <w:rPr>
                <w:rFonts w:ascii="Arial" w:cs="Arial" w:eastAsia="Arial" w:hAnsi="Arial"/>
                <w:sz w:val="16"/>
                <w:szCs w:val="16"/>
                <w:color w:val="auto"/>
              </w:rPr>
              <w:t>Issuance of 1,469 shares of Common Stock for services</w:t>
            </w:r>
          </w:p>
        </w:tc>
        <w:tc>
          <w:tcPr>
            <w:tcW w:w="5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060" w:type="dxa"/>
            <w:vAlign w:val="bottom"/>
          </w:tcPr>
          <w:p>
            <w:pPr>
              <w:spacing w:after="0"/>
              <w:rPr>
                <w:sz w:val="20"/>
                <w:szCs w:val="20"/>
                <w:color w:val="auto"/>
              </w:rPr>
            </w:pPr>
            <w:r>
              <w:rPr>
                <w:rFonts w:ascii="Arial" w:cs="Arial" w:eastAsia="Arial" w:hAnsi="Arial"/>
                <w:sz w:val="16"/>
                <w:szCs w:val="16"/>
                <w:color w:val="auto"/>
              </w:rPr>
              <w:t>rendered</w:t>
            </w:r>
          </w:p>
        </w:tc>
        <w:tc>
          <w:tcPr>
            <w:tcW w:w="5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6"/>
                <w:szCs w:val="16"/>
                <w:color w:val="auto"/>
              </w:rPr>
              <w:t>Stock compensation</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60" w:type="dxa"/>
            <w:vAlign w:val="bottom"/>
          </w:tcPr>
          <w:p>
            <w:pPr>
              <w:spacing w:after="0"/>
              <w:rPr>
                <w:sz w:val="20"/>
                <w:szCs w:val="20"/>
                <w:color w:val="auto"/>
              </w:rPr>
            </w:pPr>
            <w:r>
              <w:rPr>
                <w:rFonts w:ascii="Arial" w:cs="Arial" w:eastAsia="Arial" w:hAnsi="Arial"/>
                <w:sz w:val="16"/>
                <w:szCs w:val="16"/>
                <w:color w:val="auto"/>
              </w:rPr>
              <w:t>Net income</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6"/>
                <w:szCs w:val="16"/>
                <w:color w:val="auto"/>
              </w:rPr>
              <w:t>Balances at June 30, 2022</w:t>
            </w:r>
          </w:p>
        </w:tc>
        <w:tc>
          <w:tcPr>
            <w:tcW w:w="5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line="169" w:lineRule="exact"/>
              <w:rPr>
                <w:sz w:val="20"/>
                <w:szCs w:val="20"/>
                <w:color w:val="auto"/>
              </w:rPr>
            </w:pPr>
            <w:r>
              <w:rPr>
                <w:rFonts w:ascii="Arial" w:cs="Arial" w:eastAsia="Arial" w:hAnsi="Arial"/>
                <w:sz w:val="16"/>
                <w:szCs w:val="16"/>
                <w:color w:val="auto"/>
                <w:w w:val="89"/>
              </w:rPr>
              <w:t>Issuance of 578,106 shares of Common Stock upon exercise of</w:t>
            </w: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6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line="159" w:lineRule="exact"/>
              <w:rPr>
                <w:sz w:val="20"/>
                <w:szCs w:val="20"/>
                <w:color w:val="auto"/>
              </w:rPr>
            </w:pPr>
            <w:r>
              <w:rPr>
                <w:rFonts w:ascii="Arial" w:cs="Arial" w:eastAsia="Arial" w:hAnsi="Arial"/>
                <w:sz w:val="16"/>
                <w:szCs w:val="16"/>
                <w:color w:val="auto"/>
                <w:w w:val="89"/>
              </w:rPr>
              <w:t>stock options and settlement of employee restricted stock units,</w:t>
            </w:r>
          </w:p>
        </w:tc>
        <w:tc>
          <w:tcPr>
            <w:tcW w:w="5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060" w:type="dxa"/>
            <w:vAlign w:val="bottom"/>
          </w:tcPr>
          <w:p>
            <w:pPr>
              <w:spacing w:after="0"/>
              <w:rPr>
                <w:sz w:val="20"/>
                <w:szCs w:val="20"/>
                <w:color w:val="auto"/>
              </w:rPr>
            </w:pPr>
            <w:r>
              <w:rPr>
                <w:rFonts w:ascii="Arial" w:cs="Arial" w:eastAsia="Arial" w:hAnsi="Arial"/>
                <w:sz w:val="16"/>
                <w:szCs w:val="16"/>
                <w:color w:val="auto"/>
              </w:rPr>
              <w:t>net of shares withheld for taxes</w:t>
            </w:r>
          </w:p>
        </w:tc>
        <w:tc>
          <w:tcPr>
            <w:tcW w:w="5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060" w:type="dxa"/>
            <w:vAlign w:val="bottom"/>
          </w:tcPr>
          <w:p>
            <w:pPr>
              <w:spacing w:after="0" w:line="168" w:lineRule="exact"/>
              <w:rPr>
                <w:sz w:val="20"/>
                <w:szCs w:val="20"/>
                <w:color w:val="auto"/>
              </w:rPr>
            </w:pPr>
            <w:r>
              <w:rPr>
                <w:rFonts w:ascii="Arial" w:cs="Arial" w:eastAsia="Arial" w:hAnsi="Arial"/>
                <w:sz w:val="16"/>
                <w:szCs w:val="16"/>
                <w:color w:val="auto"/>
              </w:rPr>
              <w:t>Issuance of 1,337 shares of Common Stock for services</w:t>
            </w:r>
          </w:p>
        </w:tc>
        <w:tc>
          <w:tcPr>
            <w:tcW w:w="5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060" w:type="dxa"/>
            <w:vAlign w:val="bottom"/>
          </w:tcPr>
          <w:p>
            <w:pPr>
              <w:spacing w:after="0"/>
              <w:rPr>
                <w:sz w:val="20"/>
                <w:szCs w:val="20"/>
                <w:color w:val="auto"/>
              </w:rPr>
            </w:pPr>
            <w:r>
              <w:rPr>
                <w:rFonts w:ascii="Arial" w:cs="Arial" w:eastAsia="Arial" w:hAnsi="Arial"/>
                <w:sz w:val="16"/>
                <w:szCs w:val="16"/>
                <w:color w:val="auto"/>
              </w:rPr>
              <w:t>rendered</w:t>
            </w:r>
          </w:p>
        </w:tc>
        <w:tc>
          <w:tcPr>
            <w:tcW w:w="5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6"/>
                <w:szCs w:val="16"/>
                <w:color w:val="auto"/>
              </w:rPr>
              <w:t>Stock compensation</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60" w:type="dxa"/>
            <w:vAlign w:val="bottom"/>
          </w:tcPr>
          <w:p>
            <w:pPr>
              <w:spacing w:after="0"/>
              <w:rPr>
                <w:sz w:val="20"/>
                <w:szCs w:val="20"/>
                <w:color w:val="auto"/>
              </w:rPr>
            </w:pPr>
            <w:r>
              <w:rPr>
                <w:rFonts w:ascii="Arial" w:cs="Arial" w:eastAsia="Arial" w:hAnsi="Arial"/>
                <w:sz w:val="16"/>
                <w:szCs w:val="16"/>
                <w:color w:val="auto"/>
              </w:rPr>
              <w:t>Net income</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6"/>
                <w:szCs w:val="16"/>
                <w:color w:val="auto"/>
              </w:rPr>
              <w:t>Balances at September 30, 2022</w:t>
            </w:r>
          </w:p>
        </w:tc>
        <w:tc>
          <w:tcPr>
            <w:tcW w:w="5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-3188335</wp:posOffset>
            </wp:positionV>
            <wp:extent cx="7134860" cy="2355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-2818130</wp:posOffset>
            </wp:positionV>
            <wp:extent cx="7134860" cy="134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-1951355</wp:posOffset>
            </wp:positionV>
            <wp:extent cx="7134860" cy="2355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-1581150</wp:posOffset>
            </wp:positionV>
            <wp:extent cx="7134860" cy="134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-815340</wp:posOffset>
            </wp:positionV>
            <wp:extent cx="7134860" cy="2355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-445135</wp:posOffset>
            </wp:positionV>
            <wp:extent cx="7134860" cy="134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-175895</wp:posOffset>
            </wp:positionV>
            <wp:extent cx="7134860" cy="160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-1311910</wp:posOffset>
            </wp:positionV>
            <wp:extent cx="7134860" cy="160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-2548890</wp:posOffset>
            </wp:positionV>
            <wp:extent cx="7134860" cy="160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800" w:type="dxa"/>
            <w:vAlign w:val="bottom"/>
          </w:tcPr>
          <w:p>
            <w:pPr>
              <w:jc w:val="right"/>
              <w:ind w:right="81"/>
              <w:spacing w:after="0"/>
              <w:rPr>
                <w:sz w:val="20"/>
                <w:szCs w:val="20"/>
                <w:color w:val="auto"/>
              </w:rPr>
            </w:pPr>
            <w:r>
              <w:rPr>
                <w:rFonts w:ascii="Arial" w:cs="Arial" w:eastAsia="Arial" w:hAnsi="Arial"/>
                <w:sz w:val="16"/>
                <w:szCs w:val="16"/>
                <w:color w:val="auto"/>
                <w:w w:val="87"/>
              </w:rPr>
              <w:t>4,567,111</w:t>
            </w:r>
          </w:p>
        </w:tc>
        <w:tc>
          <w:tcPr>
            <w:tcW w:w="440" w:type="dxa"/>
            <w:vAlign w:val="bottom"/>
            <w:tcBorders>
              <w:top w:val="single" w:sz="8" w:color="auto"/>
            </w:tcBorders>
          </w:tcPr>
          <w:p>
            <w:pPr>
              <w:jc w:val="right"/>
              <w:ind w:right="26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(19,454)</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(777,874)</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3,770,004</w:t>
            </w:r>
          </w:p>
        </w:tc>
      </w:tr>
      <w:tr>
        <w:trPr>
          <w:trHeight w:val="530"/>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14,237</w:t>
            </w:r>
          </w:p>
        </w:tc>
        <w:tc>
          <w:tcPr>
            <w:tcW w:w="440" w:type="dxa"/>
            <w:vAlign w:val="bottom"/>
          </w:tcPr>
          <w:p>
            <w:pPr>
              <w:spacing w:after="0"/>
              <w:rPr>
                <w:sz w:val="24"/>
                <w:szCs w:val="24"/>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14,237</w:t>
            </w:r>
          </w:p>
        </w:tc>
      </w:tr>
      <w:tr>
        <w:trPr>
          <w:trHeight w:val="371"/>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112</w:t>
            </w:r>
          </w:p>
        </w:tc>
        <w:tc>
          <w:tcPr>
            <w:tcW w:w="440" w:type="dxa"/>
            <w:vAlign w:val="bottom"/>
          </w:tcPr>
          <w:p>
            <w:pPr>
              <w:spacing w:after="0"/>
              <w:rPr>
                <w:sz w:val="24"/>
                <w:szCs w:val="24"/>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2"/>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44,320</w:t>
            </w:r>
          </w:p>
        </w:tc>
        <w:tc>
          <w:tcPr>
            <w:tcW w:w="44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44,320</w:t>
            </w:r>
          </w:p>
        </w:tc>
      </w:tr>
      <w:tr>
        <w:trPr>
          <w:trHeight w:val="212"/>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(3,593)</w:t>
            </w:r>
          </w:p>
        </w:tc>
      </w:tr>
      <w:tr>
        <w:trPr>
          <w:trHeight w:val="212"/>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37,992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37,992</w:t>
            </w:r>
          </w:p>
        </w:tc>
      </w:tr>
      <w:tr>
        <w:trPr>
          <w:trHeight w:val="208"/>
        </w:trPr>
        <w:tc>
          <w:tcPr>
            <w:tcW w:w="800" w:type="dxa"/>
            <w:vAlign w:val="bottom"/>
          </w:tcPr>
          <w:p>
            <w:pPr>
              <w:jc w:val="right"/>
              <w:ind w:right="81"/>
              <w:spacing w:after="0"/>
              <w:rPr>
                <w:sz w:val="20"/>
                <w:szCs w:val="20"/>
                <w:color w:val="auto"/>
              </w:rPr>
            </w:pPr>
            <w:r>
              <w:rPr>
                <w:rFonts w:ascii="Arial" w:cs="Arial" w:eastAsia="Arial" w:hAnsi="Arial"/>
                <w:sz w:val="16"/>
                <w:szCs w:val="16"/>
                <w:color w:val="auto"/>
                <w:w w:val="87"/>
              </w:rPr>
              <w:t>4,625,780</w:t>
            </w: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(23,047)</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(739,882)</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3,863,072</w:t>
            </w:r>
          </w:p>
        </w:tc>
      </w:tr>
      <w:tr>
        <w:trPr>
          <w:trHeight w:val="22"/>
        </w:trPr>
        <w:tc>
          <w:tcPr>
            <w:tcW w:w="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51"/>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16,600</w:t>
            </w:r>
          </w:p>
        </w:tc>
        <w:tc>
          <w:tcPr>
            <w:tcW w:w="440" w:type="dxa"/>
            <w:vAlign w:val="bottom"/>
          </w:tcPr>
          <w:p>
            <w:pPr>
              <w:spacing w:after="0"/>
              <w:rPr>
                <w:sz w:val="24"/>
                <w:szCs w:val="24"/>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16,601</w:t>
            </w:r>
          </w:p>
        </w:tc>
      </w:tr>
      <w:tr>
        <w:trPr>
          <w:trHeight w:val="371"/>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109</w:t>
            </w:r>
          </w:p>
        </w:tc>
        <w:tc>
          <w:tcPr>
            <w:tcW w:w="440" w:type="dxa"/>
            <w:vAlign w:val="bottom"/>
          </w:tcPr>
          <w:p>
            <w:pPr>
              <w:spacing w:after="0"/>
              <w:rPr>
                <w:sz w:val="24"/>
                <w:szCs w:val="24"/>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12"/>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46,496</w:t>
            </w:r>
          </w:p>
        </w:tc>
        <w:tc>
          <w:tcPr>
            <w:tcW w:w="44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46,496</w:t>
            </w:r>
          </w:p>
        </w:tc>
      </w:tr>
      <w:tr>
        <w:trPr>
          <w:trHeight w:val="212"/>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(2,649)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(2,649)</w:t>
            </w:r>
          </w:p>
        </w:tc>
      </w:tr>
      <w:tr>
        <w:trPr>
          <w:trHeight w:val="212"/>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161,432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161,432</w:t>
            </w:r>
          </w:p>
        </w:tc>
      </w:tr>
      <w:tr>
        <w:trPr>
          <w:trHeight w:val="208"/>
        </w:trPr>
        <w:tc>
          <w:tcPr>
            <w:tcW w:w="800" w:type="dxa"/>
            <w:vAlign w:val="bottom"/>
          </w:tcPr>
          <w:p>
            <w:pPr>
              <w:jc w:val="right"/>
              <w:ind w:right="81"/>
              <w:spacing w:after="0"/>
              <w:rPr>
                <w:sz w:val="20"/>
                <w:szCs w:val="20"/>
                <w:color w:val="auto"/>
              </w:rPr>
            </w:pPr>
            <w:r>
              <w:rPr>
                <w:rFonts w:ascii="Arial" w:cs="Arial" w:eastAsia="Arial" w:hAnsi="Arial"/>
                <w:sz w:val="16"/>
                <w:szCs w:val="16"/>
                <w:color w:val="auto"/>
                <w:w w:val="87"/>
              </w:rPr>
              <w:t>4,688,985</w:t>
            </w: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(25,696)</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(578,450)</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4,085,061</w:t>
            </w:r>
          </w:p>
        </w:tc>
      </w:tr>
      <w:tr>
        <w:trPr>
          <w:trHeight w:val="22"/>
        </w:trPr>
        <w:tc>
          <w:tcPr>
            <w:tcW w:w="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92"/>
        </w:trPr>
        <w:tc>
          <w:tcPr>
            <w:tcW w:w="800" w:type="dxa"/>
            <w:vAlign w:val="bottom"/>
          </w:tcPr>
          <w:p>
            <w:pPr>
              <w:jc w:val="right"/>
              <w:ind w:right="41"/>
              <w:spacing w:after="0"/>
              <w:rPr>
                <w:sz w:val="20"/>
                <w:szCs w:val="20"/>
                <w:color w:val="auto"/>
              </w:rPr>
            </w:pPr>
            <w:r>
              <w:rPr>
                <w:rFonts w:ascii="Arial" w:cs="Arial" w:eastAsia="Arial" w:hAnsi="Arial"/>
                <w:sz w:val="16"/>
                <w:szCs w:val="16"/>
                <w:color w:val="auto"/>
              </w:rPr>
              <w:t>(13,572)</w:t>
            </w:r>
          </w:p>
        </w:tc>
        <w:tc>
          <w:tcPr>
            <w:tcW w:w="440" w:type="dxa"/>
            <w:vAlign w:val="bottom"/>
          </w:tcPr>
          <w:p>
            <w:pPr>
              <w:spacing w:after="0"/>
              <w:rPr>
                <w:sz w:val="24"/>
                <w:szCs w:val="24"/>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(13,572)</w:t>
            </w:r>
          </w:p>
        </w:tc>
      </w:tr>
      <w:tr>
        <w:trPr>
          <w:trHeight w:val="371"/>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94</w:t>
            </w:r>
          </w:p>
        </w:tc>
        <w:tc>
          <w:tcPr>
            <w:tcW w:w="440" w:type="dxa"/>
            <w:vAlign w:val="bottom"/>
          </w:tcPr>
          <w:p>
            <w:pPr>
              <w:spacing w:after="0"/>
              <w:rPr>
                <w:sz w:val="24"/>
                <w:szCs w:val="24"/>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2"/>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45,659</w:t>
            </w:r>
          </w:p>
        </w:tc>
        <w:tc>
          <w:tcPr>
            <w:tcW w:w="44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45,659</w:t>
            </w:r>
          </w:p>
        </w:tc>
      </w:tr>
      <w:tr>
        <w:trPr>
          <w:trHeight w:val="212"/>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(3,366)</w:t>
            </w:r>
          </w:p>
        </w:tc>
      </w:tr>
      <w:tr>
        <w:trPr>
          <w:trHeight w:val="212"/>
        </w:trPr>
        <w:tc>
          <w:tcPr>
            <w:tcW w:w="8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112,775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112,775</w:t>
            </w:r>
          </w:p>
        </w:tc>
      </w:tr>
      <w:tr>
        <w:trPr>
          <w:trHeight w:val="208"/>
        </w:trPr>
        <w:tc>
          <w:tcPr>
            <w:tcW w:w="800" w:type="dxa"/>
            <w:vAlign w:val="bottom"/>
          </w:tcPr>
          <w:p>
            <w:pPr>
              <w:jc w:val="right"/>
              <w:ind w:right="81"/>
              <w:spacing w:after="0"/>
              <w:rPr>
                <w:sz w:val="20"/>
                <w:szCs w:val="20"/>
                <w:color w:val="auto"/>
              </w:rPr>
            </w:pPr>
            <w:r>
              <w:rPr>
                <w:rFonts w:ascii="Arial" w:cs="Arial" w:eastAsia="Arial" w:hAnsi="Arial"/>
                <w:sz w:val="16"/>
                <w:szCs w:val="16"/>
                <w:color w:val="auto"/>
                <w:w w:val="87"/>
              </w:rPr>
              <w:t>4,721,166</w:t>
            </w: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(29,062)</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(465,675)</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4,226,651</w:t>
            </w:r>
          </w:p>
        </w:tc>
      </w:tr>
      <w:tr>
        <w:trPr>
          <w:trHeight w:val="22"/>
        </w:trPr>
        <w:tc>
          <w:tcPr>
            <w:tcW w:w="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-7620</wp:posOffset>
            </wp:positionV>
            <wp:extent cx="8585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-1143635</wp:posOffset>
            </wp:positionV>
            <wp:extent cx="8585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-2380615</wp:posOffset>
            </wp:positionV>
            <wp:extent cx="8585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8520" cy="8255"/>
                    </a:xfrm>
                    <a:prstGeom prst="rect">
                      <a:avLst/>
                    </a:prstGeom>
                    <a:noFill/>
                  </pic:spPr>
                </pic:pic>
              </a:graphicData>
            </a:graphic>
          </wp:anchor>
        </w:drawing>
      </w:r>
    </w:p>
    <w:p>
      <w:pPr>
        <w:spacing w:after="0" w:line="186" w:lineRule="exact"/>
        <w:rPr>
          <w:sz w:val="20"/>
          <w:szCs w:val="20"/>
          <w:color w:val="auto"/>
        </w:rPr>
      </w:pPr>
    </w:p>
    <w:p>
      <w:pPr>
        <w:sectPr>
          <w:pgSz w:w="11900" w:h="16838" w:orient="portrait"/>
          <w:cols w:equalWidth="0" w:num="2">
            <w:col w:w="5620" w:space="540"/>
            <w:col w:w="5080"/>
          </w:cols>
          <w:pgMar w:left="320" w:top="127" w:right="3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48"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Nine Months Ended</w:t>
      </w:r>
    </w:p>
    <w:p>
      <w:pPr>
        <w:spacing w:after="0" w:line="23"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September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396,520</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312,199</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81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60,898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49,637</w:t>
            </w:r>
          </w:p>
        </w:tc>
      </w:tr>
      <w:tr>
        <w:trPr>
          <w:trHeight w:val="226"/>
        </w:trPr>
        <w:tc>
          <w:tcPr>
            <w:tcW w:w="8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135,741</w:t>
            </w:r>
          </w:p>
        </w:tc>
      </w:tr>
      <w:tr>
        <w:trPr>
          <w:trHeight w:val="225"/>
        </w:trPr>
        <w:tc>
          <w:tcPr>
            <w:tcW w:w="818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(92,919)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40,432</w:t>
            </w:r>
          </w:p>
        </w:tc>
      </w:tr>
      <w:tr>
        <w:trPr>
          <w:trHeight w:val="226"/>
        </w:trPr>
        <w:tc>
          <w:tcPr>
            <w:tcW w:w="8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15,097</w:t>
            </w:r>
          </w:p>
        </w:tc>
      </w:tr>
      <w:tr>
        <w:trPr>
          <w:trHeight w:val="225"/>
        </w:trPr>
        <w:tc>
          <w:tcPr>
            <w:tcW w:w="8180" w:type="dxa"/>
            <w:vAlign w:val="bottom"/>
          </w:tcPr>
          <w:p>
            <w:pPr>
              <w:ind w:left="260"/>
              <w:spacing w:after="0"/>
              <w:rPr>
                <w:sz w:val="20"/>
                <w:szCs w:val="20"/>
                <w:color w:val="auto"/>
              </w:rPr>
            </w:pPr>
            <w:r>
              <w:rPr>
                <w:rFonts w:ascii="Arial" w:cs="Arial" w:eastAsia="Arial" w:hAnsi="Arial"/>
                <w:sz w:val="18"/>
                <w:szCs w:val="18"/>
                <w:color w:val="auto"/>
              </w:rPr>
              <w:t>Unrealized (gain) loss on long term investments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72,142</w:t>
            </w:r>
          </w:p>
        </w:tc>
      </w:tr>
      <w:tr>
        <w:trPr>
          <w:trHeight w:val="226"/>
        </w:trPr>
        <w:tc>
          <w:tcPr>
            <w:tcW w:w="8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 (gain) on change in fair value of acquisition-related contingent consideration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(12,198)</w:t>
            </w:r>
          </w:p>
        </w:tc>
      </w:tr>
      <w:tr>
        <w:trPr>
          <w:trHeight w:val="225"/>
        </w:trPr>
        <w:tc>
          <w:tcPr>
            <w:tcW w:w="818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6"/>
        </w:trPr>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r>
      <w:tr>
        <w:trPr>
          <w:trHeight w:val="225"/>
        </w:trPr>
        <w:tc>
          <w:tcPr>
            <w:tcW w:w="8180" w:type="dxa"/>
            <w:vAlign w:val="bottom"/>
          </w:tcPr>
          <w:p>
            <w:pPr>
              <w:ind w:left="4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(62,081)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(40,016)</w:t>
            </w:r>
          </w:p>
        </w:tc>
      </w:tr>
      <w:tr>
        <w:trPr>
          <w:trHeight w:val="226"/>
        </w:trPr>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(48,316)</w:t>
            </w:r>
          </w:p>
        </w:tc>
      </w:tr>
      <w:tr>
        <w:trPr>
          <w:trHeight w:val="225"/>
        </w:trPr>
        <w:tc>
          <w:tcPr>
            <w:tcW w:w="81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(138,135)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(8,935)</w:t>
            </w:r>
          </w:p>
        </w:tc>
      </w:tr>
      <w:tr>
        <w:trPr>
          <w:trHeight w:val="226"/>
        </w:trPr>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and other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172,384</w:t>
            </w:r>
          </w:p>
        </w:tc>
      </w:tr>
      <w:tr>
        <w:trPr>
          <w:trHeight w:val="218"/>
        </w:trPr>
        <w:tc>
          <w:tcPr>
            <w:tcW w:w="8180" w:type="dxa"/>
            <w:vAlign w:val="bottom"/>
            <w:tcBorders>
              <w:bottom w:val="single" w:sz="8" w:color="CCEEFF"/>
            </w:tcBorders>
          </w:tcPr>
          <w:p>
            <w:pPr>
              <w:ind w:left="5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348,758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686,279</w:t>
            </w:r>
          </w:p>
        </w:tc>
      </w:tr>
      <w:tr>
        <w:trPr>
          <w:trHeight w:val="206"/>
        </w:trPr>
        <w:tc>
          <w:tcPr>
            <w:tcW w:w="81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Purchase of long term investments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 of long term investments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(30,219)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(56,560)</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for intangible assets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Purchases of marketable securities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(222,228)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(59,058)</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 and maturities of marketable securities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57,988</w:t>
            </w:r>
          </w:p>
        </w:tc>
      </w:tr>
      <w:tr>
        <w:trPr>
          <w:trHeight w:val="218"/>
        </w:trPr>
        <w:tc>
          <w:tcPr>
            <w:tcW w:w="8180" w:type="dxa"/>
            <w:vAlign w:val="bottom"/>
            <w:tcBorders>
              <w:bottom w:val="single" w:sz="8" w:color="CCEEFF"/>
            </w:tcBorders>
          </w:tcPr>
          <w:p>
            <w:pPr>
              <w:ind w:left="5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(53,177)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(57,630)</w:t>
            </w:r>
          </w:p>
        </w:tc>
      </w:tr>
      <w:tr>
        <w:trPr>
          <w:trHeight w:val="206"/>
        </w:trPr>
        <w:tc>
          <w:tcPr>
            <w:tcW w:w="81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Proceeds from issuance of common stock under stock plans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42,989</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withholdings related to restricted and performance share vesting</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(25,724)</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Payment of finance lease liabilities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(2,106)</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contingent consideration</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(13,473)</w:t>
            </w:r>
          </w:p>
        </w:tc>
      </w:tr>
      <w:tr>
        <w:trPr>
          <w:trHeight w:val="218"/>
        </w:trPr>
        <w:tc>
          <w:tcPr>
            <w:tcW w:w="8180" w:type="dxa"/>
            <w:vAlign w:val="bottom"/>
            <w:tcBorders>
              <w:bottom w:val="single" w:sz="8" w:color="CCEEFF"/>
            </w:tcBorders>
          </w:tcPr>
          <w:p>
            <w:pPr>
              <w:ind w:left="58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rates on cash, cash equivalents, restricted cash and investments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Net increase in cash, cash equivalents, restricted cash and investments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275,827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633,063</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restricted cash and investments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2,953,120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2,059,160</w:t>
            </w:r>
          </w:p>
        </w:tc>
      </w:tr>
      <w:tr>
        <w:trPr>
          <w:trHeight w:val="219"/>
        </w:trPr>
        <w:tc>
          <w:tcPr>
            <w:tcW w:w="8180" w:type="dxa"/>
            <w:vAlign w:val="bottom"/>
          </w:tcPr>
          <w:p>
            <w:pPr>
              <w:ind w:left="20"/>
              <w:spacing w:after="0"/>
              <w:rPr>
                <w:sz w:val="20"/>
                <w:szCs w:val="20"/>
                <w:color w:val="auto"/>
              </w:rPr>
            </w:pPr>
            <w:r>
              <w:rPr>
                <w:rFonts w:ascii="Arial" w:cs="Arial" w:eastAsia="Arial" w:hAnsi="Arial"/>
                <w:sz w:val="18"/>
                <w:szCs w:val="18"/>
                <w:color w:val="auto"/>
              </w:rPr>
              <w:t>Cash, cash equivalents, restricted cash and investments at end of period</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3,228,947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2,692,223</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2"/>
        </w:trPr>
        <w:tc>
          <w:tcPr>
            <w:tcW w:w="818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Supplemental Schedule of Cash Flow Information</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Income taxes paid</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253,180</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116,537</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Unpaid purchases of property and equipment</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8,836</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5,275</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3,650</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Business</w:t>
      </w:r>
    </w:p>
    <w:p>
      <w:pPr>
        <w:spacing w:after="0" w:line="223"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Incyte Corporation (including its subsidiaries, “Incyte,” “we,” “us,” or “our”) is a biopharmaceutical company focused on developing and commercializing proprietary therapeutics. Our portfolio includes compounds in various stages, ranging from preclinical to late stage development, and commercialized products JAKAFI® (ruxolitinib), ICLUSIG® (ponatinib), PEMAZYRE® (pemigatinib), OPZELURA™ (ruxolitinib cream), MINJUVI® (tafasitamab), MONJUVI® (tafasitamab-cxix), which is co-commercialized, and ZYNYZ™ (retifanlimab-dlwr). Our operations are treated as one operating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7"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The condensed consolidated balance sheet as of September 30, 2023, the condensed consolidated statements of operations, comprehensive income (loss), and stockholders’ equity for the three and nine months ended September 30, 2023 and 2022, and the condensed consolidated statements of cash flows for the nine months ended September 30, 2023 and 2022, are unaudited, but include all adjustments, consisting only of normal recurring adjustments, which we consider necessary for a fair presentation of the financial position, operating results and cash flows for the periods presented. The condensed consolidated balance sheet at December 31, 2022 has been derived from our audited consolidated financial statements.</w:t>
      </w:r>
    </w:p>
    <w:p>
      <w:pPr>
        <w:spacing w:after="0" w:line="185"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Although we believe that the disclosures in these financial statements are adequate to make the information presented not misleading, certain information and footnote information normally included in financial statements prepared in accordance with accounting principles generally accepted in the United States (“U.S. GAAP”) have been condensed or omitted pursuant to the rules and regulations of the Securities and Exchange Commission.</w:t>
      </w:r>
    </w:p>
    <w:p>
      <w:pPr>
        <w:spacing w:after="0" w:line="13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Results for any interim period are not necessarily indicative of results for any future interim period or for the entire year. The accompanying financial statements should be read in conjunction with the financial statements and notes thereto included in our Annual Report on Form 10-K for the year ended December 31, 2022.</w:t>
      </w:r>
    </w:p>
    <w:p>
      <w:pPr>
        <w:spacing w:after="0" w:line="188"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The condensed consolidated financial statements include the accounts of Incyte Corporation and our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All inter-company accounts, transactions, and profits have been eliminated in consolidation.</w:t>
      </w:r>
    </w:p>
    <w:p>
      <w:pPr>
        <w:spacing w:after="0" w:line="18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preparation of financial statements in conformity with accounting principles generally accepted in the United States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make estimates and assumptions that affect the amounts reported in the financial statements and accompanying notes. Actual results could differ from those estimates.</w:t>
      </w:r>
    </w:p>
    <w:p>
      <w:pPr>
        <w:spacing w:after="0" w:line="188"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i w:val="1"/>
          <w:iCs w:val="1"/>
          <w:color w:val="auto"/>
        </w:rPr>
        <w:t xml:space="preserve">Other Intangible Assets, net. </w:t>
      </w:r>
      <w:r>
        <w:rPr>
          <w:rFonts w:ascii="Arial" w:cs="Arial" w:eastAsia="Arial" w:hAnsi="Arial"/>
          <w:sz w:val="18"/>
          <w:szCs w:val="18"/>
          <w:color w:val="auto"/>
        </w:rPr>
        <w:t>Other intangible assets, net consist of licensed intellectual property rights acquired in business combinations,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at acquisition date fair value, less accumulated amortization, as well as milestone payments made to collaboration partners incurred at or after the product has obtained regulatory approval. Intangible assets with finite lives are amortized over their estimated useful lives using the straight-line method. Intangible assets with finite lives are tested for recoverability whenever events or changes in circumstances indicate that the carrying amounts may not be recoverable.</w:t>
      </w:r>
    </w:p>
    <w:p>
      <w:pPr>
        <w:spacing w:after="0" w:line="194"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i w:val="1"/>
          <w:iCs w:val="1"/>
          <w:color w:val="auto"/>
        </w:rPr>
        <w:t xml:space="preserve">Cost of Product Revenues. </w:t>
      </w:r>
      <w:r>
        <w:rPr>
          <w:rFonts w:ascii="Arial" w:cs="Arial" w:eastAsia="Arial" w:hAnsi="Arial"/>
          <w:sz w:val="18"/>
          <w:szCs w:val="18"/>
          <w:color w:val="auto"/>
        </w:rPr>
        <w:t>Cost of product revenues includes all product related costs and royalties owed under our collaboration and license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contingent on certain conditions. In addition, cost of product revenues includes the amortization of our licensed intellectual property for ICLUSIG and the amortization of capitalized milestone payments, using the straight-line method over the respective estimated useful lives, which range between approximately 11 to 14 years. Cost of product revenues also includes employee personnel costs, including stock compensation, for those employees dedicated to the production of our commercial products.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3"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There were no new accounting pronouncements issued nor adopted since our filing of the Annual Report on Form 10-K for the year ended December 31, 2022, which could have a significant effect on our condensed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23"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 xml:space="preserve">Revenues are recognized under guidance within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following table presents our disaggregated revenue for the periods presented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89"/>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1"/>
        </w:trPr>
        <w:tc>
          <w:tcPr>
            <w:tcW w:w="5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2022</w:t>
            </w:r>
          </w:p>
        </w:tc>
      </w:tr>
      <w:tr>
        <w:trPr>
          <w:trHeight w:val="225"/>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JAKAFI revenues, net</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636,252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1,898,605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1,761,732</w:t>
            </w:r>
          </w:p>
        </w:tc>
      </w:tr>
      <w:tr>
        <w:trPr>
          <w:trHeight w:val="225"/>
        </w:trPr>
        <w:tc>
          <w:tcPr>
            <w:tcW w:w="5040" w:type="dxa"/>
            <w:vAlign w:val="bottom"/>
          </w:tcPr>
          <w:p>
            <w:pPr>
              <w:ind w:left="20"/>
              <w:spacing w:after="0"/>
              <w:rPr>
                <w:sz w:val="20"/>
                <w:szCs w:val="20"/>
                <w:color w:val="auto"/>
              </w:rPr>
            </w:pPr>
            <w:r>
              <w:rPr>
                <w:rFonts w:ascii="Arial" w:cs="Arial" w:eastAsia="Arial" w:hAnsi="Arial"/>
                <w:sz w:val="18"/>
                <w:szCs w:val="18"/>
                <w:color w:val="auto"/>
              </w:rPr>
              <w:t>OPZELURA revenues,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91,836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38,140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228,621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67,454</w:t>
            </w:r>
          </w:p>
        </w:tc>
      </w:tr>
      <w:tr>
        <w:trPr>
          <w:trHeight w:val="22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ICLUSIG revenues,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84,493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78,222</w:t>
            </w:r>
          </w:p>
        </w:tc>
      </w:tr>
      <w:tr>
        <w:trPr>
          <w:trHeight w:val="225"/>
        </w:trPr>
        <w:tc>
          <w:tcPr>
            <w:tcW w:w="5040" w:type="dxa"/>
            <w:vAlign w:val="bottom"/>
          </w:tcPr>
          <w:p>
            <w:pPr>
              <w:ind w:left="20"/>
              <w:spacing w:after="0"/>
              <w:rPr>
                <w:sz w:val="20"/>
                <w:szCs w:val="20"/>
                <w:color w:val="auto"/>
              </w:rPr>
            </w:pPr>
            <w:r>
              <w:rPr>
                <w:rFonts w:ascii="Arial" w:cs="Arial" w:eastAsia="Arial" w:hAnsi="Arial"/>
                <w:sz w:val="18"/>
                <w:szCs w:val="18"/>
                <w:color w:val="auto"/>
              </w:rPr>
              <w:t>PEMAZYRE revenues,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18,942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62,989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60,429</w:t>
            </w:r>
          </w:p>
        </w:tc>
      </w:tr>
      <w:tr>
        <w:trPr>
          <w:trHeight w:val="22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MINJUVI revenues,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14,845</w:t>
            </w:r>
          </w:p>
        </w:tc>
      </w:tr>
      <w:tr>
        <w:trPr>
          <w:trHeight w:val="225"/>
        </w:trPr>
        <w:tc>
          <w:tcPr>
            <w:tcW w:w="5040" w:type="dxa"/>
            <w:vAlign w:val="bottom"/>
          </w:tcPr>
          <w:p>
            <w:pPr>
              <w:ind w:left="20"/>
              <w:spacing w:after="0"/>
              <w:rPr>
                <w:sz w:val="20"/>
                <w:szCs w:val="20"/>
                <w:color w:val="auto"/>
              </w:rPr>
            </w:pPr>
            <w:r>
              <w:rPr>
                <w:rFonts w:ascii="Arial" w:cs="Arial" w:eastAsia="Arial" w:hAnsi="Arial"/>
                <w:sz w:val="18"/>
                <w:szCs w:val="18"/>
                <w:color w:val="auto"/>
              </w:rPr>
              <w:t>ZYNYZ revenues,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50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product revenues, net</w:t>
            </w: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783,197</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713,010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2,303,439</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1,982,682</w:t>
            </w:r>
          </w:p>
        </w:tc>
      </w:tr>
      <w:tr>
        <w:trPr>
          <w:trHeight w:val="225"/>
        </w:trPr>
        <w:tc>
          <w:tcPr>
            <w:tcW w:w="5040" w:type="dxa"/>
            <w:vAlign w:val="bottom"/>
          </w:tcPr>
          <w:p>
            <w:pPr>
              <w:ind w:left="20"/>
              <w:spacing w:after="0"/>
              <w:rPr>
                <w:sz w:val="20"/>
                <w:szCs w:val="20"/>
                <w:color w:val="auto"/>
              </w:rPr>
            </w:pPr>
            <w:r>
              <w:rPr>
                <w:rFonts w:ascii="Arial" w:cs="Arial" w:eastAsia="Arial" w:hAnsi="Arial"/>
                <w:sz w:val="18"/>
                <w:szCs w:val="18"/>
                <w:color w:val="auto"/>
              </w:rPr>
              <w:t>JAKAVI product royalty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96,551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85,808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263,691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240,386</w:t>
            </w:r>
          </w:p>
        </w:tc>
      </w:tr>
      <w:tr>
        <w:trPr>
          <w:trHeight w:val="22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OLUMIANT product royalty revenues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98,689</w:t>
            </w:r>
          </w:p>
        </w:tc>
      </w:tr>
      <w:tr>
        <w:trPr>
          <w:trHeight w:val="225"/>
        </w:trPr>
        <w:tc>
          <w:tcPr>
            <w:tcW w:w="5040" w:type="dxa"/>
            <w:vAlign w:val="bottom"/>
          </w:tcPr>
          <w:p>
            <w:pPr>
              <w:ind w:left="20"/>
              <w:spacing w:after="0"/>
              <w:rPr>
                <w:sz w:val="20"/>
                <w:szCs w:val="20"/>
                <w:color w:val="auto"/>
              </w:rPr>
            </w:pPr>
            <w:r>
              <w:rPr>
                <w:rFonts w:ascii="Arial" w:cs="Arial" w:eastAsia="Arial" w:hAnsi="Arial"/>
                <w:sz w:val="18"/>
                <w:szCs w:val="18"/>
                <w:color w:val="auto"/>
              </w:rPr>
              <w:t>TABRECTA product royalty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11,178</w:t>
            </w:r>
          </w:p>
        </w:tc>
      </w:tr>
      <w:tr>
        <w:trPr>
          <w:trHeight w:val="22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PEMAZYRE product royalty revenues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5040" w:type="dxa"/>
            <w:vAlign w:val="bottom"/>
          </w:tcPr>
          <w:p>
            <w:pPr>
              <w:ind w:left="180"/>
              <w:spacing w:after="0"/>
              <w:rPr>
                <w:sz w:val="20"/>
                <w:szCs w:val="20"/>
                <w:color w:val="auto"/>
              </w:rPr>
            </w:pPr>
            <w:r>
              <w:rPr>
                <w:rFonts w:ascii="Arial" w:cs="Arial" w:eastAsia="Arial" w:hAnsi="Arial"/>
                <w:sz w:val="18"/>
                <w:szCs w:val="18"/>
                <w:color w:val="auto"/>
              </w:rPr>
              <w:t>Total product royalty revenues</w:t>
            </w: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130,828</w:t>
            </w:r>
          </w:p>
        </w:tc>
        <w:tc>
          <w:tcPr>
            <w:tcW w:w="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110,293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373,869</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350,253</w:t>
            </w:r>
          </w:p>
        </w:tc>
      </w:tr>
      <w:tr>
        <w:trPr>
          <w:trHeight w:val="225"/>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Milestone and contract revenues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r>
      <w:tr>
        <w:trPr>
          <w:trHeight w:val="219"/>
        </w:trPr>
        <w:tc>
          <w:tcPr>
            <w:tcW w:w="504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919,025</w:t>
            </w: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823,303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2,682,308</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2,467,935</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further information on our revenue-generating contracts, refer to Note 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our marketable security portfolio for the periods presented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Net</w:t>
            </w:r>
          </w:p>
        </w:tc>
        <w:tc>
          <w:tcPr>
            <w:tcW w:w="260" w:type="dxa"/>
            <w:vAlign w:val="bottom"/>
          </w:tcPr>
          <w:p>
            <w:pPr>
              <w:spacing w:after="0"/>
              <w:rPr>
                <w:sz w:val="14"/>
                <w:szCs w:val="14"/>
                <w:color w:val="auto"/>
              </w:rPr>
            </w:pPr>
          </w:p>
        </w:tc>
        <w:tc>
          <w:tcPr>
            <w:tcW w:w="122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6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1220" w:type="dxa"/>
            <w:vAlign w:val="bottom"/>
          </w:tcPr>
          <w:p>
            <w:pPr>
              <w:jc w:val="right"/>
              <w:ind w:right="34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2"/>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2023</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Arial" w:cs="Arial" w:eastAsia="Arial" w:hAnsi="Arial"/>
                <w:sz w:val="18"/>
                <w:szCs w:val="18"/>
                <w:color w:val="auto"/>
              </w:rPr>
              <w:t>Debt securities (government)</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290,583</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289,223</w:t>
            </w:r>
          </w:p>
        </w:tc>
        <w:tc>
          <w:tcPr>
            <w:tcW w:w="0" w:type="dxa"/>
            <w:vAlign w:val="bottom"/>
          </w:tcPr>
          <w:p>
            <w:pPr>
              <w:spacing w:after="0"/>
              <w:rPr>
                <w:sz w:val="1"/>
                <w:szCs w:val="1"/>
                <w:color w:val="auto"/>
              </w:rPr>
            </w:pPr>
          </w:p>
        </w:tc>
      </w:tr>
      <w:tr>
        <w:trPr>
          <w:trHeight w:val="265"/>
        </w:trPr>
        <w:tc>
          <w:tcPr>
            <w:tcW w:w="66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Arial" w:cs="Arial" w:eastAsia="Arial" w:hAnsi="Arial"/>
                <w:sz w:val="18"/>
                <w:szCs w:val="18"/>
                <w:color w:val="auto"/>
              </w:rPr>
              <w:t>December 31, 2022</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 (government)</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287,543</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7"/>
          <w:szCs w:val="17"/>
          <w:color w:val="auto"/>
        </w:rPr>
        <w:t>Our available-for-sale debt securities generally have contractual maturity dates of between 12 to 18 months. Debt security assets were assessed for risk of expected credit losses. As of September 30, 2023 and December 31, 2022, the available-for-sale debt securities were held in U.S.-government backed securities and in Treasury bonds and were assessed on an individual security basis to have a de minimis risk of credit loss.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17"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3—Valuations based on inputs that are unobservable and models that are significant to the overall fair value measurement.</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marketable securities consist of investments in U.S. government debt securities that are classified as available-for-sale.</w:t>
      </w:r>
    </w:p>
    <w:p>
      <w:pPr>
        <w:spacing w:after="0" w:line="217"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At September 30, 2023 and December 31, 2022, our Level 2 U.S. government debt securities were valued using readily available pricing sources which utilize market observable inputs, including the current interest rate and other characteristics for similar types of investments. Our long term investments classified as Level 1 were valued using their respective closing stock prices on The Nasdaq Stock Market. We did not experience any transfers of financial instruments between the fair value hierarchy levels during the nine months ended September 30, 2023.</w:t>
      </w:r>
    </w:p>
    <w:p>
      <w:pPr>
        <w:spacing w:after="0" w:line="17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assets measured at fair value on a recurring basis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2"/>
              </w:rPr>
              <w:t>Fair Value Measurement at Reporting Date Using:</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4"/>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69"/>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Significant</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82"/>
        </w:trPr>
        <w:tc>
          <w:tcPr>
            <w:tcW w:w="5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5"/>
                <w:szCs w:val="15"/>
                <w:color w:val="auto"/>
              </w:rPr>
            </w:pPr>
          </w:p>
        </w:tc>
        <w:tc>
          <w:tcPr>
            <w:tcW w:w="1360" w:type="dxa"/>
            <w:vAlign w:val="bottom"/>
          </w:tcPr>
          <w:p>
            <w:pPr>
              <w:jc w:val="center"/>
              <w:ind w:right="78"/>
              <w:spacing w:after="0"/>
              <w:rPr>
                <w:sz w:val="20"/>
                <w:szCs w:val="20"/>
                <w:color w:val="auto"/>
              </w:rPr>
            </w:pPr>
            <w:r>
              <w:rPr>
                <w:rFonts w:ascii="Arial" w:cs="Arial" w:eastAsia="Arial" w:hAnsi="Arial"/>
                <w:sz w:val="14"/>
                <w:szCs w:val="14"/>
                <w:b w:val="1"/>
                <w:bCs w:val="1"/>
                <w:color w:val="auto"/>
                <w:w w:val="88"/>
              </w:rPr>
              <w:t>Balance as of</w:t>
            </w:r>
          </w:p>
        </w:tc>
      </w:tr>
      <w:tr>
        <w:trPr>
          <w:trHeight w:val="193"/>
        </w:trPr>
        <w:tc>
          <w:tcPr>
            <w:tcW w:w="50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1"/>
              </w:rPr>
              <w:t>September 30, 2023</w:t>
            </w: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3,227,230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3,227,230</w:t>
            </w:r>
          </w:p>
        </w:tc>
      </w:tr>
      <w:tr>
        <w:trPr>
          <w:trHeight w:val="225"/>
        </w:trPr>
        <w:tc>
          <w:tcPr>
            <w:tcW w:w="5020" w:type="dxa"/>
            <w:vAlign w:val="bottom"/>
          </w:tcPr>
          <w:p>
            <w:pPr>
              <w:ind w:left="20"/>
              <w:spacing w:after="0"/>
              <w:rPr>
                <w:sz w:val="20"/>
                <w:szCs w:val="20"/>
                <w:color w:val="auto"/>
              </w:rPr>
            </w:pPr>
            <w:r>
              <w:rPr>
                <w:rFonts w:ascii="Arial" w:cs="Arial" w:eastAsia="Arial" w:hAnsi="Arial"/>
                <w:sz w:val="18"/>
                <w:szCs w:val="18"/>
                <w:color w:val="auto"/>
              </w:rPr>
              <w:t>Debt securities (government)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289,223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289,223</w:t>
            </w:r>
          </w:p>
        </w:tc>
      </w:tr>
      <w:tr>
        <w:trPr>
          <w:trHeight w:val="225"/>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 term investments (Note 7)</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153,663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153,663</w:t>
            </w:r>
          </w:p>
        </w:tc>
      </w:tr>
      <w:tr>
        <w:trPr>
          <w:trHeight w:val="219"/>
        </w:trPr>
        <w:tc>
          <w:tcPr>
            <w:tcW w:w="502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3,380,893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289,223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3,670,116</w:t>
            </w: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99"/>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2"/>
              </w:rPr>
              <w:t>Fair Value Measurement at Reporting Date Using:</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56"/>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3"/>
              </w:rPr>
              <w:t>Significant Other</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w w:val="89"/>
              </w:rPr>
              <w:t>Significant</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7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59"/>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3"/>
                <w:szCs w:val="13"/>
                <w:color w:val="auto"/>
              </w:rPr>
            </w:pPr>
          </w:p>
        </w:tc>
        <w:tc>
          <w:tcPr>
            <w:tcW w:w="1360" w:type="dxa"/>
            <w:vAlign w:val="bottom"/>
          </w:tcPr>
          <w:p>
            <w:pPr>
              <w:jc w:val="center"/>
              <w:ind w:right="38"/>
              <w:spacing w:after="0" w:line="159" w:lineRule="exact"/>
              <w:rPr>
                <w:sz w:val="20"/>
                <w:szCs w:val="20"/>
                <w:color w:val="auto"/>
              </w:rPr>
            </w:pPr>
            <w:r>
              <w:rPr>
                <w:rFonts w:ascii="Arial" w:cs="Arial" w:eastAsia="Arial" w:hAnsi="Arial"/>
                <w:sz w:val="14"/>
                <w:szCs w:val="14"/>
                <w:b w:val="1"/>
                <w:bCs w:val="1"/>
                <w:color w:val="auto"/>
                <w:w w:val="88"/>
              </w:rPr>
              <w:t>Balance as of</w:t>
            </w:r>
          </w:p>
        </w:tc>
      </w:tr>
      <w:tr>
        <w:trPr>
          <w:trHeight w:val="197"/>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(Level 3)</w:t>
            </w:r>
          </w:p>
        </w:tc>
        <w:tc>
          <w:tcPr>
            <w:tcW w:w="120" w:type="dxa"/>
            <w:vAlign w:val="bottom"/>
          </w:tcPr>
          <w:p>
            <w:pPr>
              <w:spacing w:after="0"/>
              <w:rPr>
                <w:sz w:val="17"/>
                <w:szCs w:val="17"/>
                <w:color w:val="auto"/>
              </w:rPr>
            </w:pPr>
          </w:p>
        </w:tc>
        <w:tc>
          <w:tcPr>
            <w:tcW w:w="136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December 31, 2022</w:t>
            </w:r>
          </w:p>
        </w:tc>
      </w:tr>
      <w:tr>
        <w:trPr>
          <w:trHeight w:val="38"/>
        </w:trPr>
        <w:tc>
          <w:tcPr>
            <w:tcW w:w="50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18"/>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2,951,422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2,951,422</w:t>
            </w:r>
          </w:p>
        </w:tc>
      </w:tr>
      <w:tr>
        <w:trPr>
          <w:trHeight w:val="225"/>
        </w:trPr>
        <w:tc>
          <w:tcPr>
            <w:tcW w:w="5020" w:type="dxa"/>
            <w:vAlign w:val="bottom"/>
          </w:tcPr>
          <w:p>
            <w:pPr>
              <w:ind w:left="20"/>
              <w:spacing w:after="0"/>
              <w:rPr>
                <w:sz w:val="20"/>
                <w:szCs w:val="20"/>
                <w:color w:val="auto"/>
              </w:rPr>
            </w:pPr>
            <w:r>
              <w:rPr>
                <w:rFonts w:ascii="Arial" w:cs="Arial" w:eastAsia="Arial" w:hAnsi="Arial"/>
                <w:sz w:val="18"/>
                <w:szCs w:val="18"/>
                <w:color w:val="auto"/>
              </w:rPr>
              <w:t>Debt securities (government)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287,543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287,543</w:t>
            </w:r>
          </w:p>
        </w:tc>
      </w:tr>
      <w:tr>
        <w:trPr>
          <w:trHeight w:val="225"/>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 term investments (Note 7)</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133,676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133,676</w:t>
            </w:r>
          </w:p>
        </w:tc>
      </w:tr>
      <w:tr>
        <w:trPr>
          <w:trHeight w:val="219"/>
        </w:trPr>
        <w:tc>
          <w:tcPr>
            <w:tcW w:w="502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
              <w:spacing w:after="0"/>
              <w:rPr>
                <w:sz w:val="20"/>
                <w:szCs w:val="20"/>
                <w:color w:val="auto"/>
              </w:rPr>
            </w:pPr>
            <w:r>
              <w:rPr>
                <w:rFonts w:ascii="Arial" w:cs="Arial" w:eastAsia="Arial" w:hAnsi="Arial"/>
                <w:sz w:val="18"/>
                <w:szCs w:val="18"/>
                <w:color w:val="auto"/>
              </w:rPr>
              <w:t>3,085,098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287,543</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3,372,641</w:t>
            </w:r>
          </w:p>
        </w:tc>
      </w:tr>
      <w:tr>
        <w:trPr>
          <w:trHeight w:val="20"/>
        </w:trPr>
        <w:tc>
          <w:tcPr>
            <w:tcW w:w="5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880"/>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41"/>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00"/>
        </w:trPr>
        <w:tc>
          <w:tcPr>
            <w:tcW w:w="5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0" w:firstLine="636"/>
        <w:spacing w:after="0" w:line="264"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liabilities measured at fair value on a recurring basis as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2"/>
              </w:rPr>
              <w:t>Fair Value Measurement at Reporting Date Using:</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4"/>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69"/>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Quoted Prices in</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Significant</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82"/>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Identical Liabilities</w:t>
            </w:r>
          </w:p>
        </w:tc>
        <w:tc>
          <w:tcPr>
            <w:tcW w:w="16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5"/>
                <w:szCs w:val="15"/>
                <w:color w:val="auto"/>
              </w:rPr>
            </w:pPr>
          </w:p>
        </w:tc>
        <w:tc>
          <w:tcPr>
            <w:tcW w:w="1360" w:type="dxa"/>
            <w:vAlign w:val="bottom"/>
          </w:tcPr>
          <w:p>
            <w:pPr>
              <w:jc w:val="center"/>
              <w:ind w:right="38"/>
              <w:spacing w:after="0"/>
              <w:rPr>
                <w:sz w:val="20"/>
                <w:szCs w:val="20"/>
                <w:color w:val="auto"/>
              </w:rPr>
            </w:pPr>
            <w:r>
              <w:rPr>
                <w:rFonts w:ascii="Arial" w:cs="Arial" w:eastAsia="Arial" w:hAnsi="Arial"/>
                <w:sz w:val="14"/>
                <w:szCs w:val="14"/>
                <w:b w:val="1"/>
                <w:bCs w:val="1"/>
                <w:color w:val="auto"/>
                <w:w w:val="88"/>
              </w:rPr>
              <w:t>Balance as of</w:t>
            </w:r>
          </w:p>
        </w:tc>
      </w:tr>
      <w:tr>
        <w:trPr>
          <w:trHeight w:val="193"/>
        </w:trPr>
        <w:tc>
          <w:tcPr>
            <w:tcW w:w="50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(Level 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1"/>
              </w:rPr>
              <w:t>September 30, 2023</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contingent consideration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207,000</w:t>
            </w:r>
          </w:p>
        </w:tc>
      </w:tr>
      <w:tr>
        <w:trPr>
          <w:trHeight w:val="219"/>
        </w:trPr>
        <w:tc>
          <w:tcPr>
            <w:tcW w:w="504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207,000</w:t>
            </w: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99"/>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2"/>
              </w:rPr>
              <w:t>Fair Value Measurement at Reporting Date Using:</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26"/>
        </w:trPr>
        <w:tc>
          <w:tcPr>
            <w:tcW w:w="50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89"/>
              </w:rPr>
              <w:t>Quoted Prices in</w:t>
            </w:r>
          </w:p>
        </w:tc>
        <w:tc>
          <w:tcPr>
            <w:tcW w:w="1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93"/>
              </w:rPr>
              <w:t>Significant Other</w:t>
            </w:r>
          </w:p>
        </w:tc>
        <w:tc>
          <w:tcPr>
            <w:tcW w:w="2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143"/>
              <w:spacing w:after="0" w:line="126" w:lineRule="exact"/>
              <w:rPr>
                <w:sz w:val="20"/>
                <w:szCs w:val="20"/>
                <w:color w:val="auto"/>
              </w:rPr>
            </w:pPr>
            <w:r>
              <w:rPr>
                <w:rFonts w:ascii="Arial" w:cs="Arial" w:eastAsia="Arial" w:hAnsi="Arial"/>
                <w:sz w:val="14"/>
                <w:szCs w:val="14"/>
                <w:b w:val="1"/>
                <w:bCs w:val="1"/>
                <w:color w:val="auto"/>
                <w:w w:val="89"/>
              </w:rPr>
              <w:t>Significant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36"/>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20"/>
              <w:spacing w:after="0" w:line="137" w:lineRule="exact"/>
              <w:rPr>
                <w:sz w:val="20"/>
                <w:szCs w:val="20"/>
                <w:color w:val="auto"/>
              </w:rPr>
            </w:pPr>
            <w:r>
              <w:rPr>
                <w:rFonts w:ascii="Arial" w:cs="Arial" w:eastAsia="Arial" w:hAnsi="Arial"/>
                <w:sz w:val="14"/>
                <w:szCs w:val="14"/>
                <w:b w:val="1"/>
                <w:bCs w:val="1"/>
                <w:color w:val="auto"/>
                <w:w w:val="93"/>
              </w:rPr>
              <w:t>Active Markets for</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7"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1"/>
                <w:szCs w:val="11"/>
                <w:color w:val="auto"/>
              </w:rPr>
            </w:pPr>
          </w:p>
        </w:tc>
        <w:tc>
          <w:tcPr>
            <w:tcW w:w="1360" w:type="dxa"/>
            <w:vAlign w:val="bottom"/>
            <w:gridSpan w:val="2"/>
          </w:tcPr>
          <w:p>
            <w:pPr>
              <w:jc w:val="center"/>
              <w:ind w:right="320"/>
              <w:spacing w:after="0" w:line="137" w:lineRule="exact"/>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155"/>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Identical Liabilities</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3"/>
                <w:szCs w:val="13"/>
                <w:color w:val="auto"/>
              </w:rPr>
            </w:pPr>
          </w:p>
        </w:tc>
        <w:tc>
          <w:tcPr>
            <w:tcW w:w="1360" w:type="dxa"/>
            <w:vAlign w:val="bottom"/>
          </w:tcPr>
          <w:p>
            <w:pPr>
              <w:jc w:val="center"/>
              <w:ind w:right="38"/>
              <w:spacing w:after="0" w:line="155" w:lineRule="exact"/>
              <w:rPr>
                <w:sz w:val="20"/>
                <w:szCs w:val="20"/>
                <w:color w:val="auto"/>
              </w:rPr>
            </w:pPr>
            <w:r>
              <w:rPr>
                <w:rFonts w:ascii="Arial" w:cs="Arial" w:eastAsia="Arial" w:hAnsi="Arial"/>
                <w:sz w:val="14"/>
                <w:szCs w:val="14"/>
                <w:b w:val="1"/>
                <w:bCs w:val="1"/>
                <w:color w:val="auto"/>
                <w:w w:val="88"/>
              </w:rPr>
              <w:t>Balance as of</w:t>
            </w:r>
          </w:p>
        </w:tc>
      </w:tr>
      <w:tr>
        <w:trPr>
          <w:trHeight w:val="192"/>
        </w:trPr>
        <w:tc>
          <w:tcPr>
            <w:tcW w:w="50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(Level 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1"/>
              </w:rPr>
              <w:t>December 31, 2022</w:t>
            </w:r>
          </w:p>
        </w:tc>
      </w:tr>
      <w:tr>
        <w:trPr>
          <w:trHeight w:val="225"/>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contingent consideration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221,000</w:t>
            </w:r>
          </w:p>
        </w:tc>
      </w:tr>
      <w:tr>
        <w:trPr>
          <w:trHeight w:val="219"/>
        </w:trPr>
        <w:tc>
          <w:tcPr>
            <w:tcW w:w="504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221,000</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95"/>
        </w:trPr>
        <w:tc>
          <w:tcPr>
            <w:tcW w:w="6600" w:type="dxa"/>
            <w:vAlign w:val="bottom"/>
            <w:gridSpan w:val="4"/>
          </w:tcPr>
          <w:p>
            <w:pPr>
              <w:ind w:left="640"/>
              <w:spacing w:after="0"/>
              <w:rPr>
                <w:sz w:val="20"/>
                <w:szCs w:val="20"/>
                <w:color w:val="auto"/>
              </w:rPr>
            </w:pPr>
            <w:r>
              <w:rPr>
                <w:rFonts w:ascii="Arial" w:cs="Arial" w:eastAsia="Arial" w:hAnsi="Arial"/>
                <w:sz w:val="18"/>
                <w:szCs w:val="18"/>
                <w:color w:val="auto"/>
              </w:rPr>
              <w:t>The following is a rollforward of our Level 3 liabilities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4"/>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2023</w:t>
            </w:r>
          </w:p>
        </w:tc>
      </w:tr>
      <w:tr>
        <w:trPr>
          <w:trHeight w:val="24"/>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221,000</w:t>
            </w:r>
          </w:p>
        </w:tc>
      </w:tr>
      <w:tr>
        <w:trPr>
          <w:trHeight w:val="225"/>
        </w:trPr>
        <w:tc>
          <w:tcPr>
            <w:tcW w:w="5040" w:type="dxa"/>
            <w:vAlign w:val="bottom"/>
          </w:tcPr>
          <w:p>
            <w:pPr>
              <w:ind w:left="20"/>
              <w:spacing w:after="0"/>
              <w:rPr>
                <w:sz w:val="20"/>
                <w:szCs w:val="20"/>
                <w:color w:val="auto"/>
              </w:rPr>
            </w:pPr>
            <w:r>
              <w:rPr>
                <w:rFonts w:ascii="Arial" w:cs="Arial" w:eastAsia="Arial" w:hAnsi="Arial"/>
                <w:sz w:val="18"/>
                <w:szCs w:val="18"/>
                <w:color w:val="auto"/>
                <w:w w:val="94"/>
              </w:rPr>
              <w:t>Contingent consideration earned during the period but not yet paid</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(10,684)</w:t>
            </w:r>
          </w:p>
        </w:tc>
      </w:tr>
      <w:tr>
        <w:trPr>
          <w:trHeight w:val="22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made during the period</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(17,460)</w:t>
            </w:r>
          </w:p>
        </w:tc>
      </w:tr>
      <w:tr>
        <w:trPr>
          <w:trHeight w:val="225"/>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14,144</w:t>
            </w: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The initial fair value of the contingent consideration was determined on the date of acquisition, June 1, 2016, using an income approach based on projected future net revenues of ICLUSIG in the European Union and other countries for the approved third line treatment over 18 years, and discounted to present value at a rate of 10%. The fair value of the contingent consideration is remeasured each reporting period, with changes in fair value recorded in the condensed consolidated statements of operations. The valuation inputs utilized to estimate the fair value of the contingent consideration as of September 30, 2023 and December 31, 2022 included a discount rate of 10% and updated projections of future net revenues of ICLUSIG in the European Union and other countries for the approved third line treatment. The change in fair value of the contingent consideration during the three and nine months ended September 30, 2023 was due primarily to the changes in foreign currency exchange rates included within the updated projections of future net revenues of ICLUSIG and the passage of time.</w:t>
      </w:r>
    </w:p>
    <w:p>
      <w:pPr>
        <w:spacing w:after="0" w:line="18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We generally make payments to Takeda Pharmaceutical Company Limited quarterly based on the royalties or any additional milestone payments earned in the previous quarter. At September 30, 2023 and December 31, 2022, contingent consideration earned but not yet paid was $10.7 million and $9.3 million, respectively, and was included in accrued and other current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Concentration of Credit Risk and Current Expected Credit Losses</w:t>
      </w:r>
    </w:p>
    <w:p>
      <w:pPr>
        <w:spacing w:after="0" w:line="223"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In November 2009, we entered into a collaboration and license agreement with Novartis Pharmaceutical International Ltd. (“Novartis”). In December 2009, we entered into a license, development and commercialization agreement with Eli Lilly and Company (“Lilly”). The above collaboration partners comprised, in aggregate, 21% and 20% of the accounts receivable balance as of September 30, 2023 and December 31, 2022, respectively. For further information relating to these collaboration and license agreements, refer to Note 7.</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7"/>
          <w:szCs w:val="17"/>
          <w:color w:val="auto"/>
        </w:rPr>
        <w:t>In November 2011, we began commercialization and distribution of JAKAFI, in April 2020, we began commercialization and distribution of PEMAZYRE, and in October 2021, we began commercialization and distribution of OPZELURA. Our product revenues are concentrated in a number of customers for these products. The concentration of credit risk related to our JAKAFI, PEMAZYRE and OPZELURA product revenues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60" w:type="dxa"/>
            <w:vAlign w:val="bottom"/>
          </w:tcPr>
          <w:p>
            <w:pPr>
              <w:spacing w:after="0"/>
              <w:rPr>
                <w:sz w:val="14"/>
                <w:szCs w:val="14"/>
                <w:color w:val="auto"/>
              </w:rPr>
            </w:pPr>
          </w:p>
        </w:tc>
        <w:tc>
          <w:tcPr>
            <w:tcW w:w="2680" w:type="dxa"/>
            <w:vAlign w:val="bottom"/>
            <w:gridSpan w:val="4"/>
          </w:tcPr>
          <w:p>
            <w:pPr>
              <w:jc w:val="center"/>
              <w:ind w:left="449"/>
              <w:spacing w:after="0"/>
              <w:rPr>
                <w:sz w:val="20"/>
                <w:szCs w:val="20"/>
                <w:color w:val="auto"/>
              </w:rPr>
            </w:pPr>
            <w:r>
              <w:rPr>
                <w:rFonts w:ascii="Arial" w:cs="Arial" w:eastAsia="Arial" w:hAnsi="Arial"/>
                <w:sz w:val="14"/>
                <w:szCs w:val="14"/>
                <w:b w:val="1"/>
                <w:bCs w:val="1"/>
                <w:color w:val="auto"/>
                <w:w w:val="89"/>
              </w:rPr>
              <w:t>Percentage of Total Net</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Percentage of Total Net</w:t>
            </w:r>
          </w:p>
        </w:tc>
      </w:tr>
      <w:tr>
        <w:trPr>
          <w:trHeight w:val="172"/>
        </w:trPr>
        <w:tc>
          <w:tcPr>
            <w:tcW w:w="4760" w:type="dxa"/>
            <w:vAlign w:val="bottom"/>
          </w:tcPr>
          <w:p>
            <w:pPr>
              <w:spacing w:after="0"/>
              <w:rPr>
                <w:sz w:val="14"/>
                <w:szCs w:val="14"/>
                <w:color w:val="auto"/>
              </w:rPr>
            </w:pPr>
          </w:p>
        </w:tc>
        <w:tc>
          <w:tcPr>
            <w:tcW w:w="2680" w:type="dxa"/>
            <w:vAlign w:val="bottom"/>
            <w:gridSpan w:val="4"/>
          </w:tcPr>
          <w:p>
            <w:pPr>
              <w:jc w:val="center"/>
              <w:ind w:left="449"/>
              <w:spacing w:after="0"/>
              <w:rPr>
                <w:sz w:val="20"/>
                <w:szCs w:val="20"/>
                <w:color w:val="auto"/>
              </w:rPr>
            </w:pPr>
            <w:r>
              <w:rPr>
                <w:rFonts w:ascii="Arial" w:cs="Arial" w:eastAsia="Arial" w:hAnsi="Arial"/>
                <w:sz w:val="14"/>
                <w:szCs w:val="14"/>
                <w:b w:val="1"/>
                <w:bCs w:val="1"/>
                <w:color w:val="auto"/>
                <w:w w:val="89"/>
              </w:rPr>
              <w:t>Product Revenues for the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Product Revenues for the</w:t>
            </w:r>
          </w:p>
        </w:tc>
      </w:tr>
      <w:tr>
        <w:trPr>
          <w:trHeight w:val="184"/>
        </w:trPr>
        <w:tc>
          <w:tcPr>
            <w:tcW w:w="4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40" w:type="dxa"/>
            <w:vAlign w:val="bottom"/>
            <w:gridSpan w:val="3"/>
          </w:tcPr>
          <w:p>
            <w:pPr>
              <w:jc w:val="center"/>
              <w:ind w:right="349"/>
              <w:spacing w:after="0"/>
              <w:rPr>
                <w:sz w:val="20"/>
                <w:szCs w:val="20"/>
                <w:color w:val="auto"/>
              </w:rPr>
            </w:pPr>
            <w:r>
              <w:rPr>
                <w:rFonts w:ascii="Arial" w:cs="Arial" w:eastAsia="Arial" w:hAnsi="Arial"/>
                <w:sz w:val="14"/>
                <w:szCs w:val="14"/>
                <w:b w:val="1"/>
                <w:bCs w:val="1"/>
                <w:color w:val="auto"/>
                <w:w w:val="92"/>
              </w:rPr>
              <w:t>Three Months Ended</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gridSpan w:val="3"/>
          </w:tcPr>
          <w:p>
            <w:pPr>
              <w:jc w:val="center"/>
              <w:ind w:left="881"/>
              <w:spacing w:after="0"/>
              <w:rPr>
                <w:sz w:val="20"/>
                <w:szCs w:val="20"/>
                <w:color w:val="auto"/>
              </w:rPr>
            </w:pPr>
            <w:r>
              <w:rPr>
                <w:rFonts w:ascii="Arial" w:cs="Arial" w:eastAsia="Arial" w:hAnsi="Arial"/>
                <w:sz w:val="14"/>
                <w:szCs w:val="14"/>
                <w:b w:val="1"/>
                <w:bCs w:val="1"/>
                <w:color w:val="auto"/>
                <w:w w:val="91"/>
              </w:rPr>
              <w:t>Nine Months Ended</w:t>
            </w:r>
          </w:p>
        </w:tc>
        <w:tc>
          <w:tcPr>
            <w:tcW w:w="960" w:type="dxa"/>
            <w:vAlign w:val="bottom"/>
          </w:tcPr>
          <w:p>
            <w:pPr>
              <w:spacing w:after="0"/>
              <w:rPr>
                <w:sz w:val="15"/>
                <w:szCs w:val="15"/>
                <w:color w:val="auto"/>
              </w:rPr>
            </w:pPr>
          </w:p>
        </w:tc>
      </w:tr>
      <w:tr>
        <w:trPr>
          <w:trHeight w:val="24"/>
        </w:trPr>
        <w:tc>
          <w:tcPr>
            <w:tcW w:w="47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5"/>
        </w:trPr>
        <w:tc>
          <w:tcPr>
            <w:tcW w:w="47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349"/>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Borders>
              <w:bottom w:val="single" w:sz="8" w:color="auto"/>
            </w:tcBorders>
            <w:gridSpan w:val="3"/>
          </w:tcPr>
          <w:p>
            <w:pPr>
              <w:jc w:val="center"/>
              <w:ind w:left="901"/>
              <w:spacing w:after="0"/>
              <w:rPr>
                <w:sz w:val="20"/>
                <w:szCs w:val="20"/>
                <w:color w:val="auto"/>
              </w:rPr>
            </w:pPr>
            <w:r>
              <w:rPr>
                <w:rFonts w:ascii="Arial" w:cs="Arial" w:eastAsia="Arial" w:hAnsi="Arial"/>
                <w:sz w:val="14"/>
                <w:szCs w:val="14"/>
                <w:b w:val="1"/>
                <w:bCs w:val="1"/>
                <w:color w:val="auto"/>
                <w:w w:val="89"/>
              </w:rPr>
              <w:t>September 30,</w:t>
            </w:r>
          </w:p>
        </w:tc>
        <w:tc>
          <w:tcPr>
            <w:tcW w:w="960" w:type="dxa"/>
            <w:vAlign w:val="bottom"/>
            <w:tcBorders>
              <w:bottom w:val="single" w:sz="8" w:color="auto"/>
            </w:tcBorders>
          </w:tcPr>
          <w:p>
            <w:pPr>
              <w:spacing w:after="0"/>
              <w:rPr>
                <w:sz w:val="16"/>
                <w:szCs w:val="16"/>
                <w:color w:val="auto"/>
              </w:rPr>
            </w:pPr>
          </w:p>
        </w:tc>
      </w:tr>
      <w:tr>
        <w:trPr>
          <w:trHeight w:val="192"/>
        </w:trPr>
        <w:tc>
          <w:tcPr>
            <w:tcW w:w="47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96"/>
              </w:rPr>
              <w:t>2022</w:t>
            </w:r>
          </w:p>
        </w:tc>
      </w:tr>
      <w:tr>
        <w:trPr>
          <w:trHeight w:val="225"/>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5"/>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Customer B</w:t>
            </w:r>
          </w:p>
        </w:tc>
        <w:tc>
          <w:tcPr>
            <w:tcW w:w="620" w:type="dxa"/>
            <w:vAlign w:val="bottom"/>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6"/>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C</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25"/>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Customer D</w:t>
            </w:r>
          </w:p>
        </w:tc>
        <w:tc>
          <w:tcPr>
            <w:tcW w:w="620" w:type="dxa"/>
            <w:vAlign w:val="bottom"/>
          </w:tcPr>
          <w:p>
            <w:pPr>
              <w:jc w:val="right"/>
              <w:spacing w:after="0"/>
              <w:rPr>
                <w:sz w:val="20"/>
                <w:szCs w:val="20"/>
                <w:color w:val="auto"/>
              </w:rPr>
            </w:pPr>
            <w:r>
              <w:rPr>
                <w:rFonts w:ascii="Arial" w:cs="Arial" w:eastAsia="Arial" w:hAnsi="Arial"/>
                <w:sz w:val="18"/>
                <w:szCs w:val="18"/>
                <w:color w:val="auto"/>
              </w:rPr>
              <w:t>8 %</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6"/>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bl>
    <w:p>
      <w:pPr>
        <w:spacing w:after="0" w:line="292"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We are exposed to risks associated with extending credit to customers related to the sale of products. Customers A, B, C, D, and E comprised, in aggregate, 33% and 41% of the accounts receivable balance as of September 30, 2023 and December 31, 2022, respectively. The concentration of credit risk relating to our other product revenues or accounts receivable is not significant.</w:t>
      </w:r>
    </w:p>
    <w:p>
      <w:pPr>
        <w:spacing w:after="0" w:line="188"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We assessed our collaborative and customer receivable assets as of September 30, 2023 according to our accounting policy for applying reserves for expected credit losses, noting minimal history of uncollectible receivables and the continued perceived creditworthiness of our third party sales relationships, upon which the expected credit losses were considered de minimis. As of September 30, 2023 and December 31, 2022, we had no allowance for doubtful accounts.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Inventory</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inventory balance consists of the following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8"/>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31,874</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140,370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54,455</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34,630</w:t>
            </w:r>
          </w:p>
        </w:tc>
      </w:tr>
      <w:tr>
        <w:trPr>
          <w:trHeight w:val="219"/>
        </w:trPr>
        <w:tc>
          <w:tcPr>
            <w:tcW w:w="818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199,286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120,959</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Inventories, stated at the lower of cost and net realizable value, consist of raw materials, work in process and finished goods. At September 30, 2023, $57.2 million of inventory was classified as current on the condensed consolidated balance sheet as we expect this inventory to be consumed for commercial use within the next twelve months. At September 30, 2023, $142.1 million of inventory was classified as non-current on the condensed consolidated balance sheet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199"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We capitalize inventory after regulatory approval as the related costs are expected to be recoverable through the commercialization of the product. Costs incurred prior to regulatory approval are recorded as research and development expense in our statements of operations. At September 30, 2023, inventory with approximately $36.7 million of product costs incurred prior to regulatory approval had not yet been sold. We expect to sell the pre-commercialization inventory over the next 12 to 18 months and, as a result, cost of product revenues will reflect a lower average per unit cost of materials.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License Agreements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w:t>
      </w:r>
    </w:p>
    <w:p>
      <w:pPr>
        <w:spacing w:after="0" w:line="217"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w:t>
      </w:r>
    </w:p>
    <w:p>
      <w:pPr>
        <w:spacing w:after="0" w:line="151"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color w:val="auto"/>
        </w:rPr>
        <w:t>Under this agreement, we were initially eligible to receive up to $174.0 million for the achievement of development milestones, up to $495.0 million for the achievement of regulatory milestones and up to $500.0 million for the achievement of sales milestones. In addition, we are eligible to receive up to $75.0 million of additional potential development and regulatory milestones relating to graft-versus-host-disease (“GVHD”). Since the inception of the agreement through September 30, 2023, we have recognized and received, in the aggregate, $157.0 million for the achievement of development milestones, $345.0 million for the achievement of regulatory milestones, and $200.0 million for the achievement of sales milestones.</w:t>
      </w:r>
    </w:p>
    <w:p>
      <w:pPr>
        <w:spacing w:after="0" w:line="18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In September 2023, we recognized a $5.0 million regulatory milestone for the regulatory approval from the Japanese Ministry of Health, Labour and Welfare (MHLW) for the GVHD indication of JAKAVI (ruxolitinib).</w:t>
      </w:r>
    </w:p>
    <w:p>
      <w:pPr>
        <w:spacing w:after="0" w:line="181"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7"/>
          <w:szCs w:val="17"/>
          <w:color w:val="auto"/>
        </w:rPr>
        <w:t>We also are eligible to receive tiered, double-digit royalties ranging from the upper-teens to the mid-twenties on future JAKAVI net sales outside of the United States, and tiered, worldwide royalties on TABRECTA net sales that range from 12% to 14%. We are obligated to pay to Novartis tiered royalties in the low single-digits on future JAKAFI net sales within the United States contingent on certain conditions. During the three and nine months ended September 30, 2023, such royalties on net sales within the United States totaled $31.1 million and $88.0 million, respectively, and were reflected in cost of product revenues on the condensed consolidated statements of operations. During the three and nine months ended September 30, 2022, such royalties on net sales within the United States totaled $30.3 million and $81.3 million, respectively, and were reflected in cost of product revenues on the condensed consolidated statements of operations. At September 30, 2023 and December 31, 2022, $341.5 million and $253.5 million, respectively, of accrued royalties were included in accrued and other current liabilities on the condensed consolidated balance sheets, payment of which is dependent on the outcome of a contract dispute with Novartis.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88"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Milestone and contract revenue under the Novartis agreement was $5.0 million for both the three and nine months ended September 30, 2023. We had no milestone and contract revenue under the Novartis agreement for the three months ended September 30, 2022, and we had $60.0 million for the nine months ended September 30, 2022. Product royalty revenue related to Novartis net sales of JAKAVI outside of the United States for the three and nine months ended September 30, 2023 was $96.6 million and $263.7 million, respectively. Product royalty revenue related to Novartis net sales of JAKAVI outside of the United States for the three and nine months ended September 30, 2022 was $85.8 million and $240.4 million, respectively. Product royalty revenue related to Novartis net sales of TABRECTA worldwide for the three and nine months ended September 30, 2023 was $4.1 million and $13.1 million, respectively. Product royalty revenue related to Novartis net sales of TABRECTA worldwide for the three and nine months ended September 30, 2022 was $4.1 million and $11.2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Lilly – Baricitinib</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Under this agreement, we were initially eligible to receive up to $150.0 million for the achievement of development milestones, up to $365.0 million for the achievement of regulatory milestones and up to $150.0 million for the achievement of sales milestones. Since the inception of the agreement through September 30, 2023, we have recognized and received, in aggregate, $149.0 million for the achievement of development milestones, $335.0 million for the achievement of regulatory milestones and $50.0 million for the achievement of sales milestones. We are also eligible to receive tiered, double-digit royalties on future global sales with rates ranging up to the mid-twenties if a product is successfully commercialized.</w:t>
      </w:r>
    </w:p>
    <w:p>
      <w:pPr>
        <w:spacing w:after="0" w:line="151"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7"/>
          <w:szCs w:val="17"/>
          <w:color w:val="auto"/>
        </w:rPr>
        <w:t>In May 2020, we amended our agreement with Lilly to enable Lilly to develop and commercialize baricitinib for the treatment of COVID-19. As part of the amended agreement, in addition to the royalties described above, we will be entitled to receive additional royalty payments with rates in the low teens on global net sales of baricitinib for the treatment of COVID-19 that exceed a specified aggregate global net sales threshold.</w:t>
      </w:r>
    </w:p>
    <w:p>
      <w:pPr>
        <w:spacing w:after="0" w:line="171"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color w:val="auto"/>
        </w:rPr>
        <w:t>We had no milestone and contract revenue under the Lilly agreement for the three and nine months ended September 30, 2023. We had no milestone and contract revenue under the Lilly agreement for the three months ended September 30, 2022, and we had $70.0 million for the nine months ended September 30, 2022. Product royalty revenue related to Lilly net sales of OLUMIANT outside of the United States for the three and nine months ended September 30, 2023 was $29.6 million and $95.8 million, respectively. Product royalty revenue related to Lilly net sales of OLUMIANT outside of the United States for the three and nine months ended September 30, 2022 was $20.4 million and $98.7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Lilly - Ruxolitinib</w:t>
      </w:r>
    </w:p>
    <w:p>
      <w:pPr>
        <w:spacing w:after="0" w:line="217"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In March 2016, we entered into an amendment to the agreement with Lilly that amended the non-compete provision of the agreement to allow us to engage in the development and commercialization of ruxolitinib in the GVHD field. Lilly was eligible to receive up to $40.0 million in regulatory milestone payments relating to ruxolitinib in the GVHD field. In May 2019, the approval of JAKAFI in steroid-refractory acute GVHD triggered a $20.0 million milestone payment to Lilly. In March 2022, the positive recommendation from the European Medicines Agency for regulatory approval of ruxolitinib in the GVHD field triggered an additional $20.0 million milestone payment to Lilly, which was recorded as research and development expense in our condensed consolidated statements of operations for the three months ended March 31, 2022.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Agenus</w:t>
      </w:r>
    </w:p>
    <w:p>
      <w:pPr>
        <w:spacing w:after="0" w:line="217"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In January 2015, we entered into a License, Development and Commercialization Agreement with Agenus Inc. and its wholly-owned subsidiary, 4-Antibody AG (now known as Agenus Switzerland Inc.), which we collectively refer to as Agenus. Under this agreement, which was amended in February 2017, the parties have agreed to collaborate on the discovery of novel immuno-therapeutics using Agenus’ antibody discovery platforms.</w:t>
      </w:r>
    </w:p>
    <w:p>
      <w:pPr>
        <w:spacing w:after="0" w:line="13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Since the inception of the agreement through September 30, 2023, we have paid Agenus milestones totaling $30.0 million, and Agenus is eligible to receive up to an additional $500.0 million in future contingent development, regulatory and commercialization milestones across all programs in the collaboration.</w:t>
      </w:r>
    </w:p>
    <w:p>
      <w:pPr>
        <w:spacing w:after="0" w:line="188"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As of September 30, 2023, we held an investment of approximately 12.1 million shares of Agenus Inc. common stock. The fair market value of our long term investment in Agenus Inc. at September 30, 2023 and December 31, 2022 was $13.6 million and $29.0 million, respectively. For the three and nine months ended September 30, 2023, we recorded an unrealized loss of $5.6 million and $15.3 million, respectively, based on the change in fair value of Agenus Inc.’s common stock during the respective periods. For the three and nine months ended September 30, 2022, we recorded an unrealized gain of $1.3 million and an unrealized loss of $14.1 million, respectively, based on the change in fair value of Agenus Inc.’s common stock during the respective periods.</w:t>
      </w:r>
    </w:p>
    <w:p>
      <w:pPr>
        <w:spacing w:after="0" w:line="151"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During May 2023, Agenus Inc. distributed a dividend of shares it owned of its publicly traded subsidiary MiNK Therapeutics' ("MiNK") common stock to shareholders who held Agenus Inc. shares. As a result, we acquired approximately 0.2 million shares of MiNK common stock. The fair market value of our long term investment in MiNK at September 30, 2023 was $0.2 million. During the three and nine months ended September 30, 2023, we recorded an unrealized loss of $0.2 million and a nominal unrealized gain, respectively, based on the change in fair value of MiNK’s common stock during the period.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Merus</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December 2016, we entered into a Collaboration and License Agreement with Merus N.V. (“Merus”). Under this agreement, the parties have agreed to collaborate with respect to the research, discovery and development of bispecific antibodies utilizing Merus’ technology platform. The collaboration encompasses up to ten independent programs.</w:t>
      </w:r>
    </w:p>
    <w:p>
      <w:pPr>
        <w:spacing w:after="0" w:line="188"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In January 2023, we paid Merus a milestone of $2.5 million, which was recorded as research and development expense in our condensed consolidated statements of operations during the three months ended March 31, 2023. In August 2023, we paid Merus a milestone of $2.5 million, which was recorded as research and development expense in our condensed consolidated statements of operations during the three months ended September 30, 2023. Since the inception of the agreement through September 30, 2023, we have paid and expensed Merus milestones totaling $8.0 million.</w:t>
      </w:r>
    </w:p>
    <w:p>
      <w:pPr>
        <w:spacing w:after="0" w:line="146" w:lineRule="exact"/>
        <w:rPr>
          <w:sz w:val="20"/>
          <w:szCs w:val="20"/>
          <w:color w:val="auto"/>
        </w:rPr>
      </w:pPr>
    </w:p>
    <w:p>
      <w:pPr>
        <w:jc w:val="both"/>
        <w:ind w:firstLine="636"/>
        <w:spacing w:after="0" w:line="309" w:lineRule="auto"/>
        <w:rPr>
          <w:sz w:val="20"/>
          <w:szCs w:val="20"/>
          <w:color w:val="auto"/>
        </w:rPr>
      </w:pPr>
      <w:r>
        <w:rPr>
          <w:rFonts w:ascii="Arial" w:cs="Arial" w:eastAsia="Arial" w:hAnsi="Arial"/>
          <w:sz w:val="15"/>
          <w:szCs w:val="15"/>
          <w:color w:val="auto"/>
        </w:rPr>
        <w:t>During August 2023, we purchased approximately 0.5 million shares of Merus’ common shares for an aggregate purchase price of $10.0 million in cash. As of September 30, 2023, we held an investment of approximately 4.0 million common shares. The fair market value of our total long term investment in Merus at September 30, 2023 and December 31, 2022 was $94.4 million and $54.9 million, respectively. For the three and nine months ended September 30, 2023, we recorded an unrealized loss of $9.1 million and an unrealized gain of $29.5 million, respectively, based on the change in fair value of Merus’ common shares during the respective periods. For the three and nine months ended September 30, 2022, we recorded an unrealized loss of $9.3 million and $41.8 million, respectively, based on the change in fair value of Merus’ common shares during the respective periods.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MacroGenics</w:t>
      </w:r>
    </w:p>
    <w:p>
      <w:pPr>
        <w:spacing w:after="0" w:line="217" w:lineRule="exact"/>
        <w:rPr>
          <w:sz w:val="20"/>
          <w:szCs w:val="20"/>
          <w:color w:val="auto"/>
        </w:rPr>
      </w:pPr>
    </w:p>
    <w:p>
      <w:pPr>
        <w:jc w:val="both"/>
        <w:ind w:firstLine="636"/>
        <w:spacing w:after="0" w:line="309" w:lineRule="auto"/>
        <w:rPr>
          <w:sz w:val="20"/>
          <w:szCs w:val="20"/>
          <w:color w:val="auto"/>
        </w:rPr>
      </w:pPr>
      <w:r>
        <w:rPr>
          <w:rFonts w:ascii="Arial" w:cs="Arial" w:eastAsia="Arial" w:hAnsi="Arial"/>
          <w:sz w:val="15"/>
          <w:szCs w:val="15"/>
          <w:color w:val="auto"/>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w:t>
      </w:r>
    </w:p>
    <w:p>
      <w:pPr>
        <w:spacing w:after="0" w:line="152"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In July 2022, we amended our agreement with MacroGenics to reflect changes related to the payment of certain milestones and paid MacroGenics $30.0 million, which was previously recorded as research and development expense in our condensed consolidated statements of operations in the third quarter of 2022. In March 2023, we made a $15.0 million regulatory milestone payment to MacroGenics for the FDA approval of ZYNYZ for the treatment of adults with Merkel cell carcinoma. This milestone payment was capitalized as an intangible asset and included in Other intangible assets, net on the condensed consolidated balance sheet as of September 30, 2023, and is being amortized through cost of product revenues over the estimated useful life of 13.5 years.</w:t>
      </w:r>
    </w:p>
    <w:p>
      <w:pPr>
        <w:spacing w:after="0" w:line="151"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Since the inception of the agreement through September 30, 2023, we have paid MacroGenics developmental and regulatory milestones totaling $115.0 million. After the amendment and subsequent payments, MacroGenics will be eligible to receive up to an additional $320.0 million in future contingent development and regulatory milestones, and up to $330.0 million in sales milestones as well as tiered royalties ranging from 15% to 24% of global net sales.</w:t>
      </w:r>
    </w:p>
    <w:p>
      <w:pPr>
        <w:spacing w:after="0" w:line="137"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Research and development expenses for the three and nine months ended September 30, 2023 also included $12.9 million and $42.8 million, respectively, of development costs incurred pursuant to the MacroGenics agreement. Research and development expenses for the three and nine months ended September 30, 2022 also included $41.6 million and $69.9 million, respectively, of development costs incurred pursuant to the MacroGenics agreement. At September 30, 2023 and December 31, 2022, a total of $0.8 million and $2.9 million of such costs were included in accrued and other liabilities on the condensed consolidated balance sheets.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Syros</w:t>
      </w:r>
    </w:p>
    <w:p>
      <w:pPr>
        <w:spacing w:after="0" w:line="217"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In January 2018, we entered into a Target Discovery, Research Collaboration and Option Agreement with Syros Pharmaceuticals, Inc. (“Syros”). Under this agreement, Syros would use its proprietary gene control platform to identify novel therapeutic targets with a focus in myeloproliferative neoplasms and we had received options to obtain exclusive worldwide rights to intellectual property resulting from the collaboration for up to seven validated targets. In August 2023, we terminated the Target Discovery, Research Collaboration and Option Agreement with Syros, effective as of October 10, 2023.</w:t>
      </w:r>
    </w:p>
    <w:p>
      <w:pPr>
        <w:spacing w:after="0" w:line="146"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As of September 30, 2023, we held an investment of approximately 0.1 million shares of Syros common stock. The fair market value of our long term investment in Syros as of September 30, 2023 and December 31, 2022 was $0.4 million and $0.3 million, respectively. For the three and nine months ended September 30, 2023, we recorded a unrealized gain of $0.1 million and a nominal unrealized gain, respectively, based on the change in fair value of Syros’ common stock during the respective periods. For the three and nine months ended September 30, 2022, we recorded an unrealized loss of $0.3 million and $2.5 million, respectively, based on the change in fair value of Syros’ common stock during the respective periods.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MorphoSys</w:t>
      </w:r>
    </w:p>
    <w:p>
      <w:pPr>
        <w:spacing w:after="0" w:line="217"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color w:val="auto"/>
        </w:rPr>
        <w:t>In January 2020, we entered into a Collaboration and License Agreement with MorphoSys AG and MorphoSys US Inc., a wholly-owned subsidiary of MorphoSys AG (together with MorphoSys AG, “MorphoSys”), covering the worldwide development and commercialization of MOR208 (tafasitamab), an investigational Fc engineered monoclonal antibody directed against the target molecule CD19 that was under clinical development by MorphoSys at the beginning of the agreement, and has subsequently been commercialized as MONJUVI/MINJUVI. MorphoSys has exclusive worldwide development and commercialization rights to tafasitamab under a June 2010 collaboration and license agreement with Xencor, Inc.</w:t>
      </w:r>
    </w:p>
    <w:p>
      <w:pPr>
        <w:spacing w:after="0" w:line="181" w:lineRule="exact"/>
        <w:rPr>
          <w:sz w:val="20"/>
          <w:szCs w:val="20"/>
          <w:color w:val="auto"/>
        </w:rPr>
      </w:pPr>
    </w:p>
    <w:p>
      <w:pPr>
        <w:jc w:val="both"/>
        <w:ind w:firstLine="636"/>
        <w:spacing w:after="0" w:line="303" w:lineRule="auto"/>
        <w:rPr>
          <w:sz w:val="20"/>
          <w:szCs w:val="20"/>
          <w:color w:val="auto"/>
        </w:rPr>
      </w:pPr>
      <w:r>
        <w:rPr>
          <w:rFonts w:ascii="Arial" w:cs="Arial" w:eastAsia="Arial" w:hAnsi="Arial"/>
          <w:sz w:val="15"/>
          <w:szCs w:val="15"/>
          <w:color w:val="auto"/>
        </w:rPr>
        <w:t>Under the terms of the agreement, we received exclusive commercialization rights outside of the United States, and MorphoSys and we have co-commercialization rights in the United States, with respect to tafasitamab. MorphoSys is responsible for leading the commercialization strategy and booking all revenue from sales of tafasitamab in the United States, and we and MorphoSys are both responsible for commercialization efforts in the United States and will share equally the profits and losses from the co-commercialization efforts. We will lead the commercialization strategy outside of the United States, and will be responsible for commercialization efforts and book all revenue from sales of tafasitamab outside of the United States, subject to our royalty payment obligations set forth below. We and MorphoSys have agreed to co-develop tafasitamab and to share development costs associated with global and U.S.-specific clinical trials, with Incyte responsible for 55% of such costs and MorphoSys responsible for 45% of such costs. Each company is responsible for funding any independent development activities, and we are responsible for funding development activities specific to territories outside of the United States. All development costs related to the collaboration are subject to a joint development plan.</w:t>
      </w:r>
    </w:p>
    <w:p>
      <w:pPr>
        <w:spacing w:after="0" w:line="160" w:lineRule="exact"/>
        <w:rPr>
          <w:sz w:val="20"/>
          <w:szCs w:val="20"/>
          <w:color w:val="auto"/>
        </w:rPr>
      </w:pPr>
    </w:p>
    <w:p>
      <w:pPr>
        <w:jc w:val="both"/>
        <w:ind w:firstLine="636"/>
        <w:spacing w:after="0" w:line="309" w:lineRule="auto"/>
        <w:rPr>
          <w:sz w:val="20"/>
          <w:szCs w:val="20"/>
          <w:color w:val="auto"/>
        </w:rPr>
      </w:pPr>
      <w:r>
        <w:rPr>
          <w:rFonts w:ascii="Arial" w:cs="Arial" w:eastAsia="Arial" w:hAnsi="Arial"/>
          <w:sz w:val="15"/>
          <w:szCs w:val="15"/>
          <w:color w:val="auto"/>
        </w:rPr>
        <w:t>MorphoSys is eligible to receive up to $737.5 million in future contingent development and regulatory milestones and up to $315.0 million in commercialization milestones as well as tiered royalties ranging from the mid-teens to mid-twenties of net sales outside of the United States. MorphoSys’ right to receive royalties in any particular country will expire upon the last to occur of (a) the expiration of patent rights in that particular country, (b) a specified period of time after the first post-marketing authorization sale of a licensed product comprising tafasitamab in that country, and (c) the expiration of any regulatory exclusivity for that licensed product in that country. Since the inception of the agreement through September 30, 2023, we have paid MorphoSys milestones totaling $2.5 million, all of which have previously been recorded as research and development expenses.</w:t>
      </w:r>
    </w:p>
    <w:p>
      <w:pPr>
        <w:spacing w:after="0" w:line="152"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As of September 30, 2023, we held an investment of approximately 3.6 million American Depository Shares, each representing 0.25 of an ordinary share of MorphoSys AG. The fair market value of our long term investment in MorphoSys AG as of September 30, 2023 and December 31, 2022 was $24.4 million and $13.0 million, respectively. For the three and nine months ended September 30, 2023, we recorded an unrealized loss of $2.7 million and an unrealized gain of $11.4 million, respectively, based on the change in fair value of MorphoSys AG's ordinary shares during the respective periods. For the three and nine months ended September 30, 2022, we recorded an unrealized gain of $0.8 million and an unrealized loss of $15.9 million, respectively, based on the change in fair value of MorphoSys AG's ordinary shares during the respective periods.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303" w:lineRule="auto"/>
        <w:rPr>
          <w:sz w:val="20"/>
          <w:szCs w:val="20"/>
          <w:color w:val="auto"/>
        </w:rPr>
      </w:pPr>
      <w:r>
        <w:rPr>
          <w:rFonts w:ascii="Arial" w:cs="Arial" w:eastAsia="Arial" w:hAnsi="Arial"/>
          <w:sz w:val="15"/>
          <w:szCs w:val="15"/>
          <w:color w:val="auto"/>
        </w:rPr>
        <w:t>Our 50% share of the United States loss or profit for the commercialization of tafasitamab for the three and nine months ended September 30, 2023 was a loss of $1.1 million and profit of $0.9 million, respectively, and is recorded as loss and (profit) sharing under collaboration agreements on the condensed consolidated statement of operations. Our 50% share of the United States loss for the commercialization of tafasitamab for the three and nine months ended September 30, 2022 was $1.8 million and $9.1 million, respectively, and is recorded as loss and (profit) sharing under collaboration agreements on the condensed consolidated statement of operations. Research and development expenses for the three and nine months ended September 30, 2023, includes $13.0 million and $58.5 million, respectively, related to our 55% share of the co-development costs for tafasitamab. Research and development expenses for the three and nine months ended September 30, 2022, includes $21.9 million and $70.4 million, respectively, related to our 55% share of the co-development costs for tafasitamab. At September 30, 2023 and December 31, 2022, $12.4 million and $28.5 million, respectively, was included in accrued and other liabilities on the condensed consolidated balance sheets for amounts due to MorphoSys under the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Syndax</w:t>
      </w:r>
    </w:p>
    <w:p>
      <w:pPr>
        <w:spacing w:after="0" w:line="217"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In September 2021, we entered into a Collaboration and License Agreement with Syndax Pharmaceuticals, Inc. (“Syndax”), covering the worldwide development and commercialization of SNDX-6352 (“axatilimab”). The agreement became effective in December 2021. Axatilimab, which is currently in clinical development, is a monoclonal antibody that blocks the colony stimulating factor-1 (CSF-1) receptor. Syndax obtained exclusive worldwide development and commercialization rights to axatilimab under a June 2016 license agreement with UCB Biopharma Sprl.</w:t>
      </w:r>
    </w:p>
    <w:p>
      <w:pPr>
        <w:spacing w:after="0" w:line="177"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Under the terms of our agreement with Syndax, we received exclusive commercialization rights to axatilimab outside of the United States, and share commercialization rights in the United States. We are responsible for leading the commercialization strategy and booking all revenue from sales of axatilimab globally. Incyte and Syndax will share equally the profits and losses from the co-commercialization efforts in the United States. Sales of axatilimab outside the United States will be subject to our royalty payment obligations to Syndax, as set forth below. We and Syndax have agreed to co-develop axatilimab and to share development costs associated with global and U.S.-specific clinical trials, with Incyte responsible for 55% of such costs and Syndax responsible for 45% of such costs. Each company is responsible for funding any independent development activities. All development costs related to the collaboration are subject to a joint development plan.</w:t>
      </w:r>
    </w:p>
    <w:p>
      <w:pPr>
        <w:spacing w:after="0" w:line="199"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In December 2021, we paid Syndax an upfront, non-refundable payment of $117.0 million, which was recorded in research and development expense on the consolidated statement of operations for the year ended December 31, 2021. Syndax is eligible to receive up to $220.0 million in future contingent development and regulatory milestones and up to $230.0 million in sales milestones as well as tiered royalties ranging in the mid-teens on net sales in Europe and Japan and low double digit percentage on net sales in the rest of the world outside of the United States. Syndax’s right to receive royalties in any particular country will expire upon the last to occur of (a) the expiration of patent rights in that particular country, (b) a specified period of time after the first post-marketing authorization sale of a licensed product comprising axatilimab in that country, and (c) the expiration of any regulatory exclusivity for that licensed product in that country.</w:t>
      </w:r>
    </w:p>
    <w:p>
      <w:pPr>
        <w:spacing w:after="0" w:line="199"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color w:val="auto"/>
        </w:rPr>
        <w:t>As of September 30, 2023, we held an investment of approximately 1.4 million shares of Syndax common stock. The fair market value of our long term investment in Syndax as of September 30, 2023 and December 31, 2022 was $20.6 million and $36.2 million. For the three and nine months ended September 30, 2023, we recorded an unrealized loss of $9.2 million and $15.6 million, respectively, based on the change in fair value of Syndax’s common stock during the respective periods. For the three and nine months ended September 30, 2022, we recorded an unrealized gain of $6.8 million and $3.1 million, respectively, based on the change in fair value of Syndax’s common stock during the respective periods.</w:t>
      </w:r>
    </w:p>
    <w:p>
      <w:pPr>
        <w:spacing w:after="0" w:line="18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Research and development expenses for the three and nine months ended September 30, 2023, includes $5.1 million and $16.9 million, respectively, related to our 55% share of the co-development costs for axatilimab. At September 30, 2023, $7.3 million was included in accrued and other liabilities on the condensed consolidated balance sheet for amounts due to Syndax under the agreement.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17"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In addition to the license and collaboration agreements discussed above, we have various other license and collaboration agreements that are not individually material to our operating results or financial condition at this time. Pursuant to the terms of those agreements, we may be required to pay, or we may receive, additional amounts contingent upon the occurrence of various future events such as future discovery, development, regulatory or commercial milestones, which in the aggregate could be material. In addition, if any products related to these collaborations are approved for sale, we may be required to pay, or we may receive, royalties on future sales. The payment or receipt of these amounts, however, is contingent upon the occurrence of various future events, the likelihood of which cannot presently be determined.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and Equipment, net</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4"/>
                <w:szCs w:val="14"/>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22,734</w:t>
            </w:r>
          </w:p>
        </w:tc>
        <w:tc>
          <w:tcPr>
            <w:tcW w:w="0" w:type="dxa"/>
            <w:vAlign w:val="bottom"/>
          </w:tcPr>
          <w:p>
            <w:pPr>
              <w:spacing w:after="0"/>
              <w:rPr>
                <w:sz w:val="1"/>
                <w:szCs w:val="1"/>
                <w:color w:val="auto"/>
              </w:rPr>
            </w:pPr>
          </w:p>
        </w:tc>
      </w:tr>
      <w:tr>
        <w:trPr>
          <w:trHeight w:val="265"/>
        </w:trPr>
        <w:tc>
          <w:tcPr>
            <w:tcW w:w="8180" w:type="dxa"/>
            <w:vAlign w:val="bottom"/>
          </w:tcPr>
          <w:p>
            <w:pPr>
              <w:ind w:left="20"/>
              <w:spacing w:after="0"/>
              <w:rPr>
                <w:sz w:val="20"/>
                <w:szCs w:val="20"/>
                <w:color w:val="auto"/>
              </w:rPr>
            </w:pPr>
            <w:r>
              <w:rPr>
                <w:rFonts w:ascii="Arial" w:cs="Arial" w:eastAsia="Arial" w:hAnsi="Arial"/>
                <w:sz w:val="18"/>
                <w:szCs w:val="18"/>
                <w:color w:val="auto"/>
              </w:rPr>
              <w:t>Laboratory equipment</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205,466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192,141</w:t>
            </w:r>
          </w:p>
        </w:tc>
        <w:tc>
          <w:tcPr>
            <w:tcW w:w="0" w:type="dxa"/>
            <w:vAlign w:val="bottom"/>
          </w:tcPr>
          <w:p>
            <w:pPr>
              <w:spacing w:after="0"/>
              <w:rPr>
                <w:sz w:val="1"/>
                <w:szCs w:val="1"/>
                <w:color w:val="auto"/>
              </w:rPr>
            </w:pPr>
          </w:p>
        </w:tc>
      </w:tr>
      <w:tr>
        <w:trPr>
          <w:trHeight w:val="26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142,888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92,115</w:t>
            </w:r>
          </w:p>
        </w:tc>
        <w:tc>
          <w:tcPr>
            <w:tcW w:w="0" w:type="dxa"/>
            <w:vAlign w:val="bottom"/>
          </w:tcPr>
          <w:p>
            <w:pPr>
              <w:spacing w:after="0"/>
              <w:rPr>
                <w:sz w:val="1"/>
                <w:szCs w:val="1"/>
                <w:color w:val="auto"/>
              </w:rPr>
            </w:pPr>
          </w:p>
        </w:tc>
      </w:tr>
      <w:tr>
        <w:trPr>
          <w:trHeight w:val="265"/>
        </w:trPr>
        <w:tc>
          <w:tcPr>
            <w:tcW w:w="8180" w:type="dxa"/>
            <w:vAlign w:val="bottom"/>
          </w:tcPr>
          <w:p>
            <w:pPr>
              <w:ind w:left="20"/>
              <w:spacing w:after="0"/>
              <w:rPr>
                <w:sz w:val="20"/>
                <w:szCs w:val="20"/>
                <w:color w:val="auto"/>
              </w:rPr>
            </w:pPr>
            <w:r>
              <w:rPr>
                <w:rFonts w:ascii="Arial" w:cs="Arial" w:eastAsia="Arial" w:hAnsi="Arial"/>
                <w:sz w:val="18"/>
                <w:szCs w:val="18"/>
                <w:color w:val="auto"/>
              </w:rPr>
              <w:t>Land</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10,484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10,429</w:t>
            </w:r>
          </w:p>
        </w:tc>
        <w:tc>
          <w:tcPr>
            <w:tcW w:w="0" w:type="dxa"/>
            <w:vAlign w:val="bottom"/>
          </w:tcPr>
          <w:p>
            <w:pPr>
              <w:spacing w:after="0"/>
              <w:rPr>
                <w:sz w:val="1"/>
                <w:szCs w:val="1"/>
                <w:color w:val="auto"/>
              </w:rPr>
            </w:pPr>
          </w:p>
        </w:tc>
      </w:tr>
      <w:tr>
        <w:trPr>
          <w:trHeight w:val="26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and leasehold improvements</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568,733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564,170</w:t>
            </w:r>
          </w:p>
        </w:tc>
        <w:tc>
          <w:tcPr>
            <w:tcW w:w="0" w:type="dxa"/>
            <w:vAlign w:val="bottom"/>
          </w:tcPr>
          <w:p>
            <w:pPr>
              <w:spacing w:after="0"/>
              <w:rPr>
                <w:sz w:val="1"/>
                <w:szCs w:val="1"/>
                <w:color w:val="auto"/>
              </w:rPr>
            </w:pPr>
          </w:p>
        </w:tc>
      </w:tr>
      <w:tr>
        <w:trPr>
          <w:trHeight w:val="265"/>
        </w:trPr>
        <w:tc>
          <w:tcPr>
            <w:tcW w:w="81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21,938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23,311</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47,224</w:t>
            </w:r>
          </w:p>
        </w:tc>
        <w:tc>
          <w:tcPr>
            <w:tcW w:w="0" w:type="dxa"/>
            <w:vAlign w:val="bottom"/>
          </w:tcPr>
          <w:p>
            <w:pPr>
              <w:spacing w:after="0"/>
              <w:rPr>
                <w:sz w:val="1"/>
                <w:szCs w:val="1"/>
                <w:color w:val="auto"/>
              </w:rPr>
            </w:pPr>
          </w:p>
        </w:tc>
      </w:tr>
      <w:tr>
        <w:trPr>
          <w:trHeight w:val="219"/>
        </w:trPr>
        <w:tc>
          <w:tcPr>
            <w:tcW w:w="8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986,311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952,124</w:t>
            </w:r>
          </w:p>
        </w:tc>
        <w:tc>
          <w:tcPr>
            <w:tcW w:w="0" w:type="dxa"/>
            <w:vAlign w:val="bottom"/>
          </w:tcPr>
          <w:p>
            <w:pPr>
              <w:spacing w:after="0"/>
              <w:rPr>
                <w:sz w:val="1"/>
                <w:szCs w:val="1"/>
                <w:color w:val="auto"/>
              </w:rPr>
            </w:pPr>
          </w:p>
        </w:tc>
      </w:tr>
      <w:tr>
        <w:trPr>
          <w:trHeight w:val="26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4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(253,265)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(212,814)</w:t>
            </w:r>
          </w:p>
        </w:tc>
        <w:tc>
          <w:tcPr>
            <w:tcW w:w="0" w:type="dxa"/>
            <w:vAlign w:val="bottom"/>
          </w:tcPr>
          <w:p>
            <w:pPr>
              <w:spacing w:after="0"/>
              <w:rPr>
                <w:sz w:val="1"/>
                <w:szCs w:val="1"/>
                <w:color w:val="auto"/>
              </w:rPr>
            </w:pPr>
          </w:p>
        </w:tc>
      </w:tr>
      <w:tr>
        <w:trPr>
          <w:trHeight w:val="219"/>
        </w:trPr>
        <w:tc>
          <w:tcPr>
            <w:tcW w:w="81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733,046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739,310</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8"/>
                <w:szCs w:val="18"/>
                <w:b w:val="1"/>
                <w:bCs w:val="1"/>
                <w:color w:val="auto"/>
              </w:rPr>
              <w:t>Note 9. Accrued and Other Current Liabilities</w:t>
            </w: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81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180" w:type="dxa"/>
            <w:vAlign w:val="bottom"/>
          </w:tcPr>
          <w:p>
            <w:pPr>
              <w:ind w:left="640"/>
              <w:spacing w:after="0"/>
              <w:rPr>
                <w:sz w:val="20"/>
                <w:szCs w:val="20"/>
                <w:color w:val="auto"/>
              </w:rPr>
            </w:pPr>
            <w:r>
              <w:rPr>
                <w:rFonts w:ascii="Arial" w:cs="Arial" w:eastAsia="Arial" w:hAnsi="Arial"/>
                <w:sz w:val="18"/>
                <w:szCs w:val="18"/>
                <w:color w:val="auto"/>
              </w:rPr>
              <w:t>Accrued and other current liabilities consisted of the following (in thousands):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24"/>
                <w:szCs w:val="24"/>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1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52"/>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354,947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263,466</w:t>
            </w:r>
          </w:p>
        </w:tc>
        <w:tc>
          <w:tcPr>
            <w:tcW w:w="0" w:type="dxa"/>
            <w:vAlign w:val="bottom"/>
          </w:tcPr>
          <w:p>
            <w:pPr>
              <w:spacing w:after="0"/>
              <w:rPr>
                <w:sz w:val="1"/>
                <w:szCs w:val="1"/>
                <w:color w:val="auto"/>
              </w:rPr>
            </w:pPr>
          </w:p>
        </w:tc>
      </w:tr>
      <w:tr>
        <w:trPr>
          <w:trHeight w:val="258"/>
        </w:trPr>
        <w:tc>
          <w:tcPr>
            <w:tcW w:w="8180" w:type="dxa"/>
            <w:vAlign w:val="bottom"/>
          </w:tcPr>
          <w:p>
            <w:pPr>
              <w:ind w:left="20"/>
              <w:spacing w:after="0"/>
              <w:rPr>
                <w:sz w:val="20"/>
                <w:szCs w:val="20"/>
                <w:color w:val="auto"/>
              </w:rPr>
            </w:pPr>
            <w:r>
              <w:rPr>
                <w:rFonts w:ascii="Arial" w:cs="Arial" w:eastAsia="Arial" w:hAnsi="Arial"/>
                <w:sz w:val="18"/>
                <w:szCs w:val="18"/>
                <w:color w:val="auto"/>
              </w:rPr>
              <w:t>Clinical related costs</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100,282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130,570</w:t>
            </w:r>
          </w:p>
        </w:tc>
        <w:tc>
          <w:tcPr>
            <w:tcW w:w="0" w:type="dxa"/>
            <w:vAlign w:val="bottom"/>
          </w:tcPr>
          <w:p>
            <w:pPr>
              <w:spacing w:after="0"/>
              <w:rPr>
                <w:sz w:val="1"/>
                <w:szCs w:val="1"/>
                <w:color w:val="auto"/>
              </w:rPr>
            </w:pPr>
          </w:p>
        </w:tc>
      </w:tr>
      <w:tr>
        <w:trPr>
          <w:trHeight w:val="25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allowances</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231,885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192,133</w:t>
            </w:r>
          </w:p>
        </w:tc>
        <w:tc>
          <w:tcPr>
            <w:tcW w:w="0" w:type="dxa"/>
            <w:vAlign w:val="bottom"/>
          </w:tcPr>
          <w:p>
            <w:pPr>
              <w:spacing w:after="0"/>
              <w:rPr>
                <w:sz w:val="1"/>
                <w:szCs w:val="1"/>
                <w:color w:val="auto"/>
              </w:rPr>
            </w:pPr>
          </w:p>
        </w:tc>
      </w:tr>
      <w:tr>
        <w:trPr>
          <w:trHeight w:val="258"/>
        </w:trPr>
        <w:tc>
          <w:tcPr>
            <w:tcW w:w="81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36,697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31,149</w:t>
            </w:r>
          </w:p>
        </w:tc>
        <w:tc>
          <w:tcPr>
            <w:tcW w:w="0" w:type="dxa"/>
            <w:vAlign w:val="bottom"/>
          </w:tcPr>
          <w:p>
            <w:pPr>
              <w:spacing w:after="0"/>
              <w:rPr>
                <w:sz w:val="1"/>
                <w:szCs w:val="1"/>
                <w:color w:val="auto"/>
              </w:rPr>
            </w:pPr>
          </w:p>
        </w:tc>
      </w:tr>
      <w:tr>
        <w:trPr>
          <w:trHeight w:val="272"/>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r>
        <w:trPr>
          <w:trHeight w:val="245"/>
        </w:trPr>
        <w:tc>
          <w:tcPr>
            <w:tcW w:w="81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8,195</w:t>
            </w:r>
          </w:p>
        </w:tc>
        <w:tc>
          <w:tcPr>
            <w:tcW w:w="0" w:type="dxa"/>
            <w:vAlign w:val="bottom"/>
          </w:tcPr>
          <w:p>
            <w:pPr>
              <w:spacing w:after="0"/>
              <w:rPr>
                <w:sz w:val="1"/>
                <w:szCs w:val="1"/>
                <w:color w:val="auto"/>
              </w:rPr>
            </w:pPr>
          </w:p>
        </w:tc>
      </w:tr>
      <w:tr>
        <w:trPr>
          <w:trHeight w:val="26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90,604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72,047</w:t>
            </w:r>
          </w:p>
        </w:tc>
        <w:tc>
          <w:tcPr>
            <w:tcW w:w="0" w:type="dxa"/>
            <w:vAlign w:val="bottom"/>
          </w:tcPr>
          <w:p>
            <w:pPr>
              <w:spacing w:after="0"/>
              <w:rPr>
                <w:sz w:val="1"/>
                <w:szCs w:val="1"/>
                <w:color w:val="auto"/>
              </w:rPr>
            </w:pPr>
          </w:p>
        </w:tc>
      </w:tr>
      <w:tr>
        <w:trPr>
          <w:trHeight w:val="251"/>
        </w:trPr>
        <w:tc>
          <w:tcPr>
            <w:tcW w:w="8180" w:type="dxa"/>
            <w:vAlign w:val="bottom"/>
          </w:tcPr>
          <w:p>
            <w:pPr>
              <w:ind w:left="20"/>
              <w:spacing w:after="0"/>
              <w:rPr>
                <w:sz w:val="20"/>
                <w:szCs w:val="20"/>
                <w:color w:val="auto"/>
              </w:rPr>
            </w:pPr>
            <w:r>
              <w:rPr>
                <w:rFonts w:ascii="Arial" w:cs="Arial" w:eastAsia="Arial" w:hAnsi="Arial"/>
                <w:sz w:val="18"/>
                <w:szCs w:val="18"/>
                <w:color w:val="auto"/>
              </w:rPr>
              <w:t>Total accrued and other current liabilities</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820,607</w:t>
            </w:r>
          </w:p>
        </w:tc>
        <w:tc>
          <w:tcPr>
            <w:tcW w:w="10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701,053</w:t>
            </w:r>
          </w:p>
        </w:tc>
        <w:tc>
          <w:tcPr>
            <w:tcW w:w="0" w:type="dxa"/>
            <w:vAlign w:val="bottom"/>
          </w:tcPr>
          <w:p>
            <w:pPr>
              <w:spacing w:after="0"/>
              <w:rPr>
                <w:sz w:val="1"/>
                <w:szCs w:val="1"/>
                <w:color w:val="auto"/>
              </w:rPr>
            </w:pPr>
          </w:p>
        </w:tc>
      </w:tr>
      <w:tr>
        <w:trPr>
          <w:trHeight w:val="21"/>
        </w:trPr>
        <w:tc>
          <w:tcPr>
            <w:tcW w:w="8180" w:type="dxa"/>
            <w:vAlign w:val="bottom"/>
            <w:vMerge w:val="restart"/>
          </w:tcPr>
          <w:p>
            <w:pPr>
              <w:ind w:left="554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0"/>
        </w:trPr>
        <w:tc>
          <w:tcPr>
            <w:tcW w:w="81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8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 Compensation</w:t>
      </w:r>
    </w:p>
    <w:p>
      <w:pPr>
        <w:spacing w:after="0" w:line="223"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7"/>
          <w:szCs w:val="17"/>
          <w:color w:val="auto"/>
        </w:rPr>
        <w:t>We recorded $48.0 million and $155.9 million of stock compensation expense on our condensed consolidated statements of operations for the three and nine months ended September 30, 2023, respectively. We recorded $45.4 million and $135.7 million of stock compensation expense on our condensed consolidated statements of operations for the three and nine months ended September 30, 2022, respectively. Stock compensation expense included within our condensed consolidated statements of operations included research and development expense of $26.9 million, $90.7 million, $25.8 million and $80.2 million for the three and nine months ended September 30, 2023 and 2022, respectively. Stock compensation expense included within our condensed consolidated statements of operations also included selling, general and administrative expense of $20.3 million, $62.8 million, $18.9 million and $53.5 million for the three and nine months ended September 30, 2023 and 2022, respectively. Stock compensation expense included within our condensed consolidated statements of operations also included cost of product revenues of $0.8 million, $2.4 million, $0.7 million and $2.0 million, respectively, for the three and nine months ended September 30, 2023 and 2022.</w:t>
      </w:r>
    </w:p>
    <w:p>
      <w:pPr>
        <w:spacing w:after="0" w:line="18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We utilized the Black-Scholes valuation model for estimating the fair value of the stock compensation granted, with the following weighted-average assumptions:</w:t>
      </w:r>
    </w:p>
    <w:p>
      <w:pPr>
        <w:sectPr>
          <w:pgSz w:w="11900" w:h="16838" w:orient="portrait"/>
          <w:cols w:equalWidth="0" w:num="1">
            <w:col w:w="11240"/>
          </w:cols>
          <w:pgMar w:left="320" w:top="127" w:right="339" w:bottom="1440" w:gutter="0" w:footer="0" w:header="0"/>
        </w:sectPr>
      </w:pPr>
    </w:p>
    <w:p>
      <w:pPr>
        <w:spacing w:after="0" w:line="210"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Employee Stock Options</w:t>
      </w:r>
    </w:p>
    <w:p>
      <w:pPr>
        <w:spacing w:after="0" w:line="27" w:lineRule="exact"/>
        <w:rPr>
          <w:sz w:val="20"/>
          <w:szCs w:val="20"/>
          <w:color w:val="auto"/>
        </w:rPr>
      </w:pPr>
    </w:p>
    <w:tbl>
      <w:tblPr>
        <w:tblLayout w:type="fixed"/>
        <w:tblInd w:w="2400" w:type="dxa"/>
        <w:tblCellMar>
          <w:top w:w="0" w:type="dxa"/>
          <w:left w:w="0" w:type="dxa"/>
          <w:bottom w:w="0" w:type="dxa"/>
          <w:right w:w="0" w:type="dxa"/>
        </w:tblCellMar>
      </w:tblPr>
      <w:tr>
        <w:trPr>
          <w:trHeight w:val="205"/>
        </w:trPr>
        <w:tc>
          <w:tcPr>
            <w:tcW w:w="2200" w:type="dxa"/>
            <w:vAlign w:val="bottom"/>
            <w:tcBorders>
              <w:top w:val="single" w:sz="8" w:color="auto"/>
              <w:bottom w:val="single" w:sz="8" w:color="auto"/>
            </w:tcBorders>
            <w:gridSpan w:val="2"/>
          </w:tcPr>
          <w:p>
            <w:pPr>
              <w:jc w:val="right"/>
              <w:ind w:right="169"/>
              <w:spacing w:after="0"/>
              <w:rPr>
                <w:sz w:val="20"/>
                <w:szCs w:val="20"/>
                <w:color w:val="auto"/>
              </w:rPr>
            </w:pPr>
            <w:r>
              <w:rPr>
                <w:rFonts w:ascii="Arial" w:cs="Arial" w:eastAsia="Arial" w:hAnsi="Arial"/>
                <w:sz w:val="14"/>
                <w:szCs w:val="14"/>
                <w:b w:val="1"/>
                <w:bCs w:val="1"/>
                <w:color w:val="auto"/>
              </w:rPr>
              <w:t>For the Three Months Ended</w:t>
            </w:r>
          </w:p>
        </w:tc>
        <w:tc>
          <w:tcPr>
            <w:tcW w:w="2160" w:type="dxa"/>
            <w:vAlign w:val="bottom"/>
            <w:tcBorders>
              <w:top w:val="single" w:sz="8" w:color="auto"/>
              <w:bottom w:val="single" w:sz="8" w:color="auto"/>
            </w:tcBorders>
            <w:gridSpan w:val="2"/>
          </w:tcPr>
          <w:p>
            <w:pPr>
              <w:jc w:val="right"/>
              <w:ind w:right="149"/>
              <w:spacing w:after="0"/>
              <w:rPr>
                <w:sz w:val="20"/>
                <w:szCs w:val="20"/>
                <w:color w:val="auto"/>
              </w:rPr>
            </w:pPr>
            <w:r>
              <w:rPr>
                <w:rFonts w:ascii="Arial" w:cs="Arial" w:eastAsia="Arial" w:hAnsi="Arial"/>
                <w:sz w:val="14"/>
                <w:szCs w:val="14"/>
                <w:b w:val="1"/>
                <w:bCs w:val="1"/>
                <w:color w:val="auto"/>
              </w:rPr>
              <w:t>For the Nine Months Ended</w:t>
            </w:r>
          </w:p>
        </w:tc>
      </w:tr>
      <w:tr>
        <w:trPr>
          <w:trHeight w:val="192"/>
        </w:trPr>
        <w:tc>
          <w:tcPr>
            <w:tcW w:w="10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right"/>
              <w:ind w:right="609"/>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r>
      <w:tr>
        <w:trPr>
          <w:trHeight w:val="184"/>
        </w:trPr>
        <w:tc>
          <w:tcPr>
            <w:tcW w:w="1080" w:type="dxa"/>
            <w:vAlign w:val="bottom"/>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120" w:type="dxa"/>
            <w:vAlign w:val="bottom"/>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100" w:type="dxa"/>
            <w:vAlign w:val="bottom"/>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060" w:type="dxa"/>
            <w:vAlign w:val="bottom"/>
          </w:tcPr>
          <w:p>
            <w:pPr>
              <w:jc w:val="right"/>
              <w:ind w:right="289"/>
              <w:spacing w:after="0"/>
              <w:rPr>
                <w:sz w:val="20"/>
                <w:szCs w:val="20"/>
                <w:color w:val="auto"/>
              </w:rPr>
            </w:pPr>
            <w:r>
              <w:rPr>
                <w:rFonts w:ascii="Arial" w:cs="Arial" w:eastAsia="Arial" w:hAnsi="Arial"/>
                <w:sz w:val="14"/>
                <w:szCs w:val="14"/>
                <w:b w:val="1"/>
                <w:bCs w:val="1"/>
                <w:color w:val="auto"/>
              </w:rPr>
              <w:t>2022</w:t>
            </w:r>
          </w:p>
        </w:tc>
      </w:tr>
    </w:tbl>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Employee Stock Purchase Plan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00" w:type="dxa"/>
            <w:vAlign w:val="bottom"/>
            <w:tcBorders>
              <w:top w:val="single" w:sz="8" w:color="auto"/>
              <w:bottom w:val="single" w:sz="8" w:color="auto"/>
            </w:tcBorders>
            <w:gridSpan w:val="2"/>
          </w:tcPr>
          <w:p>
            <w:pPr>
              <w:jc w:val="right"/>
              <w:ind w:right="189"/>
              <w:spacing w:after="0"/>
              <w:rPr>
                <w:sz w:val="20"/>
                <w:szCs w:val="20"/>
                <w:color w:val="auto"/>
              </w:rPr>
            </w:pPr>
            <w:r>
              <w:rPr>
                <w:rFonts w:ascii="Arial" w:cs="Arial" w:eastAsia="Arial" w:hAnsi="Arial"/>
                <w:sz w:val="14"/>
                <w:szCs w:val="14"/>
                <w:b w:val="1"/>
                <w:bCs w:val="1"/>
                <w:color w:val="auto"/>
              </w:rPr>
              <w:t>For the Three Months Ended</w:t>
            </w:r>
          </w:p>
        </w:tc>
        <w:tc>
          <w:tcPr>
            <w:tcW w:w="2160" w:type="dxa"/>
            <w:vAlign w:val="bottom"/>
            <w:tcBorders>
              <w:top w:val="single" w:sz="8" w:color="auto"/>
              <w:bottom w:val="single" w:sz="8" w:color="auto"/>
            </w:tcBorders>
            <w:gridSpan w:val="2"/>
          </w:tcPr>
          <w:p>
            <w:pPr>
              <w:jc w:val="right"/>
              <w:ind w:right="149"/>
              <w:spacing w:after="0"/>
              <w:rPr>
                <w:sz w:val="20"/>
                <w:szCs w:val="20"/>
                <w:color w:val="auto"/>
              </w:rPr>
            </w:pPr>
            <w:r>
              <w:rPr>
                <w:rFonts w:ascii="Arial" w:cs="Arial" w:eastAsia="Arial" w:hAnsi="Arial"/>
                <w:sz w:val="14"/>
                <w:szCs w:val="14"/>
                <w:b w:val="1"/>
                <w:bCs w:val="1"/>
                <w:color w:val="auto"/>
              </w:rPr>
              <w:t>For the Nine Months Ended</w:t>
            </w:r>
          </w:p>
        </w:tc>
      </w:tr>
      <w:tr>
        <w:trPr>
          <w:trHeight w:val="192"/>
        </w:trPr>
        <w:tc>
          <w:tcPr>
            <w:tcW w:w="10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right"/>
              <w:ind w:right="609"/>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r>
      <w:tr>
        <w:trPr>
          <w:trHeight w:val="184"/>
        </w:trPr>
        <w:tc>
          <w:tcPr>
            <w:tcW w:w="1060" w:type="dxa"/>
            <w:vAlign w:val="bottom"/>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140" w:type="dxa"/>
            <w:vAlign w:val="bottom"/>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080" w:type="dxa"/>
            <w:vAlign w:val="bottom"/>
          </w:tcPr>
          <w:p>
            <w:pPr>
              <w:jc w:val="right"/>
              <w:ind w:right="329"/>
              <w:spacing w:after="0"/>
              <w:rPr>
                <w:sz w:val="20"/>
                <w:szCs w:val="20"/>
                <w:color w:val="auto"/>
              </w:rPr>
            </w:pPr>
            <w:r>
              <w:rPr>
                <w:rFonts w:ascii="Arial" w:cs="Arial" w:eastAsia="Arial" w:hAnsi="Arial"/>
                <w:sz w:val="14"/>
                <w:szCs w:val="14"/>
                <w:b w:val="1"/>
                <w:bCs w:val="1"/>
                <w:color w:val="auto"/>
              </w:rPr>
              <w:t>2023</w:t>
            </w:r>
          </w:p>
        </w:tc>
        <w:tc>
          <w:tcPr>
            <w:tcW w:w="1080" w:type="dxa"/>
            <w:vAlign w:val="bottom"/>
          </w:tcPr>
          <w:p>
            <w:pPr>
              <w:jc w:val="right"/>
              <w:ind w:right="309"/>
              <w:spacing w:after="0"/>
              <w:rPr>
                <w:sz w:val="20"/>
                <w:szCs w:val="20"/>
                <w:color w:val="auto"/>
              </w:rPr>
            </w:pPr>
            <w:r>
              <w:rPr>
                <w:rFonts w:ascii="Arial" w:cs="Arial" w:eastAsia="Arial" w:hAnsi="Arial"/>
                <w:sz w:val="14"/>
                <w:szCs w:val="14"/>
                <w:b w:val="1"/>
                <w:bCs w:val="1"/>
                <w:color w:val="auto"/>
              </w:rPr>
              <w:t>2022</w:t>
            </w:r>
          </w:p>
        </w:tc>
      </w:tr>
    </w:tbl>
    <w:p>
      <w:pPr>
        <w:spacing w:after="0" w:line="1" w:lineRule="exact"/>
        <w:rPr>
          <w:sz w:val="20"/>
          <w:szCs w:val="20"/>
          <w:color w:val="auto"/>
        </w:rPr>
      </w:pPr>
    </w:p>
    <w:p>
      <w:pPr>
        <w:sectPr>
          <w:pgSz w:w="11900" w:h="16838" w:orient="portrait"/>
          <w:cols w:equalWidth="0" w:num="2">
            <w:col w:w="6760" w:space="100"/>
            <w:col w:w="438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Average risk-free interest rates</w:t>
            </w: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4.17 %</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2.90 %</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3.95 %</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5.03 %</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4.22 %</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3.44 %</w:t>
            </w:r>
          </w:p>
        </w:tc>
      </w:tr>
      <w:tr>
        <w:trPr>
          <w:trHeight w:val="225"/>
        </w:trPr>
        <w:tc>
          <w:tcPr>
            <w:tcW w:w="2400" w:type="dxa"/>
            <w:vAlign w:val="bottom"/>
          </w:tcPr>
          <w:p>
            <w:pPr>
              <w:ind w:left="20"/>
              <w:spacing w:after="0"/>
              <w:rPr>
                <w:sz w:val="20"/>
                <w:szCs w:val="20"/>
                <w:color w:val="auto"/>
              </w:rPr>
            </w:pPr>
            <w:r>
              <w:rPr>
                <w:rFonts w:ascii="Arial" w:cs="Arial" w:eastAsia="Arial" w:hAnsi="Arial"/>
                <w:sz w:val="18"/>
                <w:szCs w:val="18"/>
                <w:color w:val="auto"/>
                <w:w w:val="93"/>
              </w:rPr>
              <w:t>Average expected life (in years)</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26"/>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173"/>
        </w:trPr>
        <w:tc>
          <w:tcPr>
            <w:tcW w:w="2400" w:type="dxa"/>
            <w:vAlign w:val="bottom"/>
          </w:tcPr>
          <w:p>
            <w:pPr>
              <w:ind w:left="20"/>
              <w:spacing w:after="0" w:line="173" w:lineRule="exact"/>
              <w:rPr>
                <w:sz w:val="20"/>
                <w:szCs w:val="20"/>
                <w:color w:val="auto"/>
              </w:rPr>
            </w:pPr>
            <w:r>
              <w:rPr>
                <w:rFonts w:ascii="Arial" w:cs="Arial" w:eastAsia="Arial" w:hAnsi="Arial"/>
                <w:sz w:val="18"/>
                <w:szCs w:val="18"/>
                <w:color w:val="auto"/>
                <w:w w:val="94"/>
              </w:rPr>
              <w:t>Weighted-average fair value (in</w:t>
            </w: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37"/>
        </w:trPr>
        <w:tc>
          <w:tcPr>
            <w:tcW w:w="2400" w:type="dxa"/>
            <w:vAlign w:val="bottom"/>
          </w:tcPr>
          <w:p>
            <w:pPr>
              <w:ind w:left="20"/>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24.68</w:t>
            </w:r>
          </w:p>
        </w:tc>
        <w:tc>
          <w:tcPr>
            <w:tcW w:w="8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25.96</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15.36</w:t>
            </w:r>
          </w:p>
        </w:tc>
        <w:tc>
          <w:tcPr>
            <w:tcW w:w="8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15.38</w:t>
            </w:r>
          </w:p>
        </w:tc>
      </w:tr>
    </w:tbl>
    <w:p>
      <w:pPr>
        <w:spacing w:after="0" w:line="293"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Option activity under our 2010 Stock Incentive Plan (the “2010 Stock Plan”) was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060" w:type="dxa"/>
            <w:vAlign w:val="bottom"/>
            <w:gridSpan w:val="4"/>
          </w:tcPr>
          <w:p>
            <w:pPr>
              <w:jc w:val="right"/>
              <w:ind w:right="917"/>
              <w:spacing w:after="0"/>
              <w:rPr>
                <w:sz w:val="20"/>
                <w:szCs w:val="20"/>
                <w:color w:val="auto"/>
              </w:rPr>
            </w:pPr>
            <w:r>
              <w:rPr>
                <w:rFonts w:ascii="Arial" w:cs="Arial" w:eastAsia="Arial" w:hAnsi="Arial"/>
                <w:sz w:val="14"/>
                <w:szCs w:val="14"/>
                <w:b w:val="1"/>
                <w:bCs w:val="1"/>
                <w:color w:val="auto"/>
              </w:rPr>
              <w:t>Shares Subject to</w:t>
            </w:r>
          </w:p>
        </w:tc>
        <w:tc>
          <w:tcPr>
            <w:tcW w:w="0" w:type="dxa"/>
            <w:vAlign w:val="bottom"/>
          </w:tcPr>
          <w:p>
            <w:pPr>
              <w:spacing w:after="0"/>
              <w:rPr>
                <w:sz w:val="1"/>
                <w:szCs w:val="1"/>
                <w:color w:val="auto"/>
              </w:rPr>
            </w:pPr>
          </w:p>
        </w:tc>
      </w:tr>
      <w:tr>
        <w:trPr>
          <w:trHeight w:val="192"/>
        </w:trPr>
        <w:tc>
          <w:tcPr>
            <w:tcW w:w="81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817"/>
              <w:spacing w:after="0"/>
              <w:rPr>
                <w:sz w:val="20"/>
                <w:szCs w:val="20"/>
                <w:color w:val="auto"/>
              </w:rPr>
            </w:pPr>
            <w:r>
              <w:rPr>
                <w:rFonts w:ascii="Arial" w:cs="Arial" w:eastAsia="Arial" w:hAnsi="Arial"/>
                <w:sz w:val="14"/>
                <w:szCs w:val="14"/>
                <w:b w:val="1"/>
                <w:bCs w:val="1"/>
                <w:color w:val="auto"/>
              </w:rPr>
              <w:t>Outstanding Options</w:t>
            </w:r>
          </w:p>
        </w:tc>
        <w:tc>
          <w:tcPr>
            <w:tcW w:w="0" w:type="dxa"/>
            <w:vAlign w:val="bottom"/>
          </w:tcPr>
          <w:p>
            <w:pPr>
              <w:spacing w:after="0"/>
              <w:rPr>
                <w:sz w:val="1"/>
                <w:szCs w:val="1"/>
                <w:color w:val="auto"/>
              </w:rPr>
            </w:pPr>
          </w:p>
        </w:tc>
      </w:tr>
      <w:tr>
        <w:trPr>
          <w:trHeight w:val="133"/>
        </w:trPr>
        <w:tc>
          <w:tcPr>
            <w:tcW w:w="8180" w:type="dxa"/>
            <w:vAlign w:val="bottom"/>
          </w:tcPr>
          <w:p>
            <w:pPr>
              <w:spacing w:after="0"/>
              <w:rPr>
                <w:sz w:val="11"/>
                <w:szCs w:val="11"/>
                <w:color w:val="auto"/>
              </w:rPr>
            </w:pPr>
          </w:p>
        </w:tc>
        <w:tc>
          <w:tcPr>
            <w:tcW w:w="1480" w:type="dxa"/>
            <w:vAlign w:val="bottom"/>
            <w:vMerge w:val="restart"/>
          </w:tcPr>
          <w:p>
            <w:pPr>
              <w:jc w:val="right"/>
              <w:ind w:right="45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right"/>
              <w:ind w:right="117"/>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12,650,359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87.25</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1,324,295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70.76</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(231,417)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cancelled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(950,614)</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91.40</w:t>
            </w: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12,792,623</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Our annual stock option grants generally have a 10-year term and vest over four years, with 25% vesting after one year and the remainder vesting in 36 equal monthly installments.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Restricted stock unit (“RSU”) and performance share (“PSU”) award activity under the 2010 Stock Plan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060" w:type="dxa"/>
            <w:vAlign w:val="bottom"/>
            <w:gridSpan w:val="4"/>
          </w:tcPr>
          <w:p>
            <w:pPr>
              <w:jc w:val="right"/>
              <w:ind w:right="914"/>
              <w:spacing w:after="0"/>
              <w:rPr>
                <w:sz w:val="20"/>
                <w:szCs w:val="20"/>
                <w:color w:val="auto"/>
              </w:rPr>
            </w:pPr>
            <w:r>
              <w:rPr>
                <w:rFonts w:ascii="Arial" w:cs="Arial" w:eastAsia="Arial" w:hAnsi="Arial"/>
                <w:sz w:val="14"/>
                <w:szCs w:val="14"/>
                <w:b w:val="1"/>
                <w:bCs w:val="1"/>
                <w:color w:val="auto"/>
              </w:rPr>
              <w:t>Shares Subject to</w:t>
            </w:r>
          </w:p>
        </w:tc>
      </w:tr>
      <w:tr>
        <w:trPr>
          <w:trHeight w:val="189"/>
        </w:trPr>
        <w:tc>
          <w:tcPr>
            <w:tcW w:w="81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Outstanding Awards</w:t>
            </w:r>
          </w:p>
        </w:tc>
      </w:tr>
      <w:tr>
        <w:trPr>
          <w:trHeight w:val="191"/>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7"/>
              </w:rPr>
              <w:t>Grant Date Value</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5,187,592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RSUs 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3,510,406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65.41</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PSUs granted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RSUs released</w:t>
            </w:r>
          </w:p>
        </w:tc>
        <w:tc>
          <w:tcPr>
            <w:tcW w:w="1480" w:type="dxa"/>
            <w:vAlign w:val="bottom"/>
          </w:tcPr>
          <w:p>
            <w:pPr>
              <w:jc w:val="right"/>
              <w:spacing w:after="0"/>
              <w:rPr>
                <w:sz w:val="20"/>
                <w:szCs w:val="20"/>
                <w:color w:val="auto"/>
              </w:rPr>
            </w:pPr>
            <w:r>
              <w:rPr>
                <w:rFonts w:ascii="Arial" w:cs="Arial" w:eastAsia="Arial" w:hAnsi="Arial"/>
                <w:sz w:val="18"/>
                <w:szCs w:val="18"/>
                <w:color w:val="auto"/>
              </w:rPr>
              <w:t>(1,236,318)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83.57</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PSUs released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102.44</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RSUs cancelled</w:t>
            </w:r>
          </w:p>
        </w:tc>
        <w:tc>
          <w:tcPr>
            <w:tcW w:w="1480" w:type="dxa"/>
            <w:vAlign w:val="bottom"/>
          </w:tcPr>
          <w:p>
            <w:pPr>
              <w:jc w:val="right"/>
              <w:spacing w:after="0"/>
              <w:rPr>
                <w:sz w:val="20"/>
                <w:szCs w:val="20"/>
                <w:color w:val="auto"/>
              </w:rPr>
            </w:pPr>
            <w:r>
              <w:rPr>
                <w:rFonts w:ascii="Arial" w:cs="Arial" w:eastAsia="Arial" w:hAnsi="Arial"/>
                <w:sz w:val="18"/>
                <w:szCs w:val="18"/>
                <w:color w:val="auto"/>
              </w:rPr>
              <w:t>(303,726)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77.97</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PSUs cancelled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(52,392)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w:t>
            </w:r>
          </w:p>
        </w:tc>
      </w:tr>
      <w:tr>
        <w:trPr>
          <w:trHeight w:val="219"/>
        </w:trPr>
        <w:tc>
          <w:tcPr>
            <w:tcW w:w="8180" w:type="dxa"/>
            <w:vAlign w:val="bottom"/>
          </w:tcPr>
          <w:p>
            <w:pPr>
              <w:ind w:left="20"/>
              <w:spacing w:after="0"/>
              <w:rPr>
                <w:sz w:val="20"/>
                <w:szCs w:val="20"/>
                <w:color w:val="auto"/>
              </w:rPr>
            </w:pPr>
            <w:r>
              <w:rPr>
                <w:rFonts w:ascii="Arial" w:cs="Arial" w:eastAsia="Arial" w:hAnsi="Arial"/>
                <w:sz w:val="18"/>
                <w:szCs w:val="18"/>
                <w:color w:val="auto"/>
              </w:rPr>
              <w:t>Balance at September 30, 2023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7,297,362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72.31</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7"/>
          <w:szCs w:val="17"/>
          <w:color w:val="auto"/>
        </w:rPr>
        <w:t>RSUs and PSUs are granted to our employees at the share price on the date of grant. Each RSU represents the right to acquire one share of our common stock. Each RSU granted in connection with our annual equity awards will vest 25% annually over four years, while each RSU granted as outstanding merit awards or as part of retention award programs will vest in a single installment at the end of four years.</w:t>
      </w:r>
    </w:p>
    <w:p>
      <w:pPr>
        <w:spacing w:after="0" w:line="171" w:lineRule="exact"/>
        <w:rPr>
          <w:sz w:val="20"/>
          <w:szCs w:val="20"/>
          <w:color w:val="auto"/>
        </w:rPr>
      </w:pPr>
    </w:p>
    <w:p>
      <w:pPr>
        <w:jc w:val="both"/>
        <w:ind w:firstLine="636"/>
        <w:spacing w:after="0" w:line="304" w:lineRule="auto"/>
        <w:rPr>
          <w:sz w:val="20"/>
          <w:szCs w:val="20"/>
          <w:color w:val="auto"/>
        </w:rPr>
      </w:pPr>
      <w:r>
        <w:rPr>
          <w:rFonts w:ascii="Arial" w:cs="Arial" w:eastAsia="Arial" w:hAnsi="Arial"/>
          <w:sz w:val="15"/>
          <w:szCs w:val="15"/>
          <w:color w:val="auto"/>
        </w:rPr>
        <w:t>We grant PSUs with performance and/or service-based milestones with graded and/or cliff vesting over three to four years. The shares of our common stock into which each PSU may convert is subject to a multiplier based on the level at which the financial, developmental and market performance conditions are achieved over the service period. Compensation expense for PSUs with financial and developmental performance conditions is recorded over the estimated service period for each milestone when the performance conditions are deemed probable of achievement. For PSUs containing performance conditions which were not deemed probable of achievement, no stock compensation expense is recorded. Compensation expense for PSUs with market performance conditions is calculated using a Monte Carlo simulation model as of the date of grant and recorded over the requisite service period. For the three and nine months ended September 30, 2023 we recorded $4.2 million and $13.4 million, respectively, of stock compensation expense for PSUs on our condensed consolidated statements of operations. For the three and nine months ended September 30, 2022 we recorded $3.2 million and $5.1 million of stock compensation expense for PSUs on our condensed consolidated statements of operations.</w:t>
      </w:r>
    </w:p>
    <w:p>
      <w:pPr>
        <w:spacing w:after="0" w:line="372" w:lineRule="exact"/>
        <w:rPr>
          <w:sz w:val="20"/>
          <w:szCs w:val="20"/>
          <w:color w:val="auto"/>
        </w:rPr>
      </w:pPr>
    </w:p>
    <w:p>
      <w:pPr>
        <w:jc w:val="both"/>
        <w:ind w:right="20" w:firstLine="636"/>
        <w:spacing w:after="0" w:line="264" w:lineRule="auto"/>
        <w:rPr>
          <w:sz w:val="20"/>
          <w:szCs w:val="20"/>
          <w:color w:val="auto"/>
        </w:rPr>
      </w:pPr>
      <w:r>
        <w:rPr>
          <w:rFonts w:ascii="Arial" w:cs="Arial" w:eastAsia="Arial" w:hAnsi="Arial"/>
          <w:sz w:val="18"/>
          <w:szCs w:val="18"/>
          <w:color w:val="auto"/>
        </w:rPr>
        <w:t>The following table summarizes our shares available for grant under the 2010 Stock Plan. Each RSU and PSU grant reduces the available share pool by 2 shares.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-147955</wp:posOffset>
            </wp:positionV>
            <wp:extent cx="7134860" cy="168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Additional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34860" cy="160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5"/>
          <w:szCs w:val="15"/>
          <w:color w:val="auto"/>
        </w:rPr>
        <w:t>Options, RSUs and PSUs granted</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5"/>
          <w:szCs w:val="15"/>
          <w:color w:val="auto"/>
        </w:rPr>
        <w:t>Options, RSUs and PSUs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41275</wp:posOffset>
            </wp:positionV>
            <wp:extent cx="7134860" cy="1847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184785"/>
                    </a:xfrm>
                    <a:prstGeom prst="rect">
                      <a:avLst/>
                    </a:prstGeom>
                    <a:noFill/>
                  </pic:spPr>
                </pic:pic>
              </a:graphicData>
            </a:graphic>
          </wp:anchor>
        </w:drawing>
      </w:r>
    </w:p>
    <w:p>
      <w:pPr>
        <w:spacing w:after="0" w:line="99"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at September 30, 2023</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right="240"/>
        <w:spacing w:after="0"/>
        <w:rPr>
          <w:sz w:val="20"/>
          <w:szCs w:val="20"/>
          <w:color w:val="auto"/>
        </w:rPr>
      </w:pPr>
      <w:r>
        <w:rPr>
          <w:rFonts w:ascii="Arial" w:cs="Arial" w:eastAsia="Arial" w:hAnsi="Arial"/>
          <w:sz w:val="12"/>
          <w:szCs w:val="12"/>
          <w:b w:val="1"/>
          <w:bCs w:val="1"/>
          <w:color w:val="auto"/>
        </w:rPr>
        <w:t>Shares Available</w:t>
      </w:r>
    </w:p>
    <w:p>
      <w:pPr>
        <w:spacing w:after="0" w:line="37"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for Grant</w:t>
      </w:r>
    </w:p>
    <w:p>
      <w:pPr>
        <w:spacing w:after="0" w:line="5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5,056,370</w:t>
      </w:r>
    </w:p>
    <w:p>
      <w:pPr>
        <w:spacing w:after="0" w:line="4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12,500,000</w:t>
      </w:r>
    </w:p>
    <w:p>
      <w:pPr>
        <w:spacing w:after="0" w:line="4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(8,946,489)</w:t>
      </w:r>
    </w:p>
    <w:p>
      <w:pPr>
        <w:spacing w:after="0" w:line="4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1,662,566</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5"/>
          <w:szCs w:val="15"/>
          <w:color w:val="auto"/>
        </w:rPr>
        <w:t>10,272,447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66675</wp:posOffset>
            </wp:positionV>
            <wp:extent cx="9423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9280" w:space="720"/>
            <w:col w:w="1240"/>
          </w:cols>
          <w:pgMar w:left="320" w:top="127" w:right="339" w:bottom="1440" w:gutter="0" w:footer="0" w:header="0"/>
          <w:type w:val="continuous"/>
        </w:sectPr>
      </w:pPr>
    </w:p>
    <w:p>
      <w:pPr>
        <w:spacing w:after="0" w:line="148"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Based on our historical experience of employee turnover, we have assumed an annualized forfeiture rate of 5% for our options, RSUs and PSUs. Under the true-up provisions of the stock compensation guidance, we will record additional expense if the actual forfeiture rate is lower than we estimated, and will record a recovery of prior expense if the actual forfeiture is higher than we estimated.</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color w:val="auto"/>
        </w:rPr>
        <w:t>Total compensation cost of options granted but not yet vested, as of September 30, 2023, was $37.1 million, which is expected to be recognized over the weighted average period of approximately 1.2 years. Total compensation cost of RSUs granted but not yet vested, as of September 30, 2023, was $278.1 million, which is expected to be recognized over the weighted average period of approximately 2.0 years. Total compensation cost of PSUs granted but not yet vested, as of September 30, 2023, was $24.1 million, which is expected to be recognized over the weighted average period of 2.1 years, should the underlying performance conditions be deemed probable of achievement.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3" w:lineRule="exact"/>
        <w:rPr>
          <w:sz w:val="20"/>
          <w:szCs w:val="20"/>
          <w:color w:val="auto"/>
        </w:rPr>
      </w:pPr>
    </w:p>
    <w:p>
      <w:pPr>
        <w:ind w:right="120" w:firstLine="636"/>
        <w:spacing w:after="0" w:line="264" w:lineRule="auto"/>
        <w:rPr>
          <w:sz w:val="20"/>
          <w:szCs w:val="20"/>
          <w:color w:val="auto"/>
        </w:rPr>
      </w:pPr>
      <w:r>
        <w:rPr>
          <w:rFonts w:ascii="Arial" w:cs="Arial" w:eastAsia="Arial" w:hAnsi="Arial"/>
          <w:sz w:val="18"/>
          <w:szCs w:val="18"/>
          <w:color w:val="auto"/>
        </w:rPr>
        <w:t>For the three and nine months ended September 30, 2023 and 2022, we recorded the following provisions for income taxes and effective tax rates as compared to our income before provision for income taxes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2"/>
              </w:rPr>
              <w:t>Three Months Ended</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1"/>
              </w:rPr>
              <w:t>Nine Months Ended</w:t>
            </w:r>
          </w:p>
        </w:tc>
        <w:tc>
          <w:tcPr>
            <w:tcW w:w="920" w:type="dxa"/>
            <w:vAlign w:val="bottom"/>
          </w:tcPr>
          <w:p>
            <w:pPr>
              <w:spacing w:after="0"/>
              <w:rPr>
                <w:sz w:val="14"/>
                <w:szCs w:val="14"/>
                <w:color w:val="auto"/>
              </w:rPr>
            </w:pPr>
          </w:p>
        </w:tc>
      </w:tr>
      <w:tr>
        <w:trPr>
          <w:trHeight w:val="189"/>
        </w:trPr>
        <w:tc>
          <w:tcPr>
            <w:tcW w:w="4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w w:val="89"/>
              </w:rPr>
              <w:t>September 30,</w:t>
            </w: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14"/>
                <w:szCs w:val="14"/>
                <w:b w:val="1"/>
                <w:bCs w:val="1"/>
                <w:color w:val="auto"/>
                <w:w w:val="89"/>
              </w:rPr>
              <w:t>September 30,</w:t>
            </w:r>
          </w:p>
        </w:tc>
        <w:tc>
          <w:tcPr>
            <w:tcW w:w="920" w:type="dxa"/>
            <w:vAlign w:val="bottom"/>
            <w:tcBorders>
              <w:bottom w:val="single" w:sz="8" w:color="auto"/>
            </w:tcBorders>
          </w:tcPr>
          <w:p>
            <w:pPr>
              <w:spacing w:after="0"/>
              <w:rPr>
                <w:sz w:val="16"/>
                <w:szCs w:val="16"/>
                <w:color w:val="auto"/>
              </w:rPr>
            </w:pPr>
          </w:p>
        </w:tc>
      </w:tr>
      <w:tr>
        <w:trPr>
          <w:trHeight w:val="191"/>
        </w:trPr>
        <w:tc>
          <w:tcPr>
            <w:tcW w:w="48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96"/>
              </w:rPr>
              <w:t>2022</w:t>
            </w:r>
          </w:p>
        </w:tc>
      </w:tr>
      <w:tr>
        <w:trPr>
          <w:trHeight w:val="252"/>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233,799</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148,588</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563,259</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448,501</w:t>
            </w:r>
          </w:p>
        </w:tc>
      </w:tr>
      <w:tr>
        <w:trPr>
          <w:trHeight w:val="245"/>
        </w:trPr>
        <w:tc>
          <w:tcPr>
            <w:tcW w:w="48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color w:val="auto"/>
              </w:rPr>
              <w:t>62,530</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35,813</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
              <w:spacing w:after="0"/>
              <w:rPr>
                <w:sz w:val="20"/>
                <w:szCs w:val="20"/>
                <w:color w:val="auto"/>
              </w:rPr>
            </w:pPr>
            <w:r>
              <w:rPr>
                <w:rFonts w:ascii="Arial" w:cs="Arial" w:eastAsia="Arial" w:hAnsi="Arial"/>
                <w:sz w:val="18"/>
                <w:szCs w:val="18"/>
                <w:color w:val="auto"/>
              </w:rPr>
              <w:t>166,739</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136,302</w:t>
            </w:r>
          </w:p>
        </w:tc>
      </w:tr>
      <w:tr>
        <w:trPr>
          <w:trHeight w:val="272"/>
        </w:trPr>
        <w:tc>
          <w:tcPr>
            <w:tcW w:w="48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38"/>
        </w:trPr>
        <w:tc>
          <w:tcPr>
            <w:tcW w:w="488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30.4%</w:t>
            </w:r>
          </w:p>
        </w:tc>
      </w:tr>
    </w:tbl>
    <w:p>
      <w:pPr>
        <w:spacing w:after="0" w:line="30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Our effective tax rate for each of the three and nine months ended September 30, 2023 and 2022 was higher than the U.S. statutory rate primarily due to foreign losses with no associated tax benefit (i.e., full valuation allowance) and an increase in our valuation allowance against certain U.S. federal and state deferred tax assets offset to a lesser extent by tax rate benefits associated with research and development and orphan drug tax credit generations and foreign derived intangible income deductions.</w:t>
      </w:r>
    </w:p>
    <w:p>
      <w:pPr>
        <w:spacing w:after="0" w:line="191"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The effective tax rate for the three months ended September 30, 2023 increased as compared to the prior year period primarily due to an increase in foreign losses with no associated tax benefit. The effective tax rate for the nine months ended September 30, 2023 decreased as compared to the prior year period primarily due to greater tax benefits recognized in 2023 associated with research and development and orphan drug tax credit generations, partially offset by a decrease in the tax benefit associated with foreign derived intangible income.</w:t>
      </w:r>
    </w:p>
    <w:p>
      <w:pPr>
        <w:spacing w:after="0" w:line="17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The balance of our unrecognized tax benefits (including penalties and interest) decreased by $2.1 million during the nine months ended September 30, 2023. This movement was primarily driven by reductions related to prior period tax positions of $10.1 million, offset by additions to current and prior period tax positions of $5.3 million, as well as $2.7 million of interest and penalties. We accrue interest and penalties related to unrecognized tax benefits as a component of its provision for income taxes.</w:t>
      </w:r>
    </w:p>
    <w:p>
      <w:pPr>
        <w:spacing w:after="0" w:line="191" w:lineRule="exact"/>
        <w:rPr>
          <w:sz w:val="20"/>
          <w:szCs w:val="20"/>
          <w:color w:val="auto"/>
        </w:rPr>
      </w:pPr>
    </w:p>
    <w:p>
      <w:pPr>
        <w:jc w:val="both"/>
        <w:ind w:firstLine="636"/>
        <w:spacing w:after="0" w:line="365" w:lineRule="auto"/>
        <w:rPr>
          <w:sz w:val="20"/>
          <w:szCs w:val="20"/>
          <w:color w:val="auto"/>
        </w:rPr>
      </w:pPr>
      <w:r>
        <w:rPr>
          <w:rFonts w:ascii="Arial" w:cs="Arial" w:eastAsia="Arial" w:hAnsi="Arial"/>
          <w:sz w:val="15"/>
          <w:szCs w:val="15"/>
          <w:color w:val="auto"/>
        </w:rPr>
        <w:t>In August 2022, the Inflation Reduction Act of 2022 (“IRA”) was enacted into law. The IRA includes a 15% corporate alternative minimum tax and a 1% excise tax on share repurchases. We do not expect the IRA's tax provisions to have a material impact on our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Income Per Share</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income per share was calculated as follows for the periods indicated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89"/>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1"/>
        </w:trPr>
        <w:tc>
          <w:tcPr>
            <w:tcW w:w="5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9"/>
              </w:rPr>
              <w:t>2022</w:t>
            </w:r>
          </w:p>
        </w:tc>
      </w:tr>
      <w:tr>
        <w:trPr>
          <w:trHeight w:val="252"/>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net income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171,269</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112,775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396,520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312,199</w:t>
            </w:r>
          </w:p>
        </w:tc>
      </w:tr>
      <w:tr>
        <w:trPr>
          <w:trHeight w:val="265"/>
        </w:trPr>
        <w:tc>
          <w:tcPr>
            <w:tcW w:w="5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65"/>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224,078</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222,415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223,428</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221,801</w:t>
            </w:r>
          </w:p>
        </w:tc>
      </w:tr>
      <w:tr>
        <w:trPr>
          <w:trHeight w:val="265"/>
        </w:trPr>
        <w:tc>
          <w:tcPr>
            <w:tcW w:w="504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243"/>
        </w:trPr>
        <w:tc>
          <w:tcPr>
            <w:tcW w:w="5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Basic net income per share</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50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18"/>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 net income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171,269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396,520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312,199</w:t>
            </w:r>
          </w:p>
        </w:tc>
      </w:tr>
      <w:tr>
        <w:trPr>
          <w:trHeight w:val="265"/>
        </w:trPr>
        <w:tc>
          <w:tcPr>
            <w:tcW w:w="5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5"/>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224,078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223,428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221,801</w:t>
            </w:r>
          </w:p>
        </w:tc>
      </w:tr>
      <w:tr>
        <w:trPr>
          <w:trHeight w:val="225"/>
        </w:trPr>
        <w:tc>
          <w:tcPr>
            <w:tcW w:w="5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Dilutive stock options and awards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w:t>
            </w:r>
          </w:p>
        </w:tc>
      </w:tr>
      <w:tr>
        <w:trPr>
          <w:trHeight w:val="207"/>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Weighted average shares used to compute diluted net income per</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51"/>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226,167</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224,175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225,756</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223,626</w:t>
            </w:r>
          </w:p>
        </w:tc>
      </w:tr>
      <w:tr>
        <w:trPr>
          <w:trHeight w:val="265"/>
        </w:trPr>
        <w:tc>
          <w:tcPr>
            <w:tcW w:w="504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243"/>
        </w:trPr>
        <w:tc>
          <w:tcPr>
            <w:tcW w:w="5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Diluted net income per share</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potential common shares that were excluded from the diluted net income per share computation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180" w:type="dxa"/>
            <w:vAlign w:val="bottom"/>
            <w:gridSpan w:val="3"/>
          </w:tcPr>
          <w:p>
            <w:pPr>
              <w:jc w:val="center"/>
              <w:ind w:left="825"/>
              <w:spacing w:after="0"/>
              <w:rPr>
                <w:sz w:val="20"/>
                <w:szCs w:val="20"/>
                <w:color w:val="auto"/>
              </w:rPr>
            </w:pPr>
            <w:r>
              <w:rPr>
                <w:rFonts w:ascii="Arial" w:cs="Arial" w:eastAsia="Arial" w:hAnsi="Arial"/>
                <w:sz w:val="14"/>
                <w:szCs w:val="14"/>
                <w:b w:val="1"/>
                <w:bCs w:val="1"/>
                <w:color w:val="auto"/>
                <w:w w:val="92"/>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3"/>
          </w:tcPr>
          <w:p>
            <w:pPr>
              <w:jc w:val="center"/>
              <w:ind w:left="825"/>
              <w:spacing w:after="0"/>
              <w:rPr>
                <w:sz w:val="20"/>
                <w:szCs w:val="20"/>
                <w:color w:val="auto"/>
              </w:rPr>
            </w:pPr>
            <w:r>
              <w:rPr>
                <w:rFonts w:ascii="Arial" w:cs="Arial" w:eastAsia="Arial" w:hAnsi="Arial"/>
                <w:sz w:val="14"/>
                <w:szCs w:val="14"/>
                <w:b w:val="1"/>
                <w:bCs w:val="1"/>
                <w:color w:val="auto"/>
                <w:w w:val="93"/>
              </w:rPr>
              <w:t>Nine Months Ended</w:t>
            </w:r>
          </w:p>
        </w:tc>
        <w:tc>
          <w:tcPr>
            <w:tcW w:w="900" w:type="dxa"/>
            <w:vAlign w:val="bottom"/>
          </w:tcPr>
          <w:p>
            <w:pPr>
              <w:spacing w:after="0"/>
              <w:rPr>
                <w:sz w:val="14"/>
                <w:szCs w:val="14"/>
                <w:color w:val="auto"/>
              </w:rPr>
            </w:pPr>
          </w:p>
        </w:tc>
      </w:tr>
      <w:tr>
        <w:trPr>
          <w:trHeight w:val="192"/>
        </w:trPr>
        <w:tc>
          <w:tcPr>
            <w:tcW w:w="5020" w:type="dxa"/>
            <w:vAlign w:val="bottom"/>
          </w:tcPr>
          <w:p>
            <w:pPr>
              <w:spacing w:after="0"/>
              <w:rPr>
                <w:sz w:val="16"/>
                <w:szCs w:val="16"/>
                <w:color w:val="auto"/>
              </w:rPr>
            </w:pPr>
          </w:p>
        </w:tc>
        <w:tc>
          <w:tcPr>
            <w:tcW w:w="2180" w:type="dxa"/>
            <w:vAlign w:val="bottom"/>
            <w:tcBorders>
              <w:bottom w:val="single" w:sz="8" w:color="auto"/>
            </w:tcBorders>
            <w:gridSpan w:val="3"/>
          </w:tcPr>
          <w:p>
            <w:pPr>
              <w:jc w:val="center"/>
              <w:ind w:left="805"/>
              <w:spacing w:after="0"/>
              <w:rPr>
                <w:sz w:val="20"/>
                <w:szCs w:val="20"/>
                <w:color w:val="auto"/>
              </w:rPr>
            </w:pPr>
            <w:r>
              <w:rPr>
                <w:rFonts w:ascii="Arial" w:cs="Arial" w:eastAsia="Arial" w:hAnsi="Arial"/>
                <w:sz w:val="14"/>
                <w:szCs w:val="14"/>
                <w:b w:val="1"/>
                <w:bCs w:val="1"/>
                <w:color w:val="auto"/>
                <w:w w:val="89"/>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gridSpan w:val="3"/>
          </w:tcPr>
          <w:p>
            <w:pPr>
              <w:jc w:val="center"/>
              <w:ind w:left="825"/>
              <w:spacing w:after="0"/>
              <w:rPr>
                <w:sz w:val="20"/>
                <w:szCs w:val="20"/>
                <w:color w:val="auto"/>
              </w:rPr>
            </w:pPr>
            <w:r>
              <w:rPr>
                <w:rFonts w:ascii="Arial" w:cs="Arial" w:eastAsia="Arial" w:hAnsi="Arial"/>
                <w:sz w:val="14"/>
                <w:szCs w:val="14"/>
                <w:b w:val="1"/>
                <w:bCs w:val="1"/>
                <w:color w:val="auto"/>
                <w:w w:val="89"/>
              </w:rPr>
              <w:t>September 30,</w:t>
            </w:r>
          </w:p>
        </w:tc>
        <w:tc>
          <w:tcPr>
            <w:tcW w:w="900" w:type="dxa"/>
            <w:vAlign w:val="bottom"/>
            <w:tcBorders>
              <w:bottom w:val="single" w:sz="8" w:color="auto"/>
            </w:tcBorders>
          </w:tcPr>
          <w:p>
            <w:pPr>
              <w:spacing w:after="0"/>
              <w:rPr>
                <w:sz w:val="16"/>
                <w:szCs w:val="16"/>
                <w:color w:val="auto"/>
              </w:rPr>
            </w:pPr>
          </w:p>
        </w:tc>
      </w:tr>
      <w:tr>
        <w:trPr>
          <w:trHeight w:val="192"/>
        </w:trPr>
        <w:tc>
          <w:tcPr>
            <w:tcW w:w="50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w w:val="89"/>
              </w:rPr>
              <w:t>2022</w:t>
            </w:r>
          </w:p>
        </w:tc>
      </w:tr>
      <w:tr>
        <w:trPr>
          <w:trHeight w:val="225"/>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stock options and awards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12,997,146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11,150,022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11,964,901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10,979,096</w:t>
            </w:r>
          </w:p>
        </w:tc>
      </w:tr>
    </w:tbl>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Employee Benefit Plans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217"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for the three and nine months ended September 30, 2023 was $5.0 million and $14.6 million, respectively. Defined contribution expense for the three and nine months ended September 30, 2022 was $5.1 million and $14.7 million,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Plans</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net periodic benefit cost was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gridSpan w:val="3"/>
          </w:tcPr>
          <w:p>
            <w:pPr>
              <w:jc w:val="right"/>
              <w:ind w:right="218"/>
              <w:spacing w:after="0"/>
              <w:rPr>
                <w:sz w:val="20"/>
                <w:szCs w:val="20"/>
                <w:color w:val="auto"/>
              </w:rPr>
            </w:pPr>
            <w:r>
              <w:rPr>
                <w:rFonts w:ascii="Arial" w:cs="Arial" w:eastAsia="Arial" w:hAnsi="Arial"/>
                <w:sz w:val="14"/>
                <w:szCs w:val="14"/>
                <w:b w:val="1"/>
                <w:bCs w:val="1"/>
                <w:color w:val="auto"/>
                <w:w w:val="90"/>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89"/>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38"/>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1"/>
        </w:trPr>
        <w:tc>
          <w:tcPr>
            <w:tcW w:w="50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9"/>
              </w:rPr>
              <w:t>2022</w:t>
            </w:r>
          </w:p>
        </w:tc>
      </w:tr>
      <w:tr>
        <w:trPr>
          <w:trHeight w:val="225"/>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88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w:t>
            </w:r>
          </w:p>
        </w:tc>
      </w:tr>
      <w:tr>
        <w:trPr>
          <w:trHeight w:val="225"/>
        </w:trPr>
        <w:tc>
          <w:tcPr>
            <w:tcW w:w="50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26"/>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(2,017)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w:t>
            </w:r>
          </w:p>
        </w:tc>
      </w:tr>
      <w:tr>
        <w:trPr>
          <w:trHeight w:val="225"/>
        </w:trPr>
        <w:tc>
          <w:tcPr>
            <w:tcW w:w="5060" w:type="dxa"/>
            <w:vAlign w:val="bottom"/>
          </w:tcPr>
          <w:p>
            <w:pPr>
              <w:ind w:left="20"/>
              <w:spacing w:after="0"/>
              <w:rPr>
                <w:sz w:val="20"/>
                <w:szCs w:val="20"/>
                <w:color w:val="auto"/>
              </w:rPr>
            </w:pPr>
            <w:r>
              <w:rPr>
                <w:rFonts w:ascii="Arial" w:cs="Arial" w:eastAsia="Arial" w:hAnsi="Arial"/>
                <w:sz w:val="18"/>
                <w:szCs w:val="18"/>
                <w:color w:val="auto"/>
              </w:rPr>
              <w:t>Amortization of prior service cost</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25"/>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actuarial losses</w:t>
            </w:r>
          </w:p>
        </w:tc>
        <w:tc>
          <w:tcPr>
            <w:tcW w:w="8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19"/>
        </w:trPr>
        <w:tc>
          <w:tcPr>
            <w:tcW w:w="506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880" w:type="dxa"/>
            <w:vAlign w:val="bottom"/>
            <w:tcBorders>
              <w:top w:val="single" w:sz="8" w:color="auto"/>
              <w:bottom w:val="single" w:sz="8" w:color="auto"/>
            </w:tcBorders>
          </w:tcPr>
          <w:p>
            <w:pPr>
              <w:jc w:val="right"/>
              <w:ind w:right="698"/>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8"/>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3,802</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5,255</w:t>
            </w:r>
          </w:p>
        </w:tc>
      </w:tr>
      <w:tr>
        <w:trPr>
          <w:trHeight w:val="20"/>
        </w:trPr>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The components of net periodic benefit cost other than the service cost component are included in Interest income and other, net on the condensed consolidated statements of operations. We expect to contribute a total of $8.0 million to the pension plans in 2023 inclusive of the amounts contributed to the plan during the current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3"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We have entered into the collaboration agreements described in Note 7, as well as various other collaboration agreements that are not individually, or in the aggregate, significant to our operating results or financial condition at this time. We may in the future seek to license additional rights relating to technologies or drug development candidates in connection with our drug discovery and development programs. Under these agreements, we may be required to pay upfront fees, milestone payments, and royalties on sales of future products.</w:t>
      </w:r>
    </w:p>
    <w:p>
      <w:pPr>
        <w:spacing w:after="0" w:line="19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the ordinary course of our business, we may become involved in lawsuits, proceedings, and other disputes, including commercial, intellectual property, regulatory, employment, and other matters. We record a reserve for these matters when it is both probable that a liability has been incurred and the amount of the loss can be reasonably estimated.</w:t>
      </w:r>
    </w:p>
    <w:p>
      <w:pPr>
        <w:spacing w:after="0" w:line="188"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We brought a lawsuit against the U.S. Centers for Medicare and Medicaid Services (“CMS”) alleging that a recent regulation issued by CMS on the definition of “line extension” for purposes of the Medicaid rebate program is too broad and has the unintended consequence of treating OPZELURA as a “line extension” of JAKAFI under this program. We believe that such a reading would be a violation of CMS’s statutory authority and that it would be arbitrary and capricious to treat OPZELURA which, among other differentiators, is indicated to treat entirely different medical conditions and entirely different patient populations than JAKAFI. As of September 30, 2023, we have accrued approximately $42.9 million within accrued and other current liabilities on the condensed consolidated balance sheet. The impact on OPZELURA gross to net deductions for the quarter ending September 30, 2023 is approximately 6.6%. If OPZELURA is not treated as a line extension of JAKAFI, this would result in a reversal of our accrual and a lower future gross to net deduction for OPZELURA.</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In addition, we have an outstanding contractual dispute with Novartis relating to royalties on JAKAFI net sales within the United States. Refer to</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Note 7.</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3"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i w:val="1"/>
          <w:iCs w:val="1"/>
          <w:color w:val="auto"/>
        </w:rPr>
        <w:t>The following discussion of our financial condition and results of operations as of and for the three and nine months ended September 30, 2023 should be read in conjunction with the unaudited condensed consolidated financial statements and notes to those statements included elsewhere in this Quarterly Report on Form 10-Q and our audited consolidated financial statements as of and for the year ended December 31, 2022 included in our Annual Report on Form 10-K for the year ended December 31, 2022 previously filed with the SEC.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3"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64" w:lineRule="exact"/>
        <w:rPr>
          <w:sz w:val="20"/>
          <w:szCs w:val="20"/>
          <w:color w:val="auto"/>
        </w:rPr>
      </w:pPr>
    </w:p>
    <w:p>
      <w:pPr>
        <w:jc w:val="both"/>
        <w:ind w:left="960" w:hanging="318"/>
        <w:spacing w:after="0" w:line="235"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discovery, development, formulation, manufacturing and commercialization of our compounds, our drug candidates and JAKAFI</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/JAKAVI</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(ruxolitinib), PEMAZYRE</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(pemigatinib), ICLUSIG</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(ponatinib), MONJUVI</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(tafasitamab-cxix) /MINJUVI</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(tafasitamab), OPZELURA™ (ruxolitinib) cream and ZYNYZ™ (retifanlimab-dlwr);</w:t>
      </w:r>
    </w:p>
    <w:p>
      <w:pPr>
        <w:spacing w:after="0" w:line="96"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plans to further develop our operations outside of the United States;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conducting clinical trials internally, with collaborators, or with clinical research organizations;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our collaboration and strategic relationship strategy, and anticipated benefits and disadvantages of entering into collaboration agreements;</w:t>
      </w:r>
    </w:p>
    <w:p>
      <w:pPr>
        <w:spacing w:after="0" w:line="145" w:lineRule="exact"/>
        <w:rPr>
          <w:rFonts w:ascii="Arial" w:cs="Arial" w:eastAsia="Arial" w:hAnsi="Arial"/>
          <w:sz w:val="15"/>
          <w:szCs w:val="15"/>
          <w:color w:val="auto"/>
        </w:rPr>
      </w:pPr>
    </w:p>
    <w:p>
      <w:pPr>
        <w:ind w:left="960" w:hanging="318"/>
        <w:spacing w:after="0"/>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our licensing, investment and commercialization strategies, including our plans to commercialize our drug products and drug candidates;</w:t>
      </w:r>
    </w:p>
    <w:p>
      <w:pPr>
        <w:spacing w:after="0" w:line="122" w:lineRule="exact"/>
        <w:rPr>
          <w:rFonts w:ascii="Arial" w:cs="Arial" w:eastAsia="Arial" w:hAnsi="Arial"/>
          <w:sz w:val="17"/>
          <w:szCs w:val="17"/>
          <w:color w:val="auto"/>
        </w:rPr>
      </w:pPr>
    </w:p>
    <w:p>
      <w:pPr>
        <w:ind w:left="960" w:hanging="318"/>
        <w:spacing w:after="0" w:line="264"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regulatory approval process, including obtaining U.S. Food and Drug Administration and other international regulatory authorities’ approval for our products in the United States and abroad;</w:t>
      </w:r>
    </w:p>
    <w:p>
      <w:pPr>
        <w:spacing w:after="0" w:line="74"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safety, effectiveness and potential benefits and indications of our drug candidates and other compounds under development;</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timing and size of our clinical trials; the compounds expected to enter clinical trials; timing of clinical trial results;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manage expansion of our drug discovery and development operations;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future required expertise relating to clinical trials, manufacturing, sales and marketing;</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obtaining and terminating licenses to products, drug candidates or technology, or other intellectual property rights;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receipt from or payments pursuant to collaboration or license agreements resulting from milestones or royalties;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plans to develop and commercialize products on our own;</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plans to use third-party manufacturers;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plans for our manufacturing operations;</w:t>
      </w:r>
    </w:p>
    <w:p>
      <w:pPr>
        <w:spacing w:after="0" w:line="111"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expected expenses and expenditure levels; expected uses of cash; expected revenues and sources of revenues, including milestone payments; expectations with respect to inventory;</w:t>
      </w:r>
    </w:p>
    <w:p>
      <w:pPr>
        <w:spacing w:after="0" w:line="74"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expectations with respect to reimbursement for our products;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expected impact of recent accounting pronouncements and changes in tax laws;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expected losses; fluctuation of losses; currency translation impact associated with non-U.S. operations and collaboration royalties;</w:t>
      </w:r>
    </w:p>
    <w:p>
      <w:pPr>
        <w:spacing w:after="0" w:line="122" w:lineRule="exact"/>
        <w:rPr>
          <w:rFonts w:ascii="Arial" w:cs="Arial" w:eastAsia="Arial" w:hAnsi="Arial"/>
          <w:sz w:val="17"/>
          <w:szCs w:val="17"/>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profitability; the adequacy of our capital resources to continue operations;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need to raise additional capital;</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60" w:hanging="318"/>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costs associated with resolving matters in litigation and governmental proceedings;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expectations regarding competition;</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investments, including anticipated expenditures, losses and expenses; and</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patent prosecution and maintenance efforts.</w:t>
      </w:r>
    </w:p>
    <w:p>
      <w:pPr>
        <w:spacing w:after="0" w:line="217" w:lineRule="exact"/>
        <w:rPr>
          <w:sz w:val="20"/>
          <w:szCs w:val="20"/>
          <w:color w:val="auto"/>
        </w:rPr>
      </w:pPr>
    </w:p>
    <w:p>
      <w:pPr>
        <w:ind w:right="20" w:firstLine="636"/>
        <w:spacing w:after="0" w:line="294" w:lineRule="auto"/>
        <w:rPr>
          <w:sz w:val="20"/>
          <w:szCs w:val="20"/>
          <w:color w:val="auto"/>
        </w:rPr>
      </w:pPr>
      <w:r>
        <w:rPr>
          <w:rFonts w:ascii="Arial" w:cs="Arial" w:eastAsia="Arial" w:hAnsi="Arial"/>
          <w:sz w:val="17"/>
          <w:szCs w:val="17"/>
          <w:i w:val="1"/>
          <w:iCs w:val="1"/>
          <w:color w:val="auto"/>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157" w:lineRule="exact"/>
        <w:rPr>
          <w:sz w:val="20"/>
          <w:szCs w:val="20"/>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successfully commercialize our drug products and drug candidates;</w:t>
      </w:r>
    </w:p>
    <w:p>
      <w:pPr>
        <w:spacing w:after="0" w:line="111"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obtain, or maintain at anticipated levels, coverage and reimbursement for our products from government health administration authorities, private health insurers and other organizations;</w:t>
      </w:r>
    </w:p>
    <w:p>
      <w:pPr>
        <w:spacing w:after="0" w:line="74"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establish and maintain effective sales, marketing and distribution capabilities;</w:t>
      </w:r>
    </w:p>
    <w:p>
      <w:pPr>
        <w:spacing w:after="0" w:line="111" w:lineRule="exact"/>
        <w:rPr>
          <w:rFonts w:ascii="Arial" w:cs="Arial" w:eastAsia="Arial" w:hAnsi="Arial"/>
          <w:sz w:val="18"/>
          <w:szCs w:val="18"/>
          <w:color w:val="auto"/>
        </w:rPr>
      </w:pPr>
    </w:p>
    <w:p>
      <w:pPr>
        <w:ind w:left="960" w:right="20" w:hanging="318"/>
        <w:spacing w:after="0" w:line="264" w:lineRule="auto"/>
        <w:tabs>
          <w:tab w:leader="none" w:pos="9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of reliance on other parties to manufacture our products, which could result in a short supply of our products, increased costs, and withdrawal of regulatory approval;</w:t>
      </w:r>
    </w:p>
    <w:p>
      <w:pPr>
        <w:spacing w:after="0" w:line="74"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maintain regulatory approvals to market our products;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achieve a significant market share in order to achieve or maintain profitability;</w:t>
      </w:r>
    </w:p>
    <w:p>
      <w:pPr>
        <w:spacing w:after="0" w:line="111"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of civil or criminal penalties if we market our products in a manner that violates health care fraud and abuse and other applicable laws, rules and regulations;</w:t>
      </w:r>
    </w:p>
    <w:p>
      <w:pPr>
        <w:spacing w:after="0" w:line="74"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discover, develop, formulate, manufacture and commercialize our drug candidates;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of unanticipated delays in, or discontinuations of, research and development efforts;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that previous preclinical testing or clinical trial results are not necessarily indicative of future clinical trial results;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risks relating to the conduct of our clinical trials, including geopolitical risks;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changing regulatory requirements;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of adverse safety findings;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that results of our clinical trials do not support submission of a marketing approval application for our drug candidates;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of significant delays or costs in obtaining regulatory approvals;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risks relating to our reliance on third-party manufacturers, collaborators, and clinical research organizations;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risks relating to the development of new products and their use by us and our current and potential collaborators;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risks relating to our inability to control the development of out-licensed compounds or drug candidates;</w:t>
      </w:r>
    </w:p>
    <w:p>
      <w:pPr>
        <w:spacing w:after="0" w:line="111"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risks relating to our collaborators’ ability to develop and commercialize JAKAVI, OLUMIANT, TABRECTA and the drug candidates licensed from us;</w:t>
      </w:r>
    </w:p>
    <w:p>
      <w:pPr>
        <w:spacing w:after="0" w:line="74"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costs associated with prosecuting, maintaining, defending and enforcing patent claims and other intellectual property rights;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maintain or obtain adequate product liability and other insurance coverage;</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that our drug candidates may not obtain or maintain regulatory approval;</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impact of technological advances and competition, including potential generic competition;</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compete against third parties with greater resources than ours;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risks relating to changes in pricing and reimbursement in the markets in which we may compete;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60" w:hanging="318"/>
        <w:spacing w:after="0" w:line="264" w:lineRule="auto"/>
        <w:tabs>
          <w:tab w:leader="none" w:pos="9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relating to governmental healthcare reform efforts, including efforts to control, set or cap pricing for our commercial drugs in the U.S and abroad;</w:t>
      </w:r>
    </w:p>
    <w:p>
      <w:pPr>
        <w:spacing w:after="0" w:line="74" w:lineRule="exact"/>
        <w:rPr>
          <w:rFonts w:ascii="Arial" w:cs="Arial" w:eastAsia="Arial" w:hAnsi="Arial"/>
          <w:sz w:val="18"/>
          <w:szCs w:val="18"/>
          <w:color w:val="auto"/>
        </w:rPr>
      </w:pPr>
    </w:p>
    <w:p>
      <w:pPr>
        <w:ind w:left="960" w:hanging="31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competition to develop and commercialize similar drug products;</w:t>
      </w:r>
    </w:p>
    <w:p>
      <w:pPr>
        <w:spacing w:after="0" w:line="111"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obtain and maintain patent protection and freedom to operate for our discoveries and to continue to be effective in expanding our patent coverage;</w:t>
      </w:r>
    </w:p>
    <w:p>
      <w:pPr>
        <w:spacing w:after="0" w:line="74" w:lineRule="exact"/>
        <w:rPr>
          <w:rFonts w:ascii="Arial" w:cs="Arial" w:eastAsia="Arial" w:hAnsi="Arial"/>
          <w:sz w:val="18"/>
          <w:szCs w:val="18"/>
          <w:color w:val="auto"/>
        </w:rPr>
      </w:pPr>
    </w:p>
    <w:p>
      <w:pPr>
        <w:ind w:left="960" w:hanging="31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impact of changing laws on our patent portfolio;</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developments in and expenses relating to litigation;</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in-license drug candidates or other technology;</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unanticipated delays or changes in plans or regulatory agency interactions or other issues relating to our large molecule production facility;</w:t>
      </w:r>
    </w:p>
    <w:p>
      <w:pPr>
        <w:spacing w:after="0" w:line="145" w:lineRule="exact"/>
        <w:rPr>
          <w:rFonts w:ascii="Arial" w:cs="Arial" w:eastAsia="Arial" w:hAnsi="Arial"/>
          <w:sz w:val="15"/>
          <w:szCs w:val="15"/>
          <w:color w:val="auto"/>
        </w:rPr>
      </w:pPr>
    </w:p>
    <w:p>
      <w:pPr>
        <w:ind w:left="960" w:hanging="31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integrate successfully acquired businesses, development programs or technology;</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obtain additional capital when needed;</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fluctuations in net cash provided and used by operating, financing and investing activities;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analyze the effects of new accounting pronouncements and apply new accounting rules;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relating to our ability to sustain profitability;</w:t>
      </w:r>
    </w:p>
    <w:p>
      <w:pPr>
        <w:spacing w:after="0" w:line="111"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related to public health pandemics such as the COVID-19 pandemic, natural disasters, or geopolitical events such as the Russian invasion of Ukraine; and</w:t>
      </w:r>
    </w:p>
    <w:p>
      <w:pPr>
        <w:spacing w:after="0" w:line="74" w:lineRule="exact"/>
        <w:rPr>
          <w:rFonts w:ascii="Arial" w:cs="Arial" w:eastAsia="Arial" w:hAnsi="Arial"/>
          <w:sz w:val="18"/>
          <w:szCs w:val="18"/>
          <w:color w:val="auto"/>
        </w:rPr>
      </w:pPr>
    </w:p>
    <w:p>
      <w:pPr>
        <w:ind w:left="960" w:hanging="31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risks set forth under “Risk Factors.”</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88"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8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i w:val="1"/>
          <w:iCs w:val="1"/>
          <w:color w:val="auto"/>
        </w:rPr>
        <w:t>Incyte, JAKAFI and PEMAZYRE are our registered trademarks and OPZELURA and ZYNYZ are our trademarks. We also refer to trademarks of other corporations and organizations in this Quarterly Report on Form 10-Q.</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23"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7"/>
          <w:szCs w:val="17"/>
          <w:color w:val="auto"/>
        </w:rPr>
        <w:t>Our business is subject to numerous risks and uncertainties that could affect our ability to successfully implement our business strategy and affect our financial results. You should carefully consider all of the information in this report and, in particular, the following principal risks and all of the other specific factors described in Item 1A. of this report, “Risk Factors,” before deciding whether to invest in our company.</w:t>
      </w:r>
    </w:p>
    <w:p>
      <w:pPr>
        <w:spacing w:after="0" w:line="171" w:lineRule="exact"/>
        <w:rPr>
          <w:sz w:val="20"/>
          <w:szCs w:val="20"/>
          <w:color w:val="auto"/>
        </w:rPr>
      </w:pPr>
    </w:p>
    <w:p>
      <w:pPr>
        <w:ind w:left="960" w:hanging="318"/>
        <w:spacing w:after="0" w:line="264"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depend heavily on JAKAFI/JAKAVI (ruxolitinib), and if we are not able to maintain revenues from JAKAFI/JAKAVI or those revenues decrease, our business may be materially harmed.</w:t>
      </w:r>
    </w:p>
    <w:p>
      <w:pPr>
        <w:spacing w:after="0" w:line="140"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or our collaborators are unable to obtain, or maintain at anticipated levels, coverage and reimbursement for our products from government and other third-party payors, our results of operations and financial condition could be harmed.</w:t>
      </w:r>
    </w:p>
    <w:p>
      <w:pPr>
        <w:spacing w:after="0" w:line="154" w:lineRule="exact"/>
        <w:rPr>
          <w:rFonts w:ascii="Arial" w:cs="Arial" w:eastAsia="Arial" w:hAnsi="Arial"/>
          <w:sz w:val="18"/>
          <w:szCs w:val="18"/>
          <w:color w:val="auto"/>
        </w:rPr>
      </w:pPr>
    </w:p>
    <w:p>
      <w:pPr>
        <w:jc w:val="both"/>
        <w:ind w:left="960" w:hanging="318"/>
        <w:spacing w:after="0" w:line="255"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limited number of specialty pharmacies and wholesalers represent a significant portion of revenues from JAKAFI and most of our other products, and the loss of, or significant reduction in sales to, any one of these specialty pharmacies or wholesalers could harm our operations and financial condition.</w:t>
      </w:r>
    </w:p>
    <w:p>
      <w:pPr>
        <w:spacing w:after="0" w:line="148"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40"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comply with applicable laws and regulations, we could lose our approval to market our products or be subject to other governmental enforcement activity.</w:t>
      </w:r>
    </w:p>
    <w:p>
      <w:pPr>
        <w:spacing w:after="0" w:line="154"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use of our products harms or is perceived to harm patients, our regulatory approvals could be revoked or otherwise negatively impacted or we could be subject to costly product liability claims.</w:t>
      </w:r>
    </w:p>
    <w:p>
      <w:pPr>
        <w:spacing w:after="0" w:line="140" w:lineRule="exact"/>
        <w:rPr>
          <w:rFonts w:ascii="Arial" w:cs="Arial" w:eastAsia="Arial" w:hAnsi="Arial"/>
          <w:sz w:val="18"/>
          <w:szCs w:val="18"/>
          <w:color w:val="auto"/>
        </w:rPr>
      </w:pPr>
    </w:p>
    <w:p>
      <w:pPr>
        <w:ind w:left="960" w:hanging="318"/>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market our products in a manner that violates various laws and regulations, we may be subject to civil or criminal penalties.</w:t>
      </w:r>
    </w:p>
    <w:p>
      <w:pPr>
        <w:spacing w:after="0" w:line="177" w:lineRule="exact"/>
        <w:rPr>
          <w:rFonts w:ascii="Arial" w:cs="Arial" w:eastAsia="Arial" w:hAnsi="Arial"/>
          <w:sz w:val="18"/>
          <w:szCs w:val="18"/>
          <w:color w:val="auto"/>
        </w:rPr>
      </w:pPr>
    </w:p>
    <w:p>
      <w:pPr>
        <w:ind w:left="960" w:hanging="318"/>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for our products could harm our business and result in a decrease in our revenue.</w:t>
      </w:r>
    </w:p>
    <w:p>
      <w:pPr>
        <w:spacing w:after="0" w:line="190" w:lineRule="exact"/>
        <w:rPr>
          <w:rFonts w:ascii="Arial" w:cs="Arial" w:eastAsia="Arial" w:hAnsi="Arial"/>
          <w:sz w:val="18"/>
          <w:szCs w:val="18"/>
          <w:color w:val="auto"/>
        </w:rPr>
      </w:pPr>
    </w:p>
    <w:p>
      <w:pPr>
        <w:ind w:left="960" w:hanging="31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Public health pandemics, natural disasters, and other geopolitical events, could adversely affect our business and results of operations.</w:t>
      </w:r>
    </w:p>
    <w:p>
      <w:pPr>
        <w:spacing w:after="0" w:line="188" w:lineRule="exact"/>
        <w:rPr>
          <w:rFonts w:ascii="Arial" w:cs="Arial" w:eastAsia="Arial" w:hAnsi="Arial"/>
          <w:sz w:val="17"/>
          <w:szCs w:val="17"/>
          <w:color w:val="auto"/>
        </w:rPr>
      </w:pPr>
    </w:p>
    <w:p>
      <w:pPr>
        <w:ind w:left="960" w:hanging="318"/>
        <w:spacing w:after="0" w:line="264"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or our collaborators may be unsuccessful in discovering and developing drug candidates, and we may spend significant time and money attempting to do so, in particular with our later stage drug candidates.</w:t>
      </w:r>
    </w:p>
    <w:p>
      <w:pPr>
        <w:spacing w:after="0" w:line="140"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or our collaborators are unable to obtain regulatory approval in and outside of the United States for drug candidates, we and our collaborators will be unable to commercialize those drug candidates.</w:t>
      </w:r>
    </w:p>
    <w:p>
      <w:pPr>
        <w:spacing w:after="0" w:line="154"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Health care reform measures could impact the pricing and profitability of pharmaceuticals, and adversely affect the commercial viability of our or our collaborators’ products and drug candidates.</w:t>
      </w:r>
    </w:p>
    <w:p>
      <w:pPr>
        <w:spacing w:after="0" w:line="140"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Conflicts between us and our collaborators or termination of our collaboration agreements could limit future development and commercialization of our drug candidates and harm our business.</w:t>
      </w:r>
    </w:p>
    <w:p>
      <w:pPr>
        <w:spacing w:after="0" w:line="140"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establish collaborations to fully exploit our drug discovery and development capabilities or if future collaborations are unsuccessful, our future revenue prospects could be diminished.</w:t>
      </w:r>
    </w:p>
    <w:p>
      <w:pPr>
        <w:spacing w:after="0" w:line="154"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enter into additional in-licensing agreements or if these arrangements are unsuccessful, we may be unable to increase our number of successfully marketed products and our revenues.</w:t>
      </w:r>
    </w:p>
    <w:p>
      <w:pPr>
        <w:spacing w:after="0" w:line="140" w:lineRule="exact"/>
        <w:rPr>
          <w:rFonts w:ascii="Arial" w:cs="Arial" w:eastAsia="Arial" w:hAnsi="Arial"/>
          <w:sz w:val="18"/>
          <w:szCs w:val="18"/>
          <w:color w:val="auto"/>
        </w:rPr>
      </w:pPr>
    </w:p>
    <w:p>
      <w:pPr>
        <w:ind w:left="960" w:hanging="318"/>
        <w:spacing w:after="0"/>
        <w:tabs>
          <w:tab w:leader="none" w:pos="960" w:val="left"/>
        </w:tabs>
        <w:numPr>
          <w:ilvl w:val="0"/>
          <w:numId w:val="8"/>
        </w:numPr>
        <w:rPr>
          <w:rFonts w:ascii="Arial" w:cs="Arial" w:eastAsia="Arial" w:hAnsi="Arial"/>
          <w:sz w:val="15"/>
          <w:szCs w:val="15"/>
          <w:color w:val="auto"/>
        </w:rPr>
      </w:pPr>
      <w:r>
        <w:rPr>
          <w:rFonts w:ascii="Arial" w:cs="Arial" w:eastAsia="Arial" w:hAnsi="Arial"/>
          <w:sz w:val="15"/>
          <w:szCs w:val="15"/>
          <w:color w:val="auto"/>
        </w:rPr>
        <w:t>Even if one of our drug candidates receives regulatory approval, we may determine that commercialization would not be worth the investment.</w:t>
      </w:r>
    </w:p>
    <w:p>
      <w:pPr>
        <w:spacing w:after="0" w:line="211" w:lineRule="exact"/>
        <w:rPr>
          <w:rFonts w:ascii="Arial" w:cs="Arial" w:eastAsia="Arial" w:hAnsi="Arial"/>
          <w:sz w:val="15"/>
          <w:szCs w:val="15"/>
          <w:color w:val="auto"/>
        </w:rPr>
      </w:pPr>
    </w:p>
    <w:p>
      <w:pPr>
        <w:ind w:left="960" w:hanging="318"/>
        <w:spacing w:after="0" w:line="264"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approved drug product that we bring to the market may not gain market acceptance by physicians, patients, healthcare payors and others in the medical community.</w:t>
      </w:r>
    </w:p>
    <w:p>
      <w:pPr>
        <w:spacing w:after="0" w:line="154"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limited capacity to conduct preclinical testing and clinical trials, and our resulting dependence on other parties could result in delays in and additional costs for our drug development efforts.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960" w:right="780" w:hanging="318"/>
        <w:spacing w:after="0" w:line="264"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significant competition for our drug discovery and development efforts, and if we do not compete effectively, our commercial opportunities will be reduced or eliminated.</w:t>
      </w:r>
    </w:p>
    <w:p>
      <w:pPr>
        <w:spacing w:after="0" w:line="154"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reliance on others to manufacture our drug products and drug candidates could result in drug supply constraints, delays in clinical trials, increased costs, and withdrawal or denial of regulatory approvals.</w:t>
      </w:r>
    </w:p>
    <w:p>
      <w:pPr>
        <w:spacing w:after="0" w:line="140"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comply with the extensive legal and regulatory requirements affecting the health care industry, we could face increased costs, penalties and a loss of business.</w:t>
      </w:r>
    </w:p>
    <w:p>
      <w:pPr>
        <w:spacing w:after="0" w:line="140" w:lineRule="exact"/>
        <w:rPr>
          <w:rFonts w:ascii="Arial" w:cs="Arial" w:eastAsia="Arial" w:hAnsi="Arial"/>
          <w:sz w:val="18"/>
          <w:szCs w:val="18"/>
          <w:color w:val="auto"/>
        </w:rPr>
      </w:pPr>
    </w:p>
    <w:p>
      <w:pPr>
        <w:ind w:left="960" w:right="20" w:hanging="318"/>
        <w:spacing w:after="0" w:line="264"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illegal distribution and sale by third parties of counterfeit or unfit versions of our or our collaborators’ products or stolen products could harm our business and reputation.</w:t>
      </w:r>
    </w:p>
    <w:p>
      <w:pPr>
        <w:spacing w:after="0" w:line="154"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most of our drug discovery and development operations are conducted at our headquarters in Wilmington, Delaware, the loss of access to this facility would negatively impact our business.</w:t>
      </w:r>
    </w:p>
    <w:p>
      <w:pPr>
        <w:spacing w:after="0" w:line="140"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lose any of our key employees or are unable to attract and retain additional personnel, our business and ability to achieve our objectives could be harmed.</w:t>
      </w:r>
    </w:p>
    <w:p>
      <w:pPr>
        <w:spacing w:after="0" w:line="140" w:lineRule="exact"/>
        <w:rPr>
          <w:rFonts w:ascii="Arial" w:cs="Arial" w:eastAsia="Arial" w:hAnsi="Arial"/>
          <w:sz w:val="18"/>
          <w:szCs w:val="18"/>
          <w:color w:val="auto"/>
        </w:rPr>
      </w:pPr>
    </w:p>
    <w:p>
      <w:pPr>
        <w:ind w:left="960" w:hanging="31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manage our growth effectively, our ability to develop and commercialize products could suffer.</w:t>
      </w:r>
    </w:p>
    <w:p>
      <w:pPr>
        <w:spacing w:after="0" w:line="190"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acquire businesses or assets, form joint ventures or make investments in other companies that may be unsuccessful, divert our management’s attention and harm our operating results and prospects.</w:t>
      </w:r>
    </w:p>
    <w:p>
      <w:pPr>
        <w:spacing w:after="0" w:line="140" w:lineRule="exact"/>
        <w:rPr>
          <w:rFonts w:ascii="Arial" w:cs="Arial" w:eastAsia="Arial" w:hAnsi="Arial"/>
          <w:sz w:val="18"/>
          <w:szCs w:val="18"/>
          <w:color w:val="auto"/>
        </w:rPr>
      </w:pPr>
    </w:p>
    <w:p>
      <w:pPr>
        <w:ind w:left="960" w:hanging="31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our operations outside of the United States could adversely affect our business.</w:t>
      </w:r>
    </w:p>
    <w:p>
      <w:pPr>
        <w:spacing w:after="0" w:line="177"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product liability lawsuits are brought against us, we could face substantial liabilities and may be required to limit commercialization of our products, and our results of operations could be harmed.</w:t>
      </w:r>
    </w:p>
    <w:p>
      <w:pPr>
        <w:spacing w:after="0" w:line="154"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Because our activities involve the use of hazardous materials, we may be subject to claims relating to improper handling, storage or disposal of these materials that could be time consuming and costly.</w:t>
      </w:r>
    </w:p>
    <w:p>
      <w:pPr>
        <w:spacing w:after="0" w:line="140"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expect to continue to incur significant expenses to discover and develop drugs, which could result in future losses and impair our achievement of and ability to sustain profitability in the future.</w:t>
      </w:r>
    </w:p>
    <w:p>
      <w:pPr>
        <w:spacing w:after="0" w:line="140"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raise additional capital in the future when we require it, our efforts to broaden our product portfolio or commercialization efforts could be limited.</w:t>
      </w:r>
    </w:p>
    <w:p>
      <w:pPr>
        <w:spacing w:after="0" w:line="154"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marketable securities and long term investments are subject to risks that could adversely affect our overall financial position, and tax law changes could adversely affect our results of operations and financial condition.</w:t>
      </w:r>
    </w:p>
    <w:p>
      <w:pPr>
        <w:spacing w:after="0" w:line="140"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achieve milestones, develop product candidates to license or renew or enter into new collaborations, our royalty and milestone revenues and future prospects for those revenues may decrease.</w:t>
      </w:r>
    </w:p>
    <w:p>
      <w:pPr>
        <w:spacing w:after="0" w:line="140"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arbitration or litigation involving us and regarding intellectual property infringement claims could be costly and disrupt our drug discovery and development efforts.</w:t>
      </w:r>
    </w:p>
    <w:p>
      <w:pPr>
        <w:spacing w:after="0" w:line="154"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adequately protect or enforce our proprietary information may result in loss of revenues or otherwise reduce our ability to compete.</w:t>
      </w:r>
    </w:p>
    <w:p>
      <w:pPr>
        <w:spacing w:after="0" w:line="140"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effective term of our patents is decreased or if we need to refile some of our patent applications, the value of our patent portfolio and the revenues we derive from it may be decreased.</w:t>
      </w:r>
    </w:p>
    <w:p>
      <w:pPr>
        <w:spacing w:after="0" w:line="140"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patent protection is particularly uncertain and costly, and our involvement in opposition proceedings may result in the expenditure of substantial sums and management resources.</w:t>
      </w:r>
    </w:p>
    <w:p>
      <w:pPr>
        <w:spacing w:after="0" w:line="154"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disruptions of information technology systems, breaches of data security, or unauthorized disclosures of sensitive data could harm our business and subject us to liability or reputational damage.</w:t>
      </w:r>
    </w:p>
    <w:p>
      <w:pPr>
        <w:spacing w:after="0" w:line="140"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use of social media could give rise to liability, breaches of data security, or reputational damage, which could harm our business and results of operations.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3"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Incyte is a biopharmaceutical company focused on the discovery, development and commercialization of proprietary therapeutics. Our global headquarters is located in Wilmington, Delaware, where we conduct global clinical development and commercial operations. We also conduct clinical development and commercial operations from our European headquarters in Morges, Switzerland and our other offices across Europe, as well as our Japanese office in Tokyo and our Canadian headquarters in Montreal.</w:t>
      </w:r>
    </w:p>
    <w:p>
      <w:pPr>
        <w:spacing w:after="0" w:line="191"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As described in more detail below, we operate in two therapeutic areas that are defined by the indications of our approved medicines and the diseases for which our clinical candidates are being developed. One therapeutic area is Hematology/Oncology, which comprises Myeloproliferative Neoplasms (MPNs), Graft-Versus-Host Disease (GVHD), and solid tumors and hematologic malignancies. The other therapeutic area is Inflammation and Autoimmunity (IAI), which includes our Dermatology commercial franchise. We are also eligible to receive milestones and royalties on molecules discovered by us and licensed to third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Hematology and Oncology</w:t>
      </w:r>
    </w:p>
    <w:p>
      <w:pPr>
        <w:spacing w:after="0" w:line="223"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Our hematology and oncology franchise comprises five approved products, which are JAKAFI (ruxolitinib), MONJUVI (tafasitamab-cxix)/MINJUVI (tafasitamab), PEMAZYRE (pemigatinib), ICLUSIG (ponatinib) and ZYNYZ (retifanlimab-dlwr), as well as numerous clinical development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JAKAFI (ruxolitinib)</w:t>
      </w:r>
    </w:p>
    <w:p>
      <w:pPr>
        <w:spacing w:after="0" w:line="217"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JAKAFI (ruxolitinib) is our first product to be approved for sale in the United States. It was approved by the U.S. Food and Drug Administration (FDA) in November 2011 for the treatment of adults with intermediate or high-risk myelofibrosis (MF); in December 2014 for the treatment of adults with polycythemia vera (PV) who have had an inadequate response to or are intolerant of hydroxyurea; in May 2019 for the treatment of steroid-refractory acute graft-versus-host disease (GVHD) in adult and pediatric patients 12 years and older; and in September 2021 for the treatment of chronic GVHD after failure of one or two lines of systemic therapy in adult and pediatric patients 12 years and older. MF and PV are both myeloproliferative neoplasms (MPNs), a type of rare blood cancer, and GVHD is an adverse immune response to an allogeneic hematopoietic stem cell transplant (HSCT). Under our collaboration agreement with our collaboration partner Novartis Pharmaceutical International Ltd., Novartis received exclusive development and commercialization rights to ruxolitinib outside of the United States for all hematologic and oncologic indications and sells ruxolitinib outside of the United States under the name JAKAVI.</w:t>
      </w:r>
    </w:p>
    <w:p>
      <w:pPr>
        <w:spacing w:after="0" w:line="195"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JAK-STAT signaling pathway has been associated with a number of diseases, including myeloproliferative neoplasms, other hematological malignancies, rheumatoid arthritis and other chronic inflammatory diseases.</w:t>
      </w:r>
    </w:p>
    <w:p>
      <w:pPr>
        <w:spacing w:after="0" w:line="194"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8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JAKAFI is marketed in the United States through our own specialty sales force and commercial team. JAKAFI was the first FDA-approved JAK inhibitor for any indication, was the first FDA-approved product in MF, PV and steroid-refractory acute GVHD, and was recently approved in steroid-refractory chronic GVHD. JAKAFI remains the first-line standard of care in MF and remains the only FDA-approved product for steroid-refractory acute GVHD. The FDA has granted JAKAFI orphan drug status for MF, PV and GVHD.</w:t>
      </w:r>
    </w:p>
    <w:p>
      <w:pPr>
        <w:spacing w:after="0" w:line="191" w:lineRule="exact"/>
        <w:rPr>
          <w:sz w:val="20"/>
          <w:szCs w:val="20"/>
          <w:color w:val="auto"/>
        </w:rPr>
      </w:pPr>
    </w:p>
    <w:p>
      <w:pPr>
        <w:ind w:right="120" w:firstLine="636"/>
        <w:spacing w:after="0" w:line="255" w:lineRule="auto"/>
        <w:rPr>
          <w:sz w:val="20"/>
          <w:szCs w:val="20"/>
          <w:color w:val="auto"/>
        </w:rPr>
      </w:pPr>
      <w:r>
        <w:rPr>
          <w:rFonts w:ascii="Arial" w:cs="Arial" w:eastAsia="Arial" w:hAnsi="Arial"/>
          <w:sz w:val="18"/>
          <w:szCs w:val="18"/>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well-established and familiar to physicians who practice within the oncology field.</w:t>
      </w:r>
    </w:p>
    <w:p>
      <w:pPr>
        <w:spacing w:after="0" w:line="188"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In September 2023, we were notified by the Centers for Medicare and Medicaid Services (CMS) that ruxolitinib phosphate qualified for the Small Biotech Exception for initial price applicability year 2026.</w:t>
      </w:r>
    </w:p>
    <w:p>
      <w:pPr>
        <w:spacing w:after="0" w:line="181" w:lineRule="exact"/>
        <w:rPr>
          <w:sz w:val="20"/>
          <w:szCs w:val="20"/>
          <w:color w:val="auto"/>
        </w:rPr>
      </w:pPr>
    </w:p>
    <w:p>
      <w:pPr>
        <w:jc w:val="both"/>
        <w:ind w:firstLine="636"/>
        <w:spacing w:after="0" w:line="309" w:lineRule="auto"/>
        <w:rPr>
          <w:sz w:val="20"/>
          <w:szCs w:val="20"/>
          <w:color w:val="auto"/>
        </w:rPr>
      </w:pPr>
      <w:r>
        <w:rPr>
          <w:rFonts w:ascii="Arial" w:cs="Arial" w:eastAsia="Arial" w:hAnsi="Arial"/>
          <w:sz w:val="15"/>
          <w:szCs w:val="15"/>
          <w:i w:val="1"/>
          <w:iCs w:val="1"/>
          <w:color w:val="auto"/>
        </w:rPr>
        <w:t xml:space="preserve">Myelofibrosis. </w:t>
      </w:r>
      <w:r>
        <w:rPr>
          <w:rFonts w:ascii="Arial" w:cs="Arial" w:eastAsia="Arial" w:hAnsi="Arial"/>
          <w:sz w:val="15"/>
          <w:szCs w:val="15"/>
          <w:color w:val="auto"/>
        </w:rPr>
        <w:t>MF is a rare, life-threatening condition. MF, considered the most serious of the myeloproliferative neoplasms, can occur either as</w:t>
      </w:r>
      <w:r>
        <w:rPr>
          <w:rFonts w:ascii="Arial" w:cs="Arial" w:eastAsia="Arial" w:hAnsi="Arial"/>
          <w:sz w:val="15"/>
          <w:szCs w:val="15"/>
          <w:i w:val="1"/>
          <w:iCs w:val="1"/>
          <w:color w:val="auto"/>
        </w:rPr>
        <w:t xml:space="preserve"> </w:t>
      </w:r>
      <w:r>
        <w:rPr>
          <w:rFonts w:ascii="Arial" w:cs="Arial" w:eastAsia="Arial" w:hAnsi="Arial"/>
          <w:sz w:val="15"/>
          <w:szCs w:val="15"/>
          <w:color w:val="auto"/>
        </w:rPr>
        <w:t>primary MF, or as secondary MF that develops in some patients who previously had polycythemia vera or essential thrombocythemia. We estimate there are between 16,000 and 18,500 patients with MF in the United States. Based on the modern prognostic scoring systems referred to as International Prognostic Scoring System and Dynamic International Prognostic Scoring System, we believe intermediate and high-risk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152"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81"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The FDA approval was based on results from two randomized Phase III trials (COMFORT-I and COMFORT-II), which demonstrated that patients treated with JAKAFI experienced significant reductions in splenomegaly (enlarged spleen). COMFORT-I also demonstrated improvements in symptoms. The most common hematologic adverse reactions in both trials were thrombocytopenia and anemia. These events rarely led to discontinuation of JAKAFI treatment. The most common non-hematologic adverse reactions were bruising, dizziness and headache.</w:t>
      </w:r>
    </w:p>
    <w:p>
      <w:pPr>
        <w:spacing w:after="0" w:line="177"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In August 2014, the FDA approved supplemental labeling for JAKAFI to include Kaplan-Meier overall survival curves as well as additional safety and dosing information. The overall survival information is based on three-year data from COMFORT-I and II, and shows that at three years the probability of survival for patients treated with JAKAFI in COMFORT-I was 70% and for those patients originally randomized to placebo it was 61%. In COMFORT-II,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179"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 term clinical benefits seen in patients treated with JAKAFI.</w:t>
      </w:r>
    </w:p>
    <w:p>
      <w:pPr>
        <w:spacing w:after="0" w:line="188"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Fatigue total score) was reported in 35% of patients treated with JAKAFI versus 14% of the patients treated with placebo.</w:t>
      </w:r>
    </w:p>
    <w:p>
      <w:pPr>
        <w:spacing w:after="0" w:line="205"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i w:val="1"/>
          <w:iCs w:val="1"/>
          <w:color w:val="auto"/>
        </w:rPr>
        <w:t xml:space="preserve">Polycythemia Vera. </w:t>
      </w:r>
      <w:r>
        <w:rPr>
          <w:rFonts w:ascii="Arial" w:cs="Arial" w:eastAsia="Arial" w:hAnsi="Arial"/>
          <w:sz w:val="18"/>
          <w:szCs w:val="18"/>
          <w:color w:val="auto"/>
        </w:rPr>
        <w:t>PV is a myeloproliferative neoplasm typically characterized by elevated hematocrit, the volume percentage of red blood cells in</w:t>
      </w:r>
      <w:r>
        <w:rPr>
          <w:rFonts w:ascii="Arial" w:cs="Arial" w:eastAsia="Arial" w:hAnsi="Arial"/>
          <w:sz w:val="18"/>
          <w:szCs w:val="18"/>
          <w:i w:val="1"/>
          <w:iCs w:val="1"/>
          <w:color w:val="auto"/>
        </w:rPr>
        <w:t xml:space="preserve"> </w:t>
      </w:r>
      <w:r>
        <w:rPr>
          <w:rFonts w:ascii="Arial" w:cs="Arial" w:eastAsia="Arial" w:hAnsi="Arial"/>
          <w:sz w:val="18"/>
          <w:szCs w:val="18"/>
          <w:color w:val="auto"/>
        </w:rPr>
        <w:t>whole blood, which can lead to a thickening of the blood and an increased risk of blood clots, as well as an elevated white blood cell and platelet count. When phlebotomy can no longer control PV, chemotherapy such as hydroxyurea, or interferon, is utilized. Approximately 25,000 patients with PV in the United States are considered uncontrolled because they have an inadequate response to or are intolerant of hydroxyurea, the most commonly used chemotherapeutic agent for the treatment of PV.</w:t>
      </w:r>
    </w:p>
    <w:p>
      <w:pPr>
        <w:spacing w:after="0" w:line="194"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In December 2014, the FDA approved JAKAFI for the treatment of patients with PV who have had an inadequate response to or are intolerant of hydroxyurea. The approval of JAKAFI for PV was based on data from the pivotal Phase III RESPONSE trial. In this trial, patients treated with JAKAFI demonstrated superior hematocrit control and reductions in spleen volume compared to best available therapy. In addition, a greater proportion of patients treated with JAKAFI achieved complete hematologic remission—which was defined as achieving hematocrit control, and lowering platelet and white blood cell counts. In the RESPONSE trial, the most common hematologic adverse reactions (incidence &gt; 20%) were thrombocytopenia and anemia. The most common non-hematologic adverse events (incidence &gt;10%) were headache, abdominal pain, diarrhea, dizziness, fatigue, pruritus, dyspnea and muscle spasms.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188" w:lineRule="exact"/>
        <w:rPr>
          <w:sz w:val="20"/>
          <w:szCs w:val="20"/>
          <w:color w:val="auto"/>
        </w:rPr>
      </w:pPr>
    </w:p>
    <w:p>
      <w:pPr>
        <w:jc w:val="both"/>
        <w:ind w:right="20" w:firstLine="636"/>
        <w:spacing w:after="0" w:line="255" w:lineRule="auto"/>
        <w:rPr>
          <w:sz w:val="20"/>
          <w:szCs w:val="20"/>
          <w:color w:val="auto"/>
        </w:rPr>
      </w:pPr>
      <w:r>
        <w:rPr>
          <w:rFonts w:ascii="Arial" w:cs="Arial" w:eastAsia="Arial" w:hAnsi="Arial"/>
          <w:sz w:val="18"/>
          <w:szCs w:val="18"/>
          <w:color w:val="auto"/>
        </w:rPr>
        <w:t>In June 2016, we announced data from the Phase III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88"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8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i w:val="1"/>
          <w:iCs w:val="1"/>
          <w:color w:val="auto"/>
        </w:rPr>
        <w:t xml:space="preserve">Graft-versus-host disease. </w:t>
      </w:r>
      <w:r>
        <w:rPr>
          <w:rFonts w:ascii="Arial" w:cs="Arial" w:eastAsia="Arial" w:hAnsi="Arial"/>
          <w:sz w:val="18"/>
          <w:szCs w:val="18"/>
          <w:color w:val="auto"/>
        </w:rPr>
        <w:t>GVHD is a condition that can occur after an allogeneic HSCT (the transfer of genetically dissimilar stem cells or tissue).</w:t>
      </w:r>
      <w:r>
        <w:rPr>
          <w:rFonts w:ascii="Arial" w:cs="Arial" w:eastAsia="Arial" w:hAnsi="Arial"/>
          <w:sz w:val="18"/>
          <w:szCs w:val="18"/>
          <w:i w:val="1"/>
          <w:iCs w:val="1"/>
          <w:color w:val="auto"/>
        </w:rPr>
        <w:t xml:space="preserve"> </w:t>
      </w:r>
      <w:r>
        <w:rPr>
          <w:rFonts w:ascii="Arial" w:cs="Arial" w:eastAsia="Arial" w:hAnsi="Arial"/>
          <w:sz w:val="18"/>
          <w:szCs w:val="18"/>
          <w:color w:val="auto"/>
        </w:rPr>
        <w:t>In GVHD, the donated bone marrow or peripheral blood stem cells view the recipient’s body as foreign and attack various tissues. 12-month survival rates in patients with Grade III or IV steroid-refractory acute GVHD are 50% or less, and the incidence of steroid-refractory acute and chronic GVHD is approximately 3,000 per year in the United States.</w:t>
      </w:r>
    </w:p>
    <w:p>
      <w:pPr>
        <w:spacing w:after="0" w:line="191"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In June 2016, we announced that the FDA granted Breakthrough Therapy designation for ruxolitinib in patients with acute GVHD. In May 2019, the FDA approved JAKAFI for the treatment of steroid-refractory acute GVHD in adult and pediatric patients 12 years and older. The approval was based on data from REACH1, an open-label, single-arm, multicenter study of JAKAFI in combination with corticosteroids in patients with steroid-refractory grade II-IV acute GVHD. The overall response rate (ORR) in patients refractory to steroids alone was 57% with a complete response (CR) rate of 31%. The most frequently reported adverse reactions among all study participants were infections (55%) and edema (51%), and the most common laboratory abnormalities were anemia (75%), thrombocytopenia (75%) and neutropenia (58%).</w:t>
      </w:r>
    </w:p>
    <w:p>
      <w:pPr>
        <w:spacing w:after="0" w:line="179"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5"/>
          <w:szCs w:val="15"/>
          <w:color w:val="auto"/>
        </w:rPr>
        <w:t>In September 2021, the FDA approved JAKAFI for the treatment of chronic GVHD after failure of one or two lines of systemic therapy in adult and pediatric patients 12 years and older. This approval was based on data from REACH3, a Phase III, randomized, open-label, multicenter study of JAKAFI in comparison to best available therapy for treatment of steroid-refractory chronic GVHD after allogeneic stem cell transplantation. The overall response rate through Cycle 7 Day 1 was 70% for JAKAFI compared to 57% for best available therapy. The most common hematologic adverse reactions (incidence &gt; 35%) were anemia and thrombocytopenia. The most common non-hematologic adverse reactions (incidence ≥ 20%) were infections (pathogen not specified) and viral infection. In addition, the FDA updated labeling for JAKAFI to include warnings of increased risk of major adverse cardiovascular events, thrombosis, and secondary malignancies related to another JAK-inhibitor treating rheumatoid arthritis, a condition for which JAKAFI is not indicated. In patients with MF and PV treated with JAKAFI in clinical trials, the rates of thromboembolic events were similar in JAKAFI and control treated patients.</w:t>
      </w:r>
    </w:p>
    <w:p>
      <w:pPr>
        <w:spacing w:after="0" w:line="154"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We have retained all development and commercialization rights to JAKAFI in the United States and are eligible to receive development and sales milestones as well as royalties from product sales outside the United States. We hold patents that cover the composition of matter and use of ruxolitinib and its salt. These patents, including applicable extensions, currently expire in mid-2028 and late-2028. In December 2022, we were granted pediatric exclusivity, which adds six months to the expiration for all ruxolitinib patents listed in FDA’s Approved Drug Products with Therapeutic Equivalence Evaluations (Orange Book) as of the date of the grant of pediatric exclusivity.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MONJUVI (tafasitamab-cxix) / MINJUVI (tafasitamab)</w:t>
      </w:r>
    </w:p>
    <w:p>
      <w:pPr>
        <w:spacing w:after="0" w:line="217"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In January 2020, we and MorphoSys AG entered into a collaboration and license agreement to further develop and commercialize MorphoSys’ proprietary anti-CD19 antibody tafasitamab (MOR208) globally. The agreement became effective March 2020. Tafasitamab is an Fc-engineered antibody against CD19 currently in clinical development for the treatment of B cell malignancies. We have rights to co-commercialize tafasitamab in the United States with MorphoSys, and we have exclusive development and commercialization rights outside of the United States.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7"/>
          <w:szCs w:val="17"/>
          <w:color w:val="auto"/>
        </w:rPr>
        <w:t>In July 2020, we and MorphoSys announced that the FDA approved MONJUVI (tafasitamab-cxix), which is indicated in combination with lenalidomide for the treatment of adult patients with relapsed or refractory diffuse large B-cell lymphoma (DLBCL) not otherwise specified, including DLBCL arising from low grade lymphoma, and who are not eligible for autologous stem cell transplant (ASCT). MONJUVI was approved under accelerated approval based on overall response rate from the MorphoSys-sponsored Phase II L-MIND study, an open label, multicenter, single arm trial of MONJUVI in combination with lenalidomide as a treatment for adult patients with r/r DLBCL. Results from the study showed an objective response rate (ORR) of 55% (39 out of 71 patients; primary endpoint) and a complete response (CR) rate of 37% (26 out of 71 patients). The median duration of response (mDOR) was 21.7 months. The most frequent serious adverse reactions were infections (26%), including pneumonia (7%) and febrile neutropenia (6%). Updated three-year data from L-MIND were presented at the American Society of Clinical Oncology (ASCO) 2021 and final five-year data were presented at the American Association for Cancer Research (AACR) 2023, which showed that the Monjuvi plus lenalidomide regimen followed by Monjuvi monotherapy provided prolonged, durable responses in adult patients with r/r DLBCL.</w:t>
      </w:r>
    </w:p>
    <w:p>
      <w:pPr>
        <w:spacing w:after="0" w:line="182"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In August 2020, we and MorphoSys announced that MONJUVI in combination with lenalidomide had been included in the latest National Comprehensive Cancer Network (NCCN) Clinical Practice Guidelines in Oncology for B-cell Lymphomas.</w:t>
      </w:r>
    </w:p>
    <w:p>
      <w:pPr>
        <w:spacing w:after="0" w:line="18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7"/>
          <w:szCs w:val="17"/>
          <w:color w:val="auto"/>
        </w:rPr>
        <w:t>In August 2021, we and MorphoSys announced that the European Commission (EC) granted conditional marketing authorization for MINJUVI (tafasitamab) in combination with lenalidomide, followed by MINJUVI monotherapy, for the treatment of adult patients with relapsed or refractory DLBCL who are not eligible for autologous stem cell transplant (ASCT). The conditional approval was based on the three-year results from the L-MIND study evaluating the safety and efficacy of MINJUVI in combination with lenalidomide as a treatment for patients with r/r DLBCL who are not eligible for ASCT. The results showed best objective response rate (ORR) of 56.8% (primary endpoint), including a complete response (CR) rate of 39.5% and a partial response rate (PR) of 17.3%, as assessed by an independent review committee. The median duration of response (mDOR) was 43.9 months after a minimum follow up of 35 months (secondary endpoint). MINJUVI together with lenalidomide was shown to provide a clinically meaningful response and the side effects were manageable. Warnings and precautions for MINJUVI include infusion-related reactions, myelosuppression, including neutropenia and thrombocytopenia, infections and tumour lysis syndrome.</w:t>
      </w:r>
    </w:p>
    <w:p>
      <w:pPr>
        <w:spacing w:after="0" w:line="185"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DLBCL is the most common type of non-Hodgkin lymphoma in adults worldwide, comprising 40% of all cases. DLBCL is characterized by rapidly growing masses of malignant B-cells in the lymph nodes, spleen, liver, bone marrow or other organs. It is an aggressive disease with ~40% of patients not responding to initial therapy or relapsing thereafter. We estimate that there are ~10,000 patients diagnosed in the United States each year with r/r DLBCL who are not eligible for ASCT. In the EU, we estimate there are ~14,000 patients diagnosed each year with r/r DLBCL who are not eligible for ASCT.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PEMAZYRE (pemigatinib)</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PEMAZYRE is the first internally discovered product to be internationally commercialized by us.</w:t>
      </w:r>
    </w:p>
    <w:p>
      <w:pPr>
        <w:spacing w:after="0" w:line="21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In April 2020, we announced that the FDA approved PEMAZYRE (pemigatinib), a selective fibroblast growth factor receptor (FGFR) kinase inhibitor, for the treatment of adults with previously treated, unresectable locally advanced or metastatic cholangiocarcinoma with an FGFR2 fusion or other rearrangement as detected by an FDA-approved test. PEMAZYRE is the first FDA-approved treatment for this indication, which was approved under accelerated approval based on overall response rate and duration of response (DOR).</w:t>
      </w:r>
    </w:p>
    <w:p>
      <w:pPr>
        <w:spacing w:after="0" w:line="19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In March 2021, PEMAZYRE was approved by the Japanese Ministry of Health, Labour and Welfare (MHLW) for the treatment of patients with unresectable biliary tract cancer (BTC) with an FGFR2 fusion gene, worsening after cancer chemotherapy. Also in March 2021, PEMAZYRE was approved by the European Commission (EC) for the treatment of adults with locally advanced or metastatic cholangiocarcinoma with an FGFR2 fusion or rearrangement that have progressed after at least one prior line of systemic therapy.</w:t>
      </w:r>
    </w:p>
    <w:p>
      <w:pPr>
        <w:spacing w:after="0" w:line="191"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In July 2021, the UK’s National Institute for Health and Care Excellence (NICE) recommended PEMAZYRE for patients with cholangiocarcinoma with a fibroblast growth factor receptor 2 (FGFR2) fusion or rearrangement that have progressed after at least one prior line of systemic therapy. NICE’s guidance enables all eligible patients in England and Wales to have access to PEMAZYRE through the National Health Service (NHS).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March 2022, PEMAZYRE was approved by the National Medical Products Administration (NMPA) of the People</w:t>
      </w:r>
      <w:r>
        <w:rPr>
          <w:rFonts w:ascii="Arial" w:cs="Arial" w:eastAsia="Arial" w:hAnsi="Arial"/>
          <w:sz w:val="15"/>
          <w:szCs w:val="15"/>
          <w:color w:val="auto"/>
        </w:rPr>
        <w:t>’</w:t>
      </w:r>
      <w:r>
        <w:rPr>
          <w:rFonts w:ascii="Arial" w:cs="Arial" w:eastAsia="Arial" w:hAnsi="Arial"/>
          <w:sz w:val="18"/>
          <w:szCs w:val="18"/>
          <w:color w:val="auto"/>
        </w:rPr>
        <w:t>s Republic of China for the treatment of adults with locally advanced or metastatic cholangiocarcinoma with a fibroblast growth receptor 2 (FGFR2) fusion or rearrangement as confirmed by a validated diagnostic test that have progressed after at least one prior line of systemic therapy.</w:t>
      </w:r>
    </w:p>
    <w:p>
      <w:pPr>
        <w:spacing w:after="0" w:line="188"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Cholangiocarcinoma is a rare cancer that arises from the cells within the bile ducts. It is often diagnosed late (stages III and IV) and the prognosis is poor. The incidence of cholangiocarcinoma with FGFR2 fusions or rearrangements is increasing, and it is currently estimated that there are 2,000-3,000 patients in the United States, Europe and Japan.</w:t>
      </w:r>
    </w:p>
    <w:p>
      <w:pPr>
        <w:spacing w:after="0" w:line="188"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The approval of PEMAZYRE was based on data from FIGHT-202, a multi-center, open-label, single-arm study evaluating PEMAZYRE as a treatment for adults with cholangiocarcinoma. In FIGHT-202, and in patients harboring FGFR2 fusions or rearrangements (Cohort A), PEMAZYRE monotherapy resulted in an overall response rate of 36% (primary endpoint), and median DOR of 9.1 months (secondary endpoint). FIGHT-302, a Phase III trial of pemigatinib for the first-line treatment of patients with cholangiocarcinoma and FGFR2 fusions or rearrangements, is ongoing.</w:t>
      </w:r>
    </w:p>
    <w:p>
      <w:pPr>
        <w:spacing w:after="0" w:line="17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In August 2022, PEMAZYRE was approved by the FDA as the first and only targeted treatment for myeloid/lymphoid neoplasms (MLNs) with FGFR1 rearrangement. MLNs with FGFR1 rearrangement are extremely rare and aggressive blood cancers.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March 2023, PEMAZYRE was approved by the MHLW for the treatment of MLNs with FGFR1 fusion.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ICLUSIG (ponatinib)</w:t>
      </w:r>
    </w:p>
    <w:p>
      <w:pPr>
        <w:spacing w:after="0" w:line="217"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In June 2016, we acquired the European operations of ARIAD Pharmaceuticals, Inc.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3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ZYNYZ (retifanlimab-dlwr)</w:t>
      </w:r>
    </w:p>
    <w:p>
      <w:pPr>
        <w:spacing w:after="0" w:line="217"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In October 2017, we and MacroGenics, Inc. announced an exclusive global collaboration and license agreement for MacroGenics’ retifanlimab (formerly INCMGA0012), an investigational monoclonal antibody that inhibits PD-1. Under this collaboration, we obtained exclusive worldwide rights for the development and commercialization of retifanlimab in all indications. The molecule is currently being evaluated both as monotherapy and in combination therapy across various tumor types. Two Phase III trials evaluating retifanlimab in squamous cell anal cancer (SCAC) and non-small cell lung cancer (NSCLC) are ongoing.</w:t>
      </w:r>
    </w:p>
    <w:p>
      <w:pPr>
        <w:spacing w:after="0" w:line="194"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March 2023, we announced that the FDA approved ZYNYZ (retifanlimab-dlwr), a humanized monoclonal antibody targeting programmed death receptor-1 (PD-1), under accelerated approval, for the treatment of adults with metastatic or recurrent locally advanced Merkel cell carcinoma (MCC). This represents the first regulatory approval for our PD-1 inhibitor.</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Programs in Hematology and Oncology</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Ruxolitinib</w:t>
      </w:r>
    </w:p>
    <w:p>
      <w:pPr>
        <w:spacing w:after="0" w:line="217"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As part of our ongoing LIMBER (Leadership In MPNs BEyond Ruxolitinib) clinical development initiative, which is designed to improve and expand therapeutic options for patients with myeloproliferative neoplasms, we are evaluating combinations of ruxolitinib with other therapeutic modalities, as well as developing a once-a-day formulation of ruxolitinib for potential use as monotherapy and combination therapy. Bioavailability and bioequivalence data were published for ruxolitinib’s once-daily (QD) extended release (XR) formulation at the European Hematology Association (EHA) 2021 Virtual Congress in June 2021. In March 2023, the FDA issued a complete response letter for ruxolitinib extended-release (XR) tablets for once-daily (QD) use in the treatment of certain types of MF, PV and GVHD. The complete response letter stated that the FDA could not approve the application in its present form but acknowledged that the study submitted in the NDA met its objective of bioequivalence based on area under the curve parameters but identified additional requirements for approval. We will work with the FDA to determine the appropriate next steps.</w:t>
      </w:r>
    </w:p>
    <w:p>
      <w:pPr>
        <w:spacing w:after="0" w:line="181"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Phase II trials combining ruxolitinib with investigational agents from our portfolio such as INCB57643 (BET) and INCB00928 (ALK2) in patients with MF are ongoing, and in June 2023, at the American Society of Clinical Oncology (ASCO) annual meeting, updated data was presented which demonstrated early signals of clinical activity of both agents in monotherapy and in combination with ruxolitinib. Additional discovery and development initiatives are also ongoing within the LIMBER program, which are evaluating internally-discovered compounds, and candidates from collaboration partners. We recently announced the discontinuation of LIMBER-304 and LIMBER-313, two Phase III studies evaluating ruxolitinib in combination with parsaclisib in MF patients with a suboptimal response to ruxolitinib monotherapy and in first-line MF, respectively. These studies were discontinued as a result of planned interim analyses which indicated that the studies were unlikely to meet their primary endpoint in the intent-to-treat patient population. The recommendation to stop the studies was not due to safety.</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Axatilimab</w:t>
      </w:r>
    </w:p>
    <w:p>
      <w:pPr>
        <w:spacing w:after="0" w:line="21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7"/>
          <w:szCs w:val="17"/>
          <w:color w:val="auto"/>
        </w:rPr>
        <w:t>In September 2021, we and Syndax Pharmaceuticals, Inc. announced an exclusive worldwide collaboration and license agreement to develop and commercialize axatilimab, Syndax’s anti-CSF-1R monoclonal antibody. Together, we plan to develop axatilimab as a therapy for patients with chronic GVHD as well as in additional immune-mediated diseases where CSF-1R-dependent monocytes and macrophages are believed to contribute to organ fibrosis. In December 2021, updated positive data were presented at ASH from the Phase I/II trial evaluating axatilimab as a monotherapy in patients with recurrent or refractory chronic GVHD after two or more prior lines of therapy. A 68% overall response rate and broad clinical benefit across multiple organs were observed at doses being assessed in AGAVE-201, a global pivotal trial evaluating axatilimab monotherapy in patients with chronic GVHD in the third line setting. Additional trials of axatilimab are planned in patients with chronic GVHD, including a Phase II trial in combination with ruxolitinib in patients with cGVHD. In May 2022, Syndax announced that axatilimab was granted fast-track designation by the FDA for the treatment of patients with chronic GVHD after failure of two or more lines of systemic therapy.</w:t>
      </w:r>
    </w:p>
    <w:p>
      <w:pPr>
        <w:spacing w:after="0" w:line="185"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July 2023, we and Syndax announced that AGAVE-201 had met its primary endpoint across all cohorts with an overall response rate (ORR) of 74% at the dose of 0.3 mg/kg administered every two weeks. The data highlight the durable response seen at the 0.3 mg/kg dose with 60% of patients who responded to axatilimab still responding at one year.</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INCA033989 (mCALR)</w:t>
      </w:r>
    </w:p>
    <w:p>
      <w:pPr>
        <w:spacing w:after="0" w:line="217"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In December 2022, new research detailing the development and mechanism of action of INCA033989, an Incyte-discovered, investigational novel anti-mutant calreticulin (CALR)-targeted monoclonal antibody, was featured in the Plenary Scientific Session at the 64th American Society of Hematology (ASH) Annual Meeting. INCA033989 binds with high affinity to mutant CALR and inhibits oncogenesis, the process of cells becoming cancerous, in cells expressing this oncoprotein. CALR mutations are responsible for disease development in approximately 25-35% of patients with MF and ET. In July 2023, we initiated a Phase I study evaluating INCA033989.</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Tafasitamab</w:t>
      </w:r>
    </w:p>
    <w:p>
      <w:pPr>
        <w:spacing w:after="0" w:line="21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Tafasitamab is an anti-CD19 antibody and is being investigated as a therapeutic option in B cell malignancies in a number of ongoing and planned combination trials. An open-label Phase II combination trial (L-MIND) is investigating the safety and efficacy of tafasitamab in combination with lenalidomide in patients with relapsed or refractory diffuse large B-cell lymphoma (r/r DLBCL), and the ongoing Phase III B-MIND trial is assessing the combination of tafasitamab and bendamustine versus rituximab and bendamustine in r/r DLBCL. firstMIND is a Phase Ib safety trial of tafasitamab as a first-line therapy for patients with DLBCL, and frontMIND, a placebo-controlled Phase III trial evaluating tafasitamab in combination with lenalidomide added to rituximab plus chemotherapy (R-CHOP) as a first-line therapy for patients with DLBCL, is ongoing.</w:t>
      </w:r>
    </w:p>
    <w:p>
      <w:pPr>
        <w:spacing w:after="0" w:line="179"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A placebo-controlled Phase III trial (inMIND) of tafasitamab added to lenalidomide plus rituximab (R</w:t>
      </w:r>
      <w:r>
        <w:rPr>
          <w:rFonts w:ascii="Arial" w:cs="Arial" w:eastAsia="Arial" w:hAnsi="Arial"/>
          <w:sz w:val="8"/>
          <w:szCs w:val="8"/>
          <w:color w:val="auto"/>
        </w:rPr>
        <w:t>2</w:t>
      </w:r>
      <w:r>
        <w:rPr>
          <w:rFonts w:ascii="Arial" w:cs="Arial" w:eastAsia="Arial" w:hAnsi="Arial"/>
          <w:sz w:val="18"/>
          <w:szCs w:val="18"/>
          <w:color w:val="auto"/>
        </w:rPr>
        <w:t>) in patients with relapsed or refractory follicular or marginal zone lymphomas is ongoing.</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January 2021, the FDA granted orphan drug designation to tafasitamab as a treatment for patients with follicular lymphoma.</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Pemigatinib</w:t>
      </w:r>
    </w:p>
    <w:p>
      <w:pPr>
        <w:spacing w:after="0" w:line="217" w:lineRule="exact"/>
        <w:rPr>
          <w:sz w:val="20"/>
          <w:szCs w:val="20"/>
          <w:color w:val="auto"/>
        </w:rPr>
      </w:pPr>
    </w:p>
    <w:p>
      <w:pPr>
        <w:jc w:val="both"/>
        <w:ind w:firstLine="636"/>
        <w:spacing w:after="0" w:line="294" w:lineRule="auto"/>
        <w:rPr>
          <w:sz w:val="20"/>
          <w:szCs w:val="20"/>
          <w:color w:val="auto"/>
        </w:rPr>
      </w:pPr>
      <w:r>
        <w:rPr>
          <w:rFonts w:ascii="Arial" w:cs="Arial" w:eastAsia="Arial" w:hAnsi="Arial"/>
          <w:sz w:val="17"/>
          <w:szCs w:val="17"/>
          <w:color w:val="auto"/>
        </w:rPr>
        <w:t>Pemigatinib is a potent and selective inhibitor of the fibroblast growth factor receptor (FGFR) isoforms 1, 2 and 3 with demonstrated activity in preclinical studies. The FGFR family of receptor tyrosine kinases can act as oncogenic drivers in a number of liquid and solid tumor types.</w:t>
      </w:r>
    </w:p>
    <w:p>
      <w:pPr>
        <w:spacing w:after="0" w:line="157"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We initiated the FIGHT clinical program to evaluate pemigatinib across a spectrum of cancers that are driven by FGF/FGFR alterations. The program initially included three Phase II trials – FIGHT-201 in patients with bladder cancer, FIGHT-202 in patients with cholangiocarcinoma, and FIGHT-203 in patients with myeloid/lymphoid neoplasms with FGFR1 rearrangement. Based on data generated from these trials, we have initiated additional trials including FIGHT-302, a Phase III study in first-line cholangiocarcinoma. FIGHT-207, a solid tumor-agnostic trial evaluating pemigatinib in patients with driver-alterations of FGF/FGFR, is now closed to recruitment. Based on findings from this study, we have identified populations that may potentially benefit from treatment with pemigatinib and a Phase II trial, FIGHT-209, in patients with glioblastoma is ongoing.</w:t>
      </w:r>
    </w:p>
    <w:p>
      <w:pPr>
        <w:spacing w:after="0" w:line="179"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Pemigatinib has Breakthrough Therapy designation as a treatment for patients with myeloid/lymphoid neoplasms (MLN) with FGFR1 rearrangement who have relapsed or are refractory to initial chemotherapy.</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Retifanlimab</w:t>
      </w:r>
    </w:p>
    <w:p>
      <w:pPr>
        <w:spacing w:after="0" w:line="217"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The Phase III POD1UM-303 trial of retifanlimab in combination with platinum-based chemotherapy as a first-line treatment for patients with squamous cell carcinoma of the anal canal (SCAC) is ongoing. In July 2021, we announced that the FDA issued a complete response letter (CRL) for the BLA of retifanlimab for the treatment of SCAC. In October 2021, we announced that we withdrew the MAA seeking approval of retifanlimab in SCAC.</w:t>
      </w:r>
    </w:p>
    <w:p>
      <w:pPr>
        <w:spacing w:after="0" w:line="13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The Phase III POD1UM-304 trial is evaluating retifanlimab in combination with platinum-based chemotherapy as a first-line treatment for patients with non-small cell lung cancer (NSCLC).</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Oral PD-L1</w:t>
      </w:r>
    </w:p>
    <w:p>
      <w:pPr>
        <w:spacing w:after="0" w:line="217"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In November 2021, we highlighted Phase I clinical safety and efficacy data for our oral PD-L1 program which included two compounds, INCB99280 and INCB99318. Tumor shrinkage was observed for both oral PD-L1 inhibitors and both were generally well tolerated. We plan to evaluate INCB99280 in Phase II as monotherapy and in combination with other antitumor agents. Further dose escalation and dose expansion trials are ongoing with INCB99318.</w:t>
      </w:r>
    </w:p>
    <w:p>
      <w:pPr>
        <w:spacing w:after="0" w:line="137"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7"/>
          <w:szCs w:val="17"/>
          <w:color w:val="auto"/>
        </w:rPr>
        <w:t>In November 2022, (i) updated safety and preliminary efficacy data for INCB99280 and INCB99318 was presented at the Society for Immunotherapy of Cancer, and (ii) we and Mirati Therapeutics, Inc. announced a clinical trial collaboration and supply agreement to investigate the combination of INCB99280 and adagrasib, a KRASG12C selective inhibitor, in patients with KRASG12C-mutated solid tumors.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color w:val="auto"/>
        </w:rPr>
        <w:t>In July 2023, we initiated two Phase I studies evaluating INCB99280 in combination with axitinib (VEGF) and in combination with ipilimumab (CTLA-4). A Phase II study evaluating INCB99280 in patients with select solid tumors who are checkpoint inhibitor naive was also initiated. Additionally, we initiated a Phase II study evaluating INCB99280 in metastatic cutaneous squamous cell carcinoma (cSCC) or locally advanced cSCC. We and Replimune Group, Inc. announced a clinical trial collaboration and supply agreement to investigate the combination of INCB99280 and RP1 in patients with cutaneous squamous cell carcinoma. RP1 is Replimune’s lead oncolytic immunotherapy product candidate and is based on a proprietary new strain of herpes simplex virus engineered for robust tumor selective replication and genetically armed with a fusogenic protein (GALV-GP R-) and GM-CSF, intended to maximize tumor killing potency, the immunogenicity of tumor cell death, and the activation of a systemic anti-tumor immune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7134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Borders>
              <w:bottom w:val="single" w:sz="8" w:color="auto"/>
            </w:tcBorders>
          </w:tcPr>
          <w:p>
            <w:pPr>
              <w:spacing w:after="0"/>
              <w:rPr>
                <w:sz w:val="20"/>
                <w:szCs w:val="20"/>
                <w:color w:val="auto"/>
              </w:rPr>
            </w:pPr>
          </w:p>
        </w:tc>
        <w:tc>
          <w:tcPr>
            <w:tcW w:w="73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Indication and status</w:t>
            </w:r>
          </w:p>
        </w:tc>
      </w:tr>
      <w:tr>
        <w:trPr>
          <w:trHeight w:val="24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ruxolitinib XR (QD) (JAK1/JAK2)</w:t>
            </w:r>
          </w:p>
        </w:tc>
        <w:tc>
          <w:tcPr>
            <w:tcW w:w="7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Myelofibrosis, polycythemia vera and GVHD</w:t>
            </w:r>
          </w:p>
        </w:tc>
      </w:tr>
      <w:tr>
        <w:trPr>
          <w:trHeight w:val="225"/>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w w:val="98"/>
              </w:rPr>
              <w:t>ruxolitinib + zilurgisertib (JAK1/JAK2 + ALK2)</w:t>
            </w:r>
          </w:p>
        </w:tc>
        <w:tc>
          <w:tcPr>
            <w:tcW w:w="7340" w:type="dxa"/>
            <w:vAlign w:val="bottom"/>
          </w:tcPr>
          <w:p>
            <w:pPr>
              <w:ind w:left="60"/>
              <w:spacing w:after="0"/>
              <w:rPr>
                <w:sz w:val="20"/>
                <w:szCs w:val="20"/>
                <w:color w:val="auto"/>
              </w:rPr>
            </w:pPr>
            <w:r>
              <w:rPr>
                <w:rFonts w:ascii="Arial" w:cs="Arial" w:eastAsia="Arial" w:hAnsi="Arial"/>
                <w:sz w:val="18"/>
                <w:szCs w:val="18"/>
                <w:color w:val="auto"/>
              </w:rPr>
              <w:t>Myelofibrosis: Phase II</w:t>
            </w:r>
          </w:p>
        </w:tc>
      </w:tr>
      <w:tr>
        <w:trPr>
          <w:trHeight w:val="24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ruxolitinib + INCB57643 (JAK1/JAK2 + BET)</w:t>
            </w:r>
          </w:p>
        </w:tc>
        <w:tc>
          <w:tcPr>
            <w:tcW w:w="7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Myelofibrosis: Phase II</w:t>
            </w:r>
          </w:p>
        </w:tc>
      </w:tr>
      <w:tr>
        <w:trPr>
          <w:trHeight w:val="265"/>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w w:val="97"/>
              </w:rPr>
              <w:t>ruxolitinib + CK0804</w:t>
            </w:r>
            <w:r>
              <w:rPr>
                <w:rFonts w:ascii="Arial" w:cs="Arial" w:eastAsia="Arial" w:hAnsi="Arial"/>
                <w:sz w:val="22"/>
                <w:szCs w:val="22"/>
                <w:b w:val="1"/>
                <w:bCs w:val="1"/>
                <w:color w:val="auto"/>
                <w:w w:val="97"/>
                <w:vertAlign w:val="superscript"/>
              </w:rPr>
              <w:t>1</w:t>
            </w:r>
            <w:r>
              <w:rPr>
                <w:rFonts w:ascii="Arial" w:cs="Arial" w:eastAsia="Arial" w:hAnsi="Arial"/>
                <w:sz w:val="18"/>
                <w:szCs w:val="18"/>
                <w:b w:val="1"/>
                <w:bCs w:val="1"/>
                <w:color w:val="auto"/>
                <w:w w:val="97"/>
              </w:rPr>
              <w:t xml:space="preserve"> (JAK1/JAK2 + CB-Tregs)</w:t>
            </w:r>
          </w:p>
        </w:tc>
        <w:tc>
          <w:tcPr>
            <w:tcW w:w="7340" w:type="dxa"/>
            <w:vAlign w:val="bottom"/>
          </w:tcPr>
          <w:p>
            <w:pPr>
              <w:ind w:left="60"/>
              <w:spacing w:after="0"/>
              <w:rPr>
                <w:sz w:val="20"/>
                <w:szCs w:val="20"/>
                <w:color w:val="auto"/>
              </w:rPr>
            </w:pPr>
            <w:r>
              <w:rPr>
                <w:rFonts w:ascii="Arial" w:cs="Arial" w:eastAsia="Arial" w:hAnsi="Arial"/>
                <w:sz w:val="18"/>
                <w:szCs w:val="18"/>
                <w:color w:val="auto"/>
              </w:rPr>
              <w:t>Myelofibrosis: Phase I (LIMBER-TREG108)</w:t>
            </w:r>
          </w:p>
        </w:tc>
      </w:tr>
      <w:tr>
        <w:trPr>
          <w:trHeight w:val="265"/>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axatilimab (anti-CSF-1R)</w:t>
            </w:r>
            <w:r>
              <w:rPr>
                <w:rFonts w:ascii="Arial" w:cs="Arial" w:eastAsia="Arial" w:hAnsi="Arial"/>
                <w:sz w:val="22"/>
                <w:szCs w:val="22"/>
                <w:color w:val="auto"/>
                <w:vertAlign w:val="superscript"/>
              </w:rPr>
              <w:t>2</w:t>
            </w:r>
          </w:p>
        </w:tc>
        <w:tc>
          <w:tcPr>
            <w:tcW w:w="7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Chronic GVHD: Pivotal Phase II (third-line plus therapy) (AGAVE-201)</w:t>
            </w:r>
          </w:p>
        </w:tc>
      </w:tr>
      <w:tr>
        <w:trPr>
          <w:trHeight w:val="220"/>
        </w:trPr>
        <w:tc>
          <w:tcPr>
            <w:tcW w:w="3900" w:type="dxa"/>
            <w:vAlign w:val="bottom"/>
          </w:tcPr>
          <w:p>
            <w:pPr>
              <w:ind w:left="20"/>
              <w:spacing w:after="0" w:line="220" w:lineRule="exact"/>
              <w:rPr>
                <w:sz w:val="20"/>
                <w:szCs w:val="20"/>
                <w:color w:val="auto"/>
              </w:rPr>
            </w:pPr>
            <w:r>
              <w:rPr>
                <w:rFonts w:ascii="Arial" w:cs="Arial" w:eastAsia="Arial" w:hAnsi="Arial"/>
                <w:sz w:val="18"/>
                <w:szCs w:val="18"/>
                <w:b w:val="1"/>
                <w:bCs w:val="1"/>
                <w:color w:val="auto"/>
                <w:w w:val="93"/>
              </w:rPr>
              <w:t>ruxolitinib + axatilimab</w:t>
            </w:r>
            <w:r>
              <w:rPr>
                <w:rFonts w:ascii="Arial" w:cs="Arial" w:eastAsia="Arial" w:hAnsi="Arial"/>
                <w:sz w:val="22"/>
                <w:szCs w:val="22"/>
                <w:color w:val="auto"/>
                <w:w w:val="93"/>
                <w:vertAlign w:val="superscript"/>
              </w:rPr>
              <w:t>2</w:t>
            </w:r>
            <w:r>
              <w:rPr>
                <w:rFonts w:ascii="Arial" w:cs="Arial" w:eastAsia="Arial" w:hAnsi="Arial"/>
                <w:sz w:val="18"/>
                <w:szCs w:val="18"/>
                <w:b w:val="1"/>
                <w:bCs w:val="1"/>
                <w:color w:val="auto"/>
                <w:w w:val="93"/>
              </w:rPr>
              <w:t xml:space="preserve"> (JAK1/JAK2 + anti-CSF-</w:t>
            </w:r>
          </w:p>
        </w:tc>
        <w:tc>
          <w:tcPr>
            <w:tcW w:w="7340" w:type="dxa"/>
            <w:vAlign w:val="bottom"/>
          </w:tcPr>
          <w:p>
            <w:pPr>
              <w:ind w:left="60"/>
              <w:spacing w:after="0"/>
              <w:rPr>
                <w:sz w:val="20"/>
                <w:szCs w:val="20"/>
                <w:color w:val="auto"/>
              </w:rPr>
            </w:pPr>
            <w:r>
              <w:rPr>
                <w:rFonts w:ascii="Arial" w:cs="Arial" w:eastAsia="Arial" w:hAnsi="Arial"/>
                <w:sz w:val="18"/>
                <w:szCs w:val="18"/>
                <w:color w:val="auto"/>
              </w:rPr>
              <w:t>Chronic GVHD: Phase I/II in preparation</w:t>
            </w: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1R)</w:t>
            </w:r>
          </w:p>
        </w:tc>
        <w:tc>
          <w:tcPr>
            <w:tcW w:w="7340" w:type="dxa"/>
            <w:vAlign w:val="bottom"/>
          </w:tcPr>
          <w:p>
            <w:pPr>
              <w:spacing w:after="0"/>
              <w:rPr>
                <w:sz w:val="19"/>
                <w:szCs w:val="19"/>
                <w:color w:val="auto"/>
              </w:rPr>
            </w:pPr>
          </w:p>
        </w:tc>
      </w:tr>
      <w:tr>
        <w:trPr>
          <w:trHeight w:val="28"/>
        </w:trPr>
        <w:tc>
          <w:tcPr>
            <w:tcW w:w="3900" w:type="dxa"/>
            <w:vAlign w:val="bottom"/>
          </w:tcPr>
          <w:p>
            <w:pPr>
              <w:spacing w:after="0"/>
              <w:rPr>
                <w:sz w:val="2"/>
                <w:szCs w:val="2"/>
                <w:color w:val="auto"/>
              </w:rPr>
            </w:pPr>
          </w:p>
        </w:tc>
        <w:tc>
          <w:tcPr>
            <w:tcW w:w="7340" w:type="dxa"/>
            <w:vAlign w:val="bottom"/>
          </w:tcPr>
          <w:p>
            <w:pPr>
              <w:spacing w:after="0"/>
              <w:rPr>
                <w:sz w:val="2"/>
                <w:szCs w:val="2"/>
                <w:color w:val="auto"/>
              </w:rPr>
            </w:pPr>
          </w:p>
        </w:tc>
      </w:tr>
      <w:tr>
        <w:trPr>
          <w:trHeight w:val="24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INCA033989 (mCALR)</w:t>
            </w:r>
          </w:p>
        </w:tc>
        <w:tc>
          <w:tcPr>
            <w:tcW w:w="7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Myelofibrosis, essential thrombocythemia: Phase I</w:t>
            </w:r>
          </w:p>
        </w:tc>
      </w:tr>
      <w:tr>
        <w:trPr>
          <w:trHeight w:val="226"/>
        </w:trPr>
        <w:tc>
          <w:tcPr>
            <w:tcW w:w="3900" w:type="dxa"/>
            <w:vAlign w:val="bottom"/>
          </w:tcPr>
          <w:p>
            <w:pPr>
              <w:ind w:left="20"/>
              <w:spacing w:after="0" w:line="226" w:lineRule="exact"/>
              <w:rPr>
                <w:sz w:val="20"/>
                <w:szCs w:val="20"/>
                <w:color w:val="auto"/>
              </w:rPr>
            </w:pPr>
            <w:r>
              <w:rPr>
                <w:rFonts w:ascii="Arial" w:cs="Arial" w:eastAsia="Arial" w:hAnsi="Arial"/>
                <w:sz w:val="18"/>
                <w:szCs w:val="18"/>
                <w:b w:val="1"/>
                <w:bCs w:val="1"/>
                <w:color w:val="auto"/>
              </w:rPr>
              <w:t>tafasitamab (CD19)</w:t>
            </w:r>
            <w:r>
              <w:rPr>
                <w:rFonts w:ascii="Arial" w:cs="Arial" w:eastAsia="Arial" w:hAnsi="Arial"/>
                <w:sz w:val="22"/>
                <w:szCs w:val="22"/>
                <w:b w:val="1"/>
                <w:bCs w:val="1"/>
                <w:color w:val="auto"/>
                <w:vertAlign w:val="superscript"/>
              </w:rPr>
              <w:t>3</w:t>
            </w:r>
          </w:p>
        </w:tc>
        <w:tc>
          <w:tcPr>
            <w:tcW w:w="7340" w:type="dxa"/>
            <w:vAlign w:val="bottom"/>
          </w:tcPr>
          <w:p>
            <w:pPr>
              <w:ind w:left="60"/>
              <w:spacing w:after="0"/>
              <w:rPr>
                <w:sz w:val="20"/>
                <w:szCs w:val="20"/>
                <w:color w:val="auto"/>
              </w:rPr>
            </w:pPr>
            <w:r>
              <w:rPr>
                <w:rFonts w:ascii="Arial" w:cs="Arial" w:eastAsia="Arial" w:hAnsi="Arial"/>
                <w:sz w:val="18"/>
                <w:szCs w:val="18"/>
                <w:color w:val="auto"/>
              </w:rPr>
              <w:t>r/r DLBCL: Phase III (B-MIND)</w:t>
            </w:r>
          </w:p>
        </w:tc>
      </w:tr>
      <w:tr>
        <w:trPr>
          <w:trHeight w:val="212"/>
        </w:trPr>
        <w:tc>
          <w:tcPr>
            <w:tcW w:w="3900" w:type="dxa"/>
            <w:vAlign w:val="bottom"/>
          </w:tcPr>
          <w:p>
            <w:pPr>
              <w:spacing w:after="0"/>
              <w:rPr>
                <w:sz w:val="18"/>
                <w:szCs w:val="18"/>
                <w:color w:val="auto"/>
              </w:rPr>
            </w:pPr>
          </w:p>
        </w:tc>
        <w:tc>
          <w:tcPr>
            <w:tcW w:w="7340" w:type="dxa"/>
            <w:vAlign w:val="bottom"/>
          </w:tcPr>
          <w:p>
            <w:pPr>
              <w:ind w:left="60"/>
              <w:spacing w:after="0"/>
              <w:rPr>
                <w:sz w:val="20"/>
                <w:szCs w:val="20"/>
                <w:color w:val="auto"/>
              </w:rPr>
            </w:pPr>
            <w:r>
              <w:rPr>
                <w:rFonts w:ascii="Arial" w:cs="Arial" w:eastAsia="Arial" w:hAnsi="Arial"/>
                <w:sz w:val="18"/>
                <w:szCs w:val="18"/>
                <w:color w:val="auto"/>
              </w:rPr>
              <w:t>1L DLBCL: Phase III (frontMIND)</w:t>
            </w:r>
          </w:p>
        </w:tc>
      </w:tr>
      <w:tr>
        <w:trPr>
          <w:trHeight w:val="223"/>
        </w:trPr>
        <w:tc>
          <w:tcPr>
            <w:tcW w:w="3900" w:type="dxa"/>
            <w:vAlign w:val="bottom"/>
          </w:tcPr>
          <w:p>
            <w:pPr>
              <w:spacing w:after="0"/>
              <w:rPr>
                <w:sz w:val="19"/>
                <w:szCs w:val="19"/>
                <w:color w:val="auto"/>
              </w:rPr>
            </w:pPr>
          </w:p>
        </w:tc>
        <w:tc>
          <w:tcPr>
            <w:tcW w:w="7340" w:type="dxa"/>
            <w:vAlign w:val="bottom"/>
          </w:tcPr>
          <w:p>
            <w:pPr>
              <w:ind w:left="60"/>
              <w:spacing w:after="0"/>
              <w:rPr>
                <w:sz w:val="20"/>
                <w:szCs w:val="20"/>
                <w:color w:val="auto"/>
              </w:rPr>
            </w:pPr>
            <w:r>
              <w:rPr>
                <w:rFonts w:ascii="Arial" w:cs="Arial" w:eastAsia="Arial" w:hAnsi="Arial"/>
                <w:sz w:val="18"/>
                <w:szCs w:val="18"/>
                <w:color w:val="auto"/>
              </w:rPr>
              <w:t>r/r follicular &amp; marginal zone lymphomas: Phase III (inMIND)</w:t>
            </w:r>
          </w:p>
        </w:tc>
      </w:tr>
      <w:tr>
        <w:trPr>
          <w:trHeight w:val="28"/>
        </w:trPr>
        <w:tc>
          <w:tcPr>
            <w:tcW w:w="3900" w:type="dxa"/>
            <w:vAlign w:val="bottom"/>
          </w:tcPr>
          <w:p>
            <w:pPr>
              <w:spacing w:after="0"/>
              <w:rPr>
                <w:sz w:val="2"/>
                <w:szCs w:val="2"/>
                <w:color w:val="auto"/>
              </w:rPr>
            </w:pPr>
          </w:p>
        </w:tc>
        <w:tc>
          <w:tcPr>
            <w:tcW w:w="7340" w:type="dxa"/>
            <w:vAlign w:val="bottom"/>
          </w:tcPr>
          <w:p>
            <w:pPr>
              <w:spacing w:after="0"/>
              <w:rPr>
                <w:sz w:val="2"/>
                <w:szCs w:val="2"/>
                <w:color w:val="auto"/>
              </w:rPr>
            </w:pPr>
          </w:p>
        </w:tc>
      </w:tr>
      <w:tr>
        <w:trPr>
          <w:trHeight w:val="22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pemigatinib (FGFR1/2/3)</w:t>
            </w:r>
          </w:p>
        </w:tc>
        <w:tc>
          <w:tcPr>
            <w:tcW w:w="7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Myeloid/lymphoid neoplasms (MLN): approved in the U.S. and Japan</w:t>
            </w:r>
          </w:p>
        </w:tc>
      </w:tr>
      <w:tr>
        <w:trPr>
          <w:trHeight w:val="212"/>
        </w:trPr>
        <w:tc>
          <w:tcPr>
            <w:tcW w:w="3900" w:type="dxa"/>
            <w:vAlign w:val="bottom"/>
            <w:shd w:val="clear" w:color="auto" w:fill="CCEEFF"/>
          </w:tcPr>
          <w:p>
            <w:pPr>
              <w:spacing w:after="0"/>
              <w:rPr>
                <w:sz w:val="18"/>
                <w:szCs w:val="18"/>
                <w:color w:val="auto"/>
              </w:rPr>
            </w:pPr>
          </w:p>
        </w:tc>
        <w:tc>
          <w:tcPr>
            <w:tcW w:w="7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CCA: Phase III (FIGHT-302)</w:t>
            </w:r>
          </w:p>
        </w:tc>
      </w:tr>
      <w:tr>
        <w:trPr>
          <w:trHeight w:val="231"/>
        </w:trPr>
        <w:tc>
          <w:tcPr>
            <w:tcW w:w="3900" w:type="dxa"/>
            <w:vAlign w:val="bottom"/>
            <w:tcBorders>
              <w:bottom w:val="single" w:sz="8" w:color="CCEEFF"/>
            </w:tcBorders>
            <w:shd w:val="clear" w:color="auto" w:fill="CCEEFF"/>
          </w:tcPr>
          <w:p>
            <w:pPr>
              <w:spacing w:after="0"/>
              <w:rPr>
                <w:sz w:val="20"/>
                <w:szCs w:val="20"/>
                <w:color w:val="auto"/>
              </w:rPr>
            </w:pPr>
          </w:p>
        </w:tc>
        <w:tc>
          <w:tcPr>
            <w:tcW w:w="7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Glioblastoma: Phase II (FIGHT-209)</w:t>
            </w:r>
          </w:p>
        </w:tc>
      </w:tr>
      <w:tr>
        <w:trPr>
          <w:trHeight w:val="226"/>
        </w:trPr>
        <w:tc>
          <w:tcPr>
            <w:tcW w:w="3900" w:type="dxa"/>
            <w:vAlign w:val="bottom"/>
          </w:tcPr>
          <w:p>
            <w:pPr>
              <w:ind w:left="20"/>
              <w:spacing w:after="0" w:line="226" w:lineRule="exact"/>
              <w:rPr>
                <w:sz w:val="20"/>
                <w:szCs w:val="20"/>
                <w:color w:val="auto"/>
              </w:rPr>
            </w:pPr>
            <w:r>
              <w:rPr>
                <w:rFonts w:ascii="Arial" w:cs="Arial" w:eastAsia="Arial" w:hAnsi="Arial"/>
                <w:sz w:val="18"/>
                <w:szCs w:val="18"/>
                <w:b w:val="1"/>
                <w:bCs w:val="1"/>
                <w:color w:val="auto"/>
              </w:rPr>
              <w:t>retifanlimab (PD-1)</w:t>
            </w:r>
            <w:r>
              <w:rPr>
                <w:rFonts w:ascii="Arial" w:cs="Arial" w:eastAsia="Arial" w:hAnsi="Arial"/>
                <w:sz w:val="22"/>
                <w:szCs w:val="22"/>
                <w:b w:val="1"/>
                <w:bCs w:val="1"/>
                <w:color w:val="auto"/>
                <w:vertAlign w:val="superscript"/>
              </w:rPr>
              <w:t>4</w:t>
            </w:r>
          </w:p>
        </w:tc>
        <w:tc>
          <w:tcPr>
            <w:tcW w:w="7340" w:type="dxa"/>
            <w:vAlign w:val="bottom"/>
          </w:tcPr>
          <w:p>
            <w:pPr>
              <w:ind w:left="60"/>
              <w:spacing w:after="0"/>
              <w:rPr>
                <w:sz w:val="20"/>
                <w:szCs w:val="20"/>
                <w:color w:val="auto"/>
              </w:rPr>
            </w:pPr>
            <w:r>
              <w:rPr>
                <w:rFonts w:ascii="Arial" w:cs="Arial" w:eastAsia="Arial" w:hAnsi="Arial"/>
                <w:sz w:val="18"/>
                <w:szCs w:val="18"/>
                <w:color w:val="auto"/>
              </w:rPr>
              <w:t>Merkel cell carcinoma: approved in the U.S.</w:t>
            </w:r>
          </w:p>
        </w:tc>
      </w:tr>
      <w:tr>
        <w:trPr>
          <w:trHeight w:val="212"/>
        </w:trPr>
        <w:tc>
          <w:tcPr>
            <w:tcW w:w="3900" w:type="dxa"/>
            <w:vAlign w:val="bottom"/>
          </w:tcPr>
          <w:p>
            <w:pPr>
              <w:spacing w:after="0"/>
              <w:rPr>
                <w:sz w:val="18"/>
                <w:szCs w:val="18"/>
                <w:color w:val="auto"/>
              </w:rPr>
            </w:pPr>
          </w:p>
        </w:tc>
        <w:tc>
          <w:tcPr>
            <w:tcW w:w="7340" w:type="dxa"/>
            <w:vAlign w:val="bottom"/>
          </w:tcPr>
          <w:p>
            <w:pPr>
              <w:ind w:left="60"/>
              <w:spacing w:after="0"/>
              <w:rPr>
                <w:sz w:val="20"/>
                <w:szCs w:val="20"/>
                <w:color w:val="auto"/>
              </w:rPr>
            </w:pPr>
            <w:r>
              <w:rPr>
                <w:rFonts w:ascii="Arial" w:cs="Arial" w:eastAsia="Arial" w:hAnsi="Arial"/>
                <w:sz w:val="18"/>
                <w:szCs w:val="18"/>
                <w:color w:val="auto"/>
              </w:rPr>
              <w:t>SCAC: Phase III (PODIUM-303)</w:t>
            </w:r>
          </w:p>
        </w:tc>
      </w:tr>
      <w:tr>
        <w:trPr>
          <w:trHeight w:val="212"/>
        </w:trPr>
        <w:tc>
          <w:tcPr>
            <w:tcW w:w="3900" w:type="dxa"/>
            <w:vAlign w:val="bottom"/>
          </w:tcPr>
          <w:p>
            <w:pPr>
              <w:spacing w:after="0"/>
              <w:rPr>
                <w:sz w:val="18"/>
                <w:szCs w:val="18"/>
                <w:color w:val="auto"/>
              </w:rPr>
            </w:pPr>
          </w:p>
        </w:tc>
        <w:tc>
          <w:tcPr>
            <w:tcW w:w="7340" w:type="dxa"/>
            <w:vAlign w:val="bottom"/>
          </w:tcPr>
          <w:p>
            <w:pPr>
              <w:ind w:left="60"/>
              <w:spacing w:after="0"/>
              <w:rPr>
                <w:sz w:val="20"/>
                <w:szCs w:val="20"/>
                <w:color w:val="auto"/>
              </w:rPr>
            </w:pPr>
            <w:r>
              <w:rPr>
                <w:rFonts w:ascii="Arial" w:cs="Arial" w:eastAsia="Arial" w:hAnsi="Arial"/>
                <w:sz w:val="18"/>
                <w:szCs w:val="18"/>
                <w:color w:val="auto"/>
              </w:rPr>
              <w:t>NSCLC: Phase III (POD1UM-304)</w:t>
            </w:r>
          </w:p>
        </w:tc>
      </w:tr>
      <w:tr>
        <w:trPr>
          <w:trHeight w:val="223"/>
        </w:trPr>
        <w:tc>
          <w:tcPr>
            <w:tcW w:w="3900" w:type="dxa"/>
            <w:vAlign w:val="bottom"/>
          </w:tcPr>
          <w:p>
            <w:pPr>
              <w:spacing w:after="0"/>
              <w:rPr>
                <w:sz w:val="19"/>
                <w:szCs w:val="19"/>
                <w:color w:val="auto"/>
              </w:rPr>
            </w:pPr>
          </w:p>
        </w:tc>
        <w:tc>
          <w:tcPr>
            <w:tcW w:w="7340" w:type="dxa"/>
            <w:vAlign w:val="bottom"/>
          </w:tcPr>
          <w:p>
            <w:pPr>
              <w:ind w:left="60"/>
              <w:spacing w:after="0"/>
              <w:rPr>
                <w:sz w:val="20"/>
                <w:szCs w:val="20"/>
                <w:color w:val="auto"/>
              </w:rPr>
            </w:pPr>
            <w:r>
              <w:rPr>
                <w:rFonts w:ascii="Arial" w:cs="Arial" w:eastAsia="Arial" w:hAnsi="Arial"/>
                <w:sz w:val="18"/>
                <w:szCs w:val="18"/>
                <w:color w:val="auto"/>
              </w:rPr>
              <w:t>MSI-high endometrial cancer: Phase II (POD1UM-101, POD1UM-204)</w:t>
            </w:r>
          </w:p>
        </w:tc>
      </w:tr>
      <w:tr>
        <w:trPr>
          <w:trHeight w:val="27"/>
        </w:trPr>
        <w:tc>
          <w:tcPr>
            <w:tcW w:w="3900" w:type="dxa"/>
            <w:vAlign w:val="bottom"/>
          </w:tcPr>
          <w:p>
            <w:pPr>
              <w:spacing w:after="0"/>
              <w:rPr>
                <w:sz w:val="2"/>
                <w:szCs w:val="2"/>
                <w:color w:val="auto"/>
              </w:rPr>
            </w:pPr>
          </w:p>
        </w:tc>
        <w:tc>
          <w:tcPr>
            <w:tcW w:w="7340" w:type="dxa"/>
            <w:vAlign w:val="bottom"/>
          </w:tcPr>
          <w:p>
            <w:pPr>
              <w:spacing w:after="0"/>
              <w:rPr>
                <w:sz w:val="2"/>
                <w:szCs w:val="2"/>
                <w:color w:val="auto"/>
              </w:rPr>
            </w:pPr>
          </w:p>
        </w:tc>
      </w:tr>
      <w:tr>
        <w:trPr>
          <w:trHeight w:val="173"/>
        </w:trPr>
        <w:tc>
          <w:tcPr>
            <w:tcW w:w="390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b w:val="1"/>
                <w:bCs w:val="1"/>
                <w:color w:val="auto"/>
              </w:rPr>
              <w:t>INCB99280 (Oral PD-L1)</w:t>
            </w:r>
          </w:p>
        </w:tc>
        <w:tc>
          <w:tcPr>
            <w:tcW w:w="7340" w:type="dxa"/>
            <w:vAlign w:val="bottom"/>
            <w:shd w:val="clear" w:color="auto" w:fill="CCEEFF"/>
          </w:tcPr>
          <w:p>
            <w:pPr>
              <w:ind w:left="60"/>
              <w:spacing w:after="0" w:line="173" w:lineRule="exact"/>
              <w:rPr>
                <w:sz w:val="20"/>
                <w:szCs w:val="20"/>
                <w:color w:val="auto"/>
              </w:rPr>
            </w:pPr>
            <w:r>
              <w:rPr>
                <w:rFonts w:ascii="Arial" w:cs="Arial" w:eastAsia="Arial" w:hAnsi="Arial"/>
                <w:sz w:val="18"/>
                <w:szCs w:val="18"/>
                <w:color w:val="auto"/>
              </w:rPr>
              <w:t>Solid tumors (combination): Phase I</w:t>
            </w:r>
          </w:p>
        </w:tc>
      </w:tr>
      <w:tr>
        <w:trPr>
          <w:trHeight w:val="185"/>
        </w:trPr>
        <w:tc>
          <w:tcPr>
            <w:tcW w:w="3900" w:type="dxa"/>
            <w:vAlign w:val="bottom"/>
            <w:shd w:val="clear" w:color="auto" w:fill="CCEEFF"/>
          </w:tcPr>
          <w:p>
            <w:pPr>
              <w:spacing w:after="0"/>
              <w:rPr>
                <w:sz w:val="16"/>
                <w:szCs w:val="16"/>
                <w:color w:val="auto"/>
              </w:rPr>
            </w:pPr>
          </w:p>
        </w:tc>
        <w:tc>
          <w:tcPr>
            <w:tcW w:w="7340" w:type="dxa"/>
            <w:vAlign w:val="bottom"/>
            <w:shd w:val="clear" w:color="auto" w:fill="CCEEFF"/>
          </w:tcPr>
          <w:p>
            <w:pPr>
              <w:ind w:left="60"/>
              <w:spacing w:after="0" w:line="186" w:lineRule="exact"/>
              <w:rPr>
                <w:sz w:val="20"/>
                <w:szCs w:val="20"/>
                <w:color w:val="auto"/>
              </w:rPr>
            </w:pPr>
            <w:r>
              <w:rPr>
                <w:rFonts w:ascii="Arial" w:cs="Arial" w:eastAsia="Arial" w:hAnsi="Arial"/>
                <w:sz w:val="18"/>
                <w:szCs w:val="18"/>
                <w:color w:val="auto"/>
              </w:rPr>
              <w:t>Solid tumors (monotherapy): Phase II</w:t>
            </w:r>
          </w:p>
        </w:tc>
      </w:tr>
      <w:tr>
        <w:trPr>
          <w:trHeight w:val="224"/>
        </w:trPr>
        <w:tc>
          <w:tcPr>
            <w:tcW w:w="3900" w:type="dxa"/>
            <w:vAlign w:val="bottom"/>
            <w:shd w:val="clear" w:color="auto" w:fill="CCEEFF"/>
          </w:tcPr>
          <w:p>
            <w:pPr>
              <w:spacing w:after="0"/>
              <w:rPr>
                <w:sz w:val="19"/>
                <w:szCs w:val="19"/>
                <w:color w:val="auto"/>
              </w:rPr>
            </w:pPr>
          </w:p>
        </w:tc>
        <w:tc>
          <w:tcPr>
            <w:tcW w:w="7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Cutaneous squamous cell carcinoma (cSCC): Phase II</w:t>
            </w:r>
          </w:p>
        </w:tc>
      </w:tr>
      <w:tr>
        <w:trPr>
          <w:trHeight w:val="225"/>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INCB99318 (Oral PD-L1)</w:t>
            </w:r>
          </w:p>
        </w:tc>
        <w:tc>
          <w:tcPr>
            <w:tcW w:w="7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Solid tumors: Phase I</w:t>
            </w:r>
          </w:p>
        </w:tc>
      </w:tr>
    </w:tbl>
    <w:p>
      <w:pPr>
        <w:spacing w:after="0" w:line="39" w:lineRule="exact"/>
        <w:rPr>
          <w:sz w:val="20"/>
          <w:szCs w:val="20"/>
          <w:color w:val="auto"/>
        </w:rPr>
      </w:pPr>
    </w:p>
    <w:p>
      <w:pPr>
        <w:ind w:left="160" w:hanging="154"/>
        <w:spacing w:after="0"/>
        <w:tabs>
          <w:tab w:leader="none" w:pos="16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Development collaboration with Cellenkos, Inc.</w:t>
      </w:r>
    </w:p>
    <w:p>
      <w:pPr>
        <w:spacing w:after="0" w:line="2" w:lineRule="exact"/>
        <w:rPr>
          <w:rFonts w:ascii="Arial" w:cs="Arial" w:eastAsia="Arial" w:hAnsi="Arial"/>
          <w:sz w:val="23"/>
          <w:szCs w:val="23"/>
          <w:color w:val="auto"/>
          <w:vertAlign w:val="superscript"/>
        </w:rPr>
      </w:pPr>
    </w:p>
    <w:p>
      <w:pPr>
        <w:ind w:left="160" w:hanging="154"/>
        <w:spacing w:after="0" w:line="189" w:lineRule="auto"/>
        <w:tabs>
          <w:tab w:leader="none" w:pos="16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axatilimab development in collaboration with Syndax.</w:t>
      </w:r>
    </w:p>
    <w:p>
      <w:pPr>
        <w:spacing w:after="0" w:line="3" w:lineRule="exact"/>
        <w:rPr>
          <w:rFonts w:ascii="Arial" w:cs="Arial" w:eastAsia="Arial" w:hAnsi="Arial"/>
          <w:sz w:val="23"/>
          <w:szCs w:val="23"/>
          <w:color w:val="auto"/>
          <w:vertAlign w:val="superscript"/>
        </w:rPr>
      </w:pPr>
    </w:p>
    <w:p>
      <w:pPr>
        <w:ind w:left="160" w:hanging="154"/>
        <w:spacing w:after="0" w:line="189" w:lineRule="auto"/>
        <w:tabs>
          <w:tab w:leader="none" w:pos="16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tafasitamab development in collaboration with MorphoSys.</w:t>
      </w:r>
    </w:p>
    <w:p>
      <w:pPr>
        <w:spacing w:after="0" w:line="3" w:lineRule="exact"/>
        <w:rPr>
          <w:rFonts w:ascii="Arial" w:cs="Arial" w:eastAsia="Arial" w:hAnsi="Arial"/>
          <w:sz w:val="23"/>
          <w:szCs w:val="23"/>
          <w:color w:val="auto"/>
          <w:vertAlign w:val="superscript"/>
        </w:rPr>
      </w:pPr>
    </w:p>
    <w:p>
      <w:pPr>
        <w:ind w:left="160" w:hanging="154"/>
        <w:spacing w:after="0" w:line="189" w:lineRule="auto"/>
        <w:tabs>
          <w:tab w:leader="none" w:pos="16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retifanlimab licensed from MacroGenics.</w:t>
      </w:r>
    </w:p>
    <w:p>
      <w:pPr>
        <w:spacing w:after="0" w:line="3" w:lineRule="exact"/>
        <w:rPr>
          <w:rFonts w:ascii="Arial" w:cs="Arial" w:eastAsia="Arial" w:hAnsi="Arial"/>
          <w:sz w:val="23"/>
          <w:szCs w:val="23"/>
          <w:color w:val="auto"/>
          <w:vertAlign w:val="superscript"/>
        </w:rPr>
      </w:pPr>
    </w:p>
    <w:p>
      <w:pPr>
        <w:ind w:left="160" w:hanging="154"/>
        <w:spacing w:after="0" w:line="189" w:lineRule="auto"/>
        <w:tabs>
          <w:tab w:leader="none" w:pos="16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Clinical trial collaboration and supply agreement with Mirati Therapeutics.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Earlier-Stage Development Programs in Hematology and Oncology</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INCB123667 (CDK2)</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the cell cycle, the serine threonine kinase, CDK2, regulates the transition from the G1 phase (cell growth) to the S-phase (DNA replication). INCB123667 is a novel, potent and selective oral small molecule inhibitor of CDK2 which has been shown to suppress tumor growth as monotherapy and in combination with standard of care, in Cyclin E amplified tumor models, in vivo.</w:t>
      </w:r>
    </w:p>
    <w:p>
      <w:pPr>
        <w:spacing w:after="0" w:line="188"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In April 2023, we presented data at the American Association for Cancer Research (AACR) Annual Meeting, demonstrating INCB123667 exhibited significant single-agent activity in vivo, in CCNE1high breast cancer xenograft and patient-derived xenograft models. INCB123667 is currently being evaluated in a Phase I clinical trial in patients with advanced malignancies including CCNE1high TNBC and HR+HER2- tumors post-CDK4/6 inhibitors.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INCA32459 (LAG-3xPD-1)</w:t>
      </w:r>
    </w:p>
    <w:p>
      <w:pPr>
        <w:spacing w:after="0" w:line="21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In collaboration with Merus N.V. we have developed INCA32459, a novel LAG3xPD-1 bispecific antibody that is currently being evaluated in clinical studies.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INCA33890 (TGFβR2xPD-1)</w:t>
      </w:r>
    </w:p>
    <w:p>
      <w:pPr>
        <w:spacing w:after="0" w:line="21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INCA33890 is a TGFβR2xPD-1 bispecific antibody which has been engineered to avoid the known toxicity of broad TGFβ pathway blockade. INCA33890 has a 10-fold higher binding affinity for PD-1 relative to TGFβR2, and blocks TGFβ signaling specifically in cells co-expressing PD-1. In April 2023, we presented preclinical data at AACR which showed INCA33890 inhibits tumor growth in PD-1-resistant mouse models. In July 2023, we initiated a Phase I study evaluating INCA33890 in patients with select advanced solid tumors.</w:t>
      </w:r>
    </w:p>
    <w:p>
      <w:pPr>
        <w:spacing w:after="0" w:line="191" w:lineRule="exact"/>
        <w:rPr>
          <w:sz w:val="20"/>
          <w:szCs w:val="20"/>
          <w:color w:val="auto"/>
        </w:rPr>
      </w:pPr>
    </w:p>
    <w:p>
      <w:pPr>
        <w:jc w:val="both"/>
        <w:ind w:firstLine="636"/>
        <w:spacing w:after="0" w:line="294" w:lineRule="auto"/>
        <w:rPr>
          <w:sz w:val="20"/>
          <w:szCs w:val="20"/>
          <w:color w:val="auto"/>
        </w:rPr>
      </w:pPr>
      <w:r>
        <w:rPr>
          <w:rFonts w:ascii="Arial" w:cs="Arial" w:eastAsia="Arial" w:hAnsi="Arial"/>
          <w:sz w:val="17"/>
          <w:szCs w:val="17"/>
          <w:color w:val="auto"/>
        </w:rPr>
        <w:t>Our earlier-stage clinical programs in hematology and oncology, are included in the table below. We intend to describe these programs more fully if we obtain clinical proof-of-concept and establish that a program warrants further development in a specific indication or group of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70675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67550" cy="825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Modality</w:t>
            </w:r>
          </w:p>
        </w:tc>
        <w:tc>
          <w:tcPr>
            <w:tcW w:w="7600" w:type="dxa"/>
            <w:vAlign w:val="bottom"/>
            <w:gridSpan w:val="2"/>
          </w:tcPr>
          <w:p>
            <w:pPr>
              <w:ind w:left="1900"/>
              <w:spacing w:after="0"/>
              <w:rPr>
                <w:sz w:val="20"/>
                <w:szCs w:val="20"/>
                <w:color w:val="auto"/>
              </w:rPr>
            </w:pPr>
            <w:r>
              <w:rPr>
                <w:rFonts w:ascii="Arial" w:cs="Arial" w:eastAsia="Arial" w:hAnsi="Arial"/>
                <w:sz w:val="18"/>
                <w:szCs w:val="18"/>
                <w:b w:val="1"/>
                <w:bCs w:val="1"/>
                <w:color w:val="auto"/>
              </w:rPr>
              <w:t>Candidates</w:t>
            </w:r>
          </w:p>
        </w:tc>
      </w:tr>
      <w:tr>
        <w:trPr>
          <w:trHeight w:val="28"/>
        </w:trPr>
        <w:tc>
          <w:tcPr>
            <w:tcW w:w="3620" w:type="dxa"/>
            <w:vAlign w:val="bottom"/>
          </w:tcPr>
          <w:p>
            <w:pPr>
              <w:spacing w:after="0"/>
              <w:rPr>
                <w:sz w:val="2"/>
                <w:szCs w:val="2"/>
                <w:color w:val="auto"/>
              </w:rPr>
            </w:pPr>
          </w:p>
        </w:tc>
        <w:tc>
          <w:tcPr>
            <w:tcW w:w="7600" w:type="dxa"/>
            <w:vAlign w:val="bottom"/>
            <w:gridSpan w:val="2"/>
          </w:tcPr>
          <w:p>
            <w:pPr>
              <w:spacing w:after="0"/>
              <w:rPr>
                <w:sz w:val="2"/>
                <w:szCs w:val="2"/>
                <w:color w:val="auto"/>
              </w:rPr>
            </w:pPr>
          </w:p>
        </w:tc>
      </w:tr>
      <w:tr>
        <w:trPr>
          <w:trHeight w:val="238"/>
        </w:trPr>
        <w:tc>
          <w:tcPr>
            <w:tcW w:w="36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Small molecules</w:t>
            </w:r>
          </w:p>
        </w:tc>
        <w:tc>
          <w:tcPr>
            <w:tcW w:w="7520" w:type="dxa"/>
            <w:vAlign w:val="bottom"/>
            <w:tcBorders>
              <w:top w:val="single" w:sz="8" w:color="auto"/>
              <w:bottom w:val="single" w:sz="8" w:color="CCEEFF"/>
            </w:tcBorders>
            <w:shd w:val="clear" w:color="auto" w:fill="CCEEFF"/>
          </w:tcPr>
          <w:p>
            <w:pPr>
              <w:ind w:left="1900"/>
              <w:spacing w:after="0"/>
              <w:rPr>
                <w:sz w:val="20"/>
                <w:szCs w:val="20"/>
                <w:color w:val="auto"/>
              </w:rPr>
            </w:pPr>
            <w:r>
              <w:rPr>
                <w:rFonts w:ascii="Arial" w:cs="Arial" w:eastAsia="Arial" w:hAnsi="Arial"/>
                <w:sz w:val="18"/>
                <w:szCs w:val="18"/>
                <w:color w:val="auto"/>
              </w:rPr>
              <w:t>INCB123667 (CDK2)</w:t>
            </w:r>
          </w:p>
        </w:tc>
        <w:tc>
          <w:tcPr>
            <w:tcW w:w="80" w:type="dxa"/>
            <w:vAlign w:val="bottom"/>
          </w:tcPr>
          <w:p>
            <w:pPr>
              <w:spacing w:after="0"/>
              <w:rPr>
                <w:sz w:val="20"/>
                <w:szCs w:val="20"/>
                <w:color w:val="auto"/>
              </w:rPr>
            </w:pPr>
          </w:p>
        </w:tc>
      </w:tr>
      <w:tr>
        <w:trPr>
          <w:trHeight w:val="265"/>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Monoclonal antibodies</w:t>
            </w:r>
          </w:p>
        </w:tc>
        <w:tc>
          <w:tcPr>
            <w:tcW w:w="7600" w:type="dxa"/>
            <w:vAlign w:val="bottom"/>
            <w:gridSpan w:val="2"/>
          </w:tcPr>
          <w:p>
            <w:pPr>
              <w:ind w:left="1900"/>
              <w:spacing w:after="0"/>
              <w:rPr>
                <w:sz w:val="20"/>
                <w:szCs w:val="20"/>
                <w:color w:val="auto"/>
              </w:rPr>
            </w:pPr>
            <w:r>
              <w:rPr>
                <w:rFonts w:ascii="Arial" w:cs="Arial" w:eastAsia="Arial" w:hAnsi="Arial"/>
                <w:sz w:val="18"/>
                <w:szCs w:val="18"/>
                <w:color w:val="auto"/>
              </w:rPr>
              <w:t>INCAGN2385 (LAG-3)</w:t>
            </w:r>
            <w:r>
              <w:rPr>
                <w:rFonts w:ascii="Arial" w:cs="Arial" w:eastAsia="Arial" w:hAnsi="Arial"/>
                <w:sz w:val="22"/>
                <w:szCs w:val="22"/>
                <w:color w:val="auto"/>
                <w:vertAlign w:val="superscript"/>
              </w:rPr>
              <w:t>1</w:t>
            </w:r>
            <w:r>
              <w:rPr>
                <w:rFonts w:ascii="Arial" w:cs="Arial" w:eastAsia="Arial" w:hAnsi="Arial"/>
                <w:sz w:val="18"/>
                <w:szCs w:val="18"/>
                <w:color w:val="auto"/>
              </w:rPr>
              <w:t>, INCAGN2390 (TIM-3)</w:t>
            </w:r>
            <w:r>
              <w:rPr>
                <w:rFonts w:ascii="Arial" w:cs="Arial" w:eastAsia="Arial" w:hAnsi="Arial"/>
                <w:sz w:val="22"/>
                <w:szCs w:val="22"/>
                <w:color w:val="auto"/>
                <w:vertAlign w:val="superscript"/>
              </w:rPr>
              <w:t>1</w:t>
            </w:r>
          </w:p>
        </w:tc>
      </w:tr>
      <w:tr>
        <w:trPr>
          <w:trHeight w:val="278"/>
        </w:trPr>
        <w:tc>
          <w:tcPr>
            <w:tcW w:w="3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Bispecific antibodies</w:t>
            </w:r>
          </w:p>
        </w:tc>
        <w:tc>
          <w:tcPr>
            <w:tcW w:w="7520" w:type="dxa"/>
            <w:vAlign w:val="bottom"/>
            <w:tcBorders>
              <w:bottom w:val="single" w:sz="8" w:color="auto"/>
            </w:tcBorders>
            <w:shd w:val="clear" w:color="auto" w:fill="CCEEFF"/>
          </w:tcPr>
          <w:p>
            <w:pPr>
              <w:ind w:left="1900"/>
              <w:spacing w:after="0"/>
              <w:rPr>
                <w:sz w:val="20"/>
                <w:szCs w:val="20"/>
                <w:color w:val="auto"/>
              </w:rPr>
            </w:pPr>
            <w:r>
              <w:rPr>
                <w:rFonts w:ascii="Arial" w:cs="Arial" w:eastAsia="Arial" w:hAnsi="Arial"/>
                <w:sz w:val="18"/>
                <w:szCs w:val="18"/>
                <w:color w:val="auto"/>
              </w:rPr>
              <w:t>INCA32459 (LAG-3xPD-1)</w:t>
            </w:r>
            <w:r>
              <w:rPr>
                <w:rFonts w:ascii="Arial" w:cs="Arial" w:eastAsia="Arial" w:hAnsi="Arial"/>
                <w:sz w:val="22"/>
                <w:szCs w:val="22"/>
                <w:color w:val="auto"/>
                <w:vertAlign w:val="superscript"/>
              </w:rPr>
              <w:t>2</w:t>
            </w:r>
            <w:r>
              <w:rPr>
                <w:rFonts w:ascii="Arial" w:cs="Arial" w:eastAsia="Arial" w:hAnsi="Arial"/>
                <w:sz w:val="18"/>
                <w:szCs w:val="18"/>
                <w:color w:val="auto"/>
              </w:rPr>
              <w:t>, INCA33890 (TGFβR2xPD-1)</w:t>
            </w:r>
            <w:r>
              <w:rPr>
                <w:rFonts w:ascii="Arial" w:cs="Arial" w:eastAsia="Arial" w:hAnsi="Arial"/>
                <w:sz w:val="22"/>
                <w:szCs w:val="22"/>
                <w:color w:val="auto"/>
                <w:vertAlign w:val="superscript"/>
              </w:rPr>
              <w:t>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1.</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Discovery collaboration with Agenus Inc.</w:t>
      </w:r>
    </w:p>
    <w:p>
      <w:pPr>
        <w:ind w:left="140" w:hanging="134"/>
        <w:spacing w:after="0" w:line="207" w:lineRule="auto"/>
        <w:tabs>
          <w:tab w:leader="none" w:pos="14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Development collaboration with Merus.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Inflammation and AutoImmunity (IAI)</w:t>
      </w:r>
    </w:p>
    <w:p>
      <w:pPr>
        <w:spacing w:after="0" w:line="223"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Incyte Dermatology launched its first approved product, OPZELURA (ruxolitinib) cream, in October 2021, following FDA approval for atopic dermatitis in September 2021. OPZELURA was subsequently approved by the FDA and European Commission for vitiligo in July 2022 and April 2023, respectively.</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Incyte’s IAI efforts also include numerous clinical development programs.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OPZELURA (ruxolitinib) cream</w:t>
      </w:r>
    </w:p>
    <w:p>
      <w:pPr>
        <w:spacing w:after="0" w:line="21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i w:val="1"/>
          <w:iCs w:val="1"/>
          <w:color w:val="auto"/>
        </w:rPr>
        <w:t>Atopic Dermatitis</w:t>
      </w:r>
      <w:r>
        <w:rPr>
          <w:rFonts w:ascii="Arial" w:cs="Arial" w:eastAsia="Arial" w:hAnsi="Arial"/>
          <w:sz w:val="18"/>
          <w:szCs w:val="18"/>
          <w:color w:val="auto"/>
        </w:rPr>
        <w:t>. In September 2021, we announced that the FDA approved OPZELURA (ruxolitinib) cream, a novel cream formulation of Incyte’s</w:t>
      </w:r>
      <w:r>
        <w:rPr>
          <w:rFonts w:ascii="Arial" w:cs="Arial" w:eastAsia="Arial" w:hAnsi="Arial"/>
          <w:sz w:val="18"/>
          <w:szCs w:val="18"/>
          <w:i w:val="1"/>
          <w:iCs w:val="1"/>
          <w:color w:val="auto"/>
        </w:rPr>
        <w:t xml:space="preserve"> </w:t>
      </w:r>
      <w:r>
        <w:rPr>
          <w:rFonts w:ascii="Arial" w:cs="Arial" w:eastAsia="Arial" w:hAnsi="Arial"/>
          <w:sz w:val="18"/>
          <w:szCs w:val="18"/>
          <w:color w:val="auto"/>
        </w:rPr>
        <w:t>selective JAK1/JAK2 inhibitor ruxolitinib, for the topical short-term and non-continuous chronic treatment of mild to moderate atopic dermatitis (AD) in non-immunocompromised patients 12 years of age and older whose disease is not adequately controlled with topical prescription therapies, or when those therapies are not advisable.</w:t>
      </w:r>
    </w:p>
    <w:p>
      <w:pPr>
        <w:spacing w:after="0" w:line="19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AD is a skin disorder that causes long term inflammation of the skin resulting in itchy, red, swollen and cracked skin. Onset can occur at any age, but is more common in infants and children. In the United States, we estimate that there are approximately 10 million diagnosed adolescent and adult patients with AD.</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approval of OPZELURA was based on data from two randomized, double-blind, vehicle-controlled Phase III studies (TRuE-AD1 and TRuE-AD</w:t>
      </w:r>
    </w:p>
    <w:p>
      <w:pPr>
        <w:spacing w:after="0" w:line="51" w:lineRule="exact"/>
        <w:rPr>
          <w:sz w:val="20"/>
          <w:szCs w:val="20"/>
          <w:color w:val="auto"/>
        </w:rPr>
      </w:pPr>
    </w:p>
    <w:p>
      <w:pPr>
        <w:jc w:val="both"/>
        <w:ind w:firstLine="6"/>
        <w:spacing w:after="0" w:line="246" w:lineRule="auto"/>
        <w:tabs>
          <w:tab w:leader="none" w:pos="2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evaluating the safety and efficacy of OPZELURA in adolescents and adults with mild to moderate AD. Significantly more patients treated with OPZELURA achieved Investigator’s Global Assessment (IGA) Treatment Success at Week 8 (defined as an IGA score of 0 or 1 with at least a 2-point improvement from baseline, the primary endpoint: 53.8% in TRuE-AD1 and 51.3% in TRuE-AD2, compared to vehicle (15.1% in TRuE-AD1, 7.6% in TRuE-AD2; P&lt;0.0001)). Significantly more patients treated with OPZELURA experienced a clinically meaningful reduction in itch from baseline at Week 8, as measured by a ≥4-point reduction in the itch Numerical Rating Scale (itch NRS4): 52.2% in TRuE-AD1 and 50.7% in TRuE-AD2, compared to vehicle (15.4% in TRuE-AD1, 16.3% in TRuE-AD2; P&lt;0.0001), among patients with an NRS score of at least 4 at baseline. The most common (≥1%) treatment-emergent adverse reactions in patients treated with OPZELURA were nasopharyngitis, diarrhea, bronchitis, ear infection, eosinophil count increased, urticaria, folliculitis, tonsillitis and rhinorrhea.</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365" w:lineRule="auto"/>
        <w:rPr>
          <w:sz w:val="20"/>
          <w:szCs w:val="20"/>
          <w:color w:val="auto"/>
        </w:rPr>
      </w:pPr>
      <w:r>
        <w:rPr>
          <w:rFonts w:ascii="Arial" w:cs="Arial" w:eastAsia="Arial" w:hAnsi="Arial"/>
          <w:sz w:val="15"/>
          <w:szCs w:val="15"/>
          <w:i w:val="1"/>
          <w:iCs w:val="1"/>
          <w:color w:val="auto"/>
        </w:rPr>
        <w:t xml:space="preserve">Vitiligo. </w:t>
      </w:r>
      <w:r>
        <w:rPr>
          <w:rFonts w:ascii="Arial" w:cs="Arial" w:eastAsia="Arial" w:hAnsi="Arial"/>
          <w:sz w:val="15"/>
          <w:szCs w:val="15"/>
          <w:color w:val="auto"/>
        </w:rPr>
        <w:t>In July 2022, we announced that the FDA approved OPZELURA for the topical treatment of nonsegmental vitiligo in adult and pediatric</w:t>
      </w:r>
      <w:r>
        <w:rPr>
          <w:rFonts w:ascii="Arial" w:cs="Arial" w:eastAsia="Arial" w:hAnsi="Arial"/>
          <w:sz w:val="15"/>
          <w:szCs w:val="15"/>
          <w:i w:val="1"/>
          <w:iCs w:val="1"/>
          <w:color w:val="auto"/>
        </w:rPr>
        <w:t xml:space="preserve"> </w:t>
      </w:r>
      <w:r>
        <w:rPr>
          <w:rFonts w:ascii="Arial" w:cs="Arial" w:eastAsia="Arial" w:hAnsi="Arial"/>
          <w:sz w:val="15"/>
          <w:szCs w:val="15"/>
          <w:color w:val="auto"/>
        </w:rPr>
        <w:t>patients 12 years of age and older. OPZELURA was approved for continuous use and no limits to duration as a treatment for nonsegmental vitiligo.</w:t>
      </w:r>
    </w:p>
    <w:p>
      <w:pPr>
        <w:spacing w:after="0" w:line="11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Vitiligo is a chronic autoimmune depigmenting skin disease characterized by patches of the skin losing their pigment. It is estimated that there are at least 1.5 million patients diagnosed with vitiligo in the United States, with the majority of patients (approximately 85%) suffering from nonsegmental vitiligo. OPZELURA is the first and only FDA approved treatment for repigmentation of vitiligo lesions.</w:t>
      </w:r>
    </w:p>
    <w:p>
      <w:pPr>
        <w:spacing w:after="0" w:line="188" w:lineRule="exact"/>
        <w:rPr>
          <w:sz w:val="20"/>
          <w:szCs w:val="20"/>
          <w:color w:val="auto"/>
        </w:rPr>
      </w:pPr>
    </w:p>
    <w:p>
      <w:pPr>
        <w:jc w:val="both"/>
        <w:ind w:firstLine="636"/>
        <w:spacing w:after="0" w:line="302" w:lineRule="auto"/>
        <w:rPr>
          <w:sz w:val="20"/>
          <w:szCs w:val="20"/>
          <w:color w:val="auto"/>
        </w:rPr>
      </w:pPr>
      <w:r>
        <w:rPr>
          <w:rFonts w:ascii="Arial" w:cs="Arial" w:eastAsia="Arial" w:hAnsi="Arial"/>
          <w:sz w:val="15"/>
          <w:szCs w:val="15"/>
          <w:color w:val="auto"/>
        </w:rPr>
        <w:t>The approval of OPZELURA in vitiligo was based on two randomized, double-blind, vehicle-controlled Phase III studies (TRuE-V1 and TRuE-V2) evaluating the safety and efficacy of OPZELURA in adolescents and adults with nonsegmental vitiligo. Treatment with 1.5% ruxolitinib cream twice daily (BID) resulted in greater improvement versus vehicle for the primary and all key secondary endpoints in both the TRuE-V1 and TRuE-V2 studies. Results, which were consistent across both studies, showed that 29.9% of patients applying ruxolitinib cream achieved &gt;75% improvement from baseline in the facial Vitiligo Area Scoring Index (F-VASI75) at Week 24, the primary endpoint. At Week 52, approximately 50% of patients achieved F-VASI75. The most common (&gt;1%) treatment-emergent adverse reactions in patients treated with OPZELURA were application site acne, application site pruritus, nasopharyngitis, headache, urinary tract infection, application site erythema and pyrexia. In March 2023, at the American Academy of Dermatology (AAD), long-term 104-week safety and efficacy data for ruxolitinib cream in vitiligo were presented, demonstrating that patients who achieved a high level of facial repigmentation (≥F-VASI90) at Week 52 maintained durable response one year following withdrawal of treatment and that those patients who continued treatment with Opzelura for up to two years demonstrated sustained facial repigmentation and further improvements in facial and total body repigmentation.</w:t>
      </w:r>
    </w:p>
    <w:p>
      <w:pPr>
        <w:spacing w:after="0" w:line="162" w:lineRule="exact"/>
        <w:rPr>
          <w:sz w:val="20"/>
          <w:szCs w:val="20"/>
          <w:color w:val="auto"/>
        </w:rPr>
      </w:pPr>
    </w:p>
    <w:p>
      <w:pPr>
        <w:jc w:val="both"/>
        <w:ind w:right="20" w:firstLine="636"/>
        <w:spacing w:after="0" w:line="365" w:lineRule="auto"/>
        <w:rPr>
          <w:sz w:val="20"/>
          <w:szCs w:val="20"/>
          <w:color w:val="auto"/>
        </w:rPr>
      </w:pPr>
      <w:r>
        <w:rPr>
          <w:rFonts w:ascii="Arial" w:cs="Arial" w:eastAsia="Arial" w:hAnsi="Arial"/>
          <w:sz w:val="15"/>
          <w:szCs w:val="15"/>
          <w:color w:val="auto"/>
        </w:rPr>
        <w:t>In April 2023, we announced that the European Commission approved OPZELURA for the topical treatment of nonsegmental vitiligo with facial involvement in adults and adolescents 12 years and older following a positive opinion from the Committee for Medicinal Products for Human Use (CHMP).</w:t>
      </w:r>
    </w:p>
    <w:p>
      <w:pPr>
        <w:spacing w:after="0" w:line="111"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In October 2023, new results of a pooled analysis of long-term extension (LTE) data from the pivotal Phase 3 TRuE-V program assessing Opzelura cream 1.5% in patients 12 years of age and older with nonsegmental vitiligo who previously experienced limited or no response to treatment at Week 24 were presented at the European Academy of Dermatology and Venereology (EADV) Congress 2023 as a late-breaking oral presentation. These results showed patients who initially experienced limited or no facial or total body repigmentation at six months achieved improved repigmentation after continued treatment with Opzelura for up to two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Programs in Dermatology</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Ruxolitinib cream</w:t>
      </w:r>
    </w:p>
    <w:p>
      <w:pPr>
        <w:spacing w:after="0" w:line="217" w:lineRule="exact"/>
        <w:rPr>
          <w:sz w:val="20"/>
          <w:szCs w:val="20"/>
          <w:color w:val="auto"/>
        </w:rPr>
      </w:pPr>
    </w:p>
    <w:p>
      <w:pPr>
        <w:jc w:val="both"/>
        <w:ind w:firstLine="636"/>
        <w:spacing w:after="0" w:line="365" w:lineRule="auto"/>
        <w:rPr>
          <w:sz w:val="20"/>
          <w:szCs w:val="20"/>
          <w:color w:val="auto"/>
        </w:rPr>
      </w:pPr>
      <w:r>
        <w:rPr>
          <w:rFonts w:ascii="Arial" w:cs="Arial" w:eastAsia="Arial" w:hAnsi="Arial"/>
          <w:sz w:val="15"/>
          <w:szCs w:val="15"/>
          <w:color w:val="auto"/>
        </w:rPr>
        <w:t>Ruxolitinib cream is a potent, selective inhibitor of JAK1 and JAK2 that provides the opportunity to directly target diverse pathogenic pathways that underlie certain dermatologic conditions, including atopic dermatitis, vitiligo, lichen planus, lichen sclerosus, hidradenitis suppurativa and prurigo nodularis.</w:t>
      </w:r>
    </w:p>
    <w:p>
      <w:pPr>
        <w:spacing w:after="0" w:line="11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In October 2021, we announced the validation of the MAA for ruxolitinib cream as a potential treatment for adolescents and adults (age ≥12 years) with nonsegmental vitiligo with facial involvement.</w:t>
      </w:r>
    </w:p>
    <w:p>
      <w:pPr>
        <w:spacing w:after="0" w:line="181"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In November 2022, we initiated two Phase II trials evaluating ruxolitinib cream in lichen planus and lichen sclerosus. Lichen planus is a recurrent inflammatory condition affecting the skin and mucosal surfaces and can result in itchy, purple bumps on the skin. Lichen sclerosus is a chronic inflammatory skin disease most commonly affecting women and can result in painful ulcers and intense itching. A Phase II trial evaluating ruxolitinib cream in mild to moderate hidradenitis suppurativa is ongoing and two Phase III trials evaluating ruxolitinib cream in prurigo nodularis were initiated. We continue to expand the development of ruxolitinib cream into new indications as part of our efforts to maximize the potential opportunity with ruxolitinib cream.</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color w:val="auto"/>
        </w:rPr>
        <w:t xml:space="preserve">In July 2023, we announced that the Phase III trial (TRuE-AD3) evaluating ruxolitinib cream in pediatric AD patients (age </w:t>
      </w:r>
      <w:r>
        <w:rPr>
          <w:rFonts w:ascii="Arial" w:cs="Arial" w:eastAsia="Arial" w:hAnsi="Arial"/>
          <w:sz w:val="17"/>
          <w:szCs w:val="17"/>
          <w:u w:val="single" w:color="auto"/>
          <w:color w:val="auto"/>
        </w:rPr>
        <w:t>&gt;</w:t>
      </w:r>
      <w:r>
        <w:rPr>
          <w:rFonts w:ascii="Arial" w:cs="Arial" w:eastAsia="Arial" w:hAnsi="Arial"/>
          <w:sz w:val="17"/>
          <w:szCs w:val="17"/>
          <w:color w:val="auto"/>
        </w:rPr>
        <w:t>2 and &lt;12) had met its primary endpoint. The study showed significantly more patients treated with ruxolitinib cream 0.75% and 1.5% achieved Investigator's Global Assessment Treatment Success (IGA-TS) than patients treated with vehicle control. In October 2023, the expanded results from the pivotal Phase 3 TRuE-AD3 were presented at EADV. Significantly more patients treated with ruxolitinib cream (0.75% and 1.5%) achieved Investigator’s Global Assessment Treatment Success (IGA-TS) than patients treated with vehicle control (non-medicated cream).</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Povorcitinib</w:t>
      </w:r>
    </w:p>
    <w:p>
      <w:pPr>
        <w:spacing w:after="0" w:line="21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We are also developing povorcitinib (formerly INCB54707), which is an oral small molecule selective JAK1 inhibitor. Povorcitinib is undergoing evaluation in patients with hidradenitis suppurativa (HS), a chronic skin condition where lesions develop as a result of inflammation and infection of the sweat glands. In October 2020, initial results from the clinical program were presented and a randomized Phase IIb trial of povorcitinib is underway in patients with HS.</w:t>
      </w:r>
    </w:p>
    <w:p>
      <w:pPr>
        <w:spacing w:after="0" w:line="19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March 2021, we initiated a Phase II trial evaluating povorcitinib in patients with vitiligo. A Phase II trial evaluating povorcitinib in patients with prurigo nodularis is ongoing. In August 2022, we presented results from the Phase II trial of povorcitinib in HS. In December 2022, we initiated two Phase III trials (STOP-HS1 and STOP-HS2) in moderate to severe hidradenitis suppurativa.</w:t>
      </w:r>
    </w:p>
    <w:p>
      <w:pPr>
        <w:spacing w:after="0" w:line="188"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In February 2023, 52-week results from the Phase II study evaluating povorcitinib in HS were presented as an oral presentation at the European Hidradenitis Suppurativa Foundation (EHSF) Annual Meeting. The data demonstrated that longer-term treatment with povorcitinib 75 mg resulted in sustained and durable efficacy across all treatment arms and importantly, 22-29% of patients achieved HiSCR100, which is defined as a 100% reduction from baseline in total AN count with no increase from baseline in abscess or draining tunnel count. Povorcitinib is currently in two phase III studies in moderate to severe HS.</w:t>
      </w:r>
    </w:p>
    <w:p>
      <w:pPr>
        <w:spacing w:after="0" w:line="194"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In March 2023, 36-week results from the Phase IIb study evaluating povorcitinib in patients with extensive vitiligo were presented as an oral late-breaking presentation at the American Academy of Dermatology (AAD) Annual Meeting. The data demonstrated that treatment with oral povorcitinib was associated with substantial total body repigmentation in patients with extensive nonsegmental vitiligo, as measured by total Vitiligo Area Scoring Index (T-VASI) scores. Specifically, the study met its primary endpoint and patients receiving povorcitinib experienced statistically superior improvements in T-VASI at Week 24 compared to placebo.</w:t>
      </w:r>
    </w:p>
    <w:p>
      <w:pPr>
        <w:spacing w:after="0" w:line="194"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In July 2023, we initiated two Phase II trials evaluating povorcitinib in patients with moderate to severe uncontrolled asthma and in chronic spontaneous urticaria. In October 2023, positive 52-week data from a Phase IIb clinical trial evaluating the safety and efficacy of povorcitinib in adult patients with extensive nonsegmental vitiligo were presented at EADV as a late-breaking oral presentation. Results showed that treatment with oral povorcitinib was associated with substantial total body and facial repigmentation across all treatment groups at Week 52 and further reinforces the efficacy profile and potential of povorcitinib as an oral treatment for patients with extensive nonsegmental vitiligo. Additionally, we announced in October 2023 that the Phase II, randomized, double-blind, placebo-controlled, dose ranging study evaluating the efficacy and safety of povorcitinib in participants with prurigo nodularis (PN) met its primary endpoint. A Phase III study in PN is being planned.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Earlier-Stage Development Programs in Dermatology</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INCA034460</w:t>
      </w:r>
    </w:p>
    <w:p>
      <w:pPr>
        <w:spacing w:after="0" w:line="21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In November 2022, we acquired Villaris Therapeutics, Inc., an asset-centric biopharmaceutical company focused on the development of novel antibody therapeutics for vitiligo. INCA034460 is a novel, humanized anti-IL-15Rβ monoclonal antibody designed to target and deplete autoreactive tissue resident memory T cells (TRM) that has demonstrated efficacy as a treatment for vitiligo in preclinical models. In July 2023, INCA034460 received IND clearance and in October 2023, we announced the first patient was dosed.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532765</wp:posOffset>
            </wp:positionV>
            <wp:extent cx="71348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580" w:type="dxa"/>
            <w:vAlign w:val="bottom"/>
            <w:tcBorders>
              <w:bottom w:val="single" w:sz="8" w:color="auto"/>
            </w:tcBorders>
          </w:tcPr>
          <w:p>
            <w:pPr>
              <w:spacing w:after="0"/>
              <w:rPr>
                <w:sz w:val="20"/>
                <w:szCs w:val="20"/>
                <w:color w:val="auto"/>
              </w:rPr>
            </w:pPr>
          </w:p>
        </w:tc>
        <w:tc>
          <w:tcPr>
            <w:tcW w:w="86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Indication and status</w:t>
            </w:r>
          </w:p>
        </w:tc>
        <w:tc>
          <w:tcPr>
            <w:tcW w:w="0" w:type="dxa"/>
            <w:vAlign w:val="bottom"/>
          </w:tcPr>
          <w:p>
            <w:pPr>
              <w:spacing w:after="0"/>
              <w:rPr>
                <w:sz w:val="1"/>
                <w:szCs w:val="1"/>
                <w:color w:val="auto"/>
              </w:rPr>
            </w:pPr>
          </w:p>
        </w:tc>
      </w:tr>
      <w:tr>
        <w:trPr>
          <w:trHeight w:val="220"/>
        </w:trPr>
        <w:tc>
          <w:tcPr>
            <w:tcW w:w="2580" w:type="dxa"/>
            <w:vAlign w:val="bottom"/>
            <w:shd w:val="clear" w:color="auto" w:fill="CCEEFF"/>
          </w:tcPr>
          <w:p>
            <w:pPr>
              <w:ind w:left="20"/>
              <w:spacing w:after="0" w:line="220" w:lineRule="exact"/>
              <w:rPr>
                <w:sz w:val="20"/>
                <w:szCs w:val="20"/>
                <w:color w:val="auto"/>
              </w:rPr>
            </w:pPr>
            <w:r>
              <w:rPr>
                <w:rFonts w:ascii="Arial" w:cs="Arial" w:eastAsia="Arial" w:hAnsi="Arial"/>
                <w:sz w:val="18"/>
                <w:szCs w:val="18"/>
                <w:b w:val="1"/>
                <w:bCs w:val="1"/>
                <w:color w:val="auto"/>
              </w:rPr>
              <w:t>ruxolitinib cream</w:t>
            </w:r>
            <w:r>
              <w:rPr>
                <w:rFonts w:ascii="Arial" w:cs="Arial" w:eastAsia="Arial" w:hAnsi="Arial"/>
                <w:sz w:val="22"/>
                <w:szCs w:val="22"/>
                <w:b w:val="1"/>
                <w:bCs w:val="1"/>
                <w:color w:val="auto"/>
                <w:vertAlign w:val="superscript"/>
              </w:rPr>
              <w:t>1</w:t>
            </w: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Atopic dermatitis: Phase III pediatric study (TRuE-AD3)</w:t>
            </w:r>
          </w:p>
        </w:tc>
        <w:tc>
          <w:tcPr>
            <w:tcW w:w="0" w:type="dxa"/>
            <w:vAlign w:val="bottom"/>
          </w:tcPr>
          <w:p>
            <w:pPr>
              <w:spacing w:after="0"/>
              <w:rPr>
                <w:sz w:val="1"/>
                <w:szCs w:val="1"/>
                <w:color w:val="auto"/>
              </w:rPr>
            </w:pPr>
          </w:p>
        </w:tc>
      </w:tr>
      <w:tr>
        <w:trPr>
          <w:trHeight w:val="218"/>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(JAK1/JAK2)</w:t>
            </w: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Vitiligo: Phase III (TRuE-V1, TRuE-V2); approved in the U.S. and Europe</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Lichen planus: Phase II</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Lichen sclerosus: Phase II</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Hidradenitis suppurativa: Phase II</w:t>
            </w:r>
          </w:p>
        </w:tc>
        <w:tc>
          <w:tcPr>
            <w:tcW w:w="0" w:type="dxa"/>
            <w:vAlign w:val="bottom"/>
          </w:tcPr>
          <w:p>
            <w:pPr>
              <w:spacing w:after="0"/>
              <w:rPr>
                <w:sz w:val="1"/>
                <w:szCs w:val="1"/>
                <w:color w:val="auto"/>
              </w:rPr>
            </w:pPr>
          </w:p>
        </w:tc>
      </w:tr>
      <w:tr>
        <w:trPr>
          <w:trHeight w:val="231"/>
        </w:trPr>
        <w:tc>
          <w:tcPr>
            <w:tcW w:w="258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Prurigo nodularis: Phase III (TRuE-PN1, TRuE-PN2)</w:t>
            </w:r>
          </w:p>
        </w:tc>
        <w:tc>
          <w:tcPr>
            <w:tcW w:w="0" w:type="dxa"/>
            <w:vAlign w:val="bottom"/>
          </w:tcPr>
          <w:p>
            <w:pPr>
              <w:spacing w:after="0"/>
              <w:rPr>
                <w:sz w:val="1"/>
                <w:szCs w:val="1"/>
                <w:color w:val="auto"/>
              </w:rPr>
            </w:pPr>
          </w:p>
        </w:tc>
      </w:tr>
      <w:tr>
        <w:trPr>
          <w:trHeight w:val="220"/>
        </w:trPr>
        <w:tc>
          <w:tcPr>
            <w:tcW w:w="2580" w:type="dxa"/>
            <w:vAlign w:val="bottom"/>
          </w:tcPr>
          <w:p>
            <w:pPr>
              <w:ind w:left="20"/>
              <w:spacing w:after="0"/>
              <w:rPr>
                <w:sz w:val="20"/>
                <w:szCs w:val="20"/>
                <w:color w:val="auto"/>
              </w:rPr>
            </w:pPr>
            <w:r>
              <w:rPr>
                <w:rFonts w:ascii="Arial" w:cs="Arial" w:eastAsia="Arial" w:hAnsi="Arial"/>
                <w:sz w:val="18"/>
                <w:szCs w:val="18"/>
                <w:b w:val="1"/>
                <w:bCs w:val="1"/>
                <w:color w:val="auto"/>
              </w:rPr>
              <w:t>ruxolitinib cream + NB-UVB</w:t>
            </w:r>
          </w:p>
        </w:tc>
        <w:tc>
          <w:tcPr>
            <w:tcW w:w="8660" w:type="dxa"/>
            <w:vAlign w:val="bottom"/>
          </w:tcPr>
          <w:p>
            <w:pPr>
              <w:ind w:left="280"/>
              <w:spacing w:after="0"/>
              <w:rPr>
                <w:sz w:val="20"/>
                <w:szCs w:val="20"/>
                <w:color w:val="auto"/>
              </w:rPr>
            </w:pPr>
            <w:r>
              <w:rPr>
                <w:rFonts w:ascii="Arial" w:cs="Arial" w:eastAsia="Arial" w:hAnsi="Arial"/>
                <w:sz w:val="18"/>
                <w:szCs w:val="18"/>
                <w:color w:val="auto"/>
              </w:rPr>
              <w:t>Vitiligo: Phase II</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Arial" w:cs="Arial" w:eastAsia="Arial" w:hAnsi="Arial"/>
                <w:sz w:val="18"/>
                <w:szCs w:val="18"/>
                <w:b w:val="1"/>
                <w:bCs w:val="1"/>
                <w:color w:val="auto"/>
              </w:rPr>
              <w:t>(JAK1/JAK2 + phototherapy)</w:t>
            </w:r>
          </w:p>
        </w:tc>
        <w:tc>
          <w:tcPr>
            <w:tcW w:w="8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5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povorcitinib</w:t>
            </w: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Hidradenitis suppurativa: Phase IIb; Phase III (STOP-HS1, STOP-HS2)</w:t>
            </w:r>
          </w:p>
        </w:tc>
        <w:tc>
          <w:tcPr>
            <w:tcW w:w="0" w:type="dxa"/>
            <w:vAlign w:val="bottom"/>
          </w:tcPr>
          <w:p>
            <w:pPr>
              <w:spacing w:after="0"/>
              <w:rPr>
                <w:sz w:val="1"/>
                <w:szCs w:val="1"/>
                <w:color w:val="auto"/>
              </w:rPr>
            </w:pPr>
          </w:p>
        </w:tc>
      </w:tr>
      <w:tr>
        <w:trPr>
          <w:trHeight w:val="218"/>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(JAK1)</w:t>
            </w: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Vitiligo: Phase II; Phase III planned</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Prurigo nodularis: Phase II</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Asthma: Phase II</w:t>
            </w:r>
          </w:p>
        </w:tc>
        <w:tc>
          <w:tcPr>
            <w:tcW w:w="0" w:type="dxa"/>
            <w:vAlign w:val="bottom"/>
          </w:tcPr>
          <w:p>
            <w:pPr>
              <w:spacing w:after="0"/>
              <w:rPr>
                <w:sz w:val="1"/>
                <w:szCs w:val="1"/>
                <w:color w:val="auto"/>
              </w:rPr>
            </w:pPr>
          </w:p>
        </w:tc>
      </w:tr>
      <w:tr>
        <w:trPr>
          <w:trHeight w:val="231"/>
        </w:trPr>
        <w:tc>
          <w:tcPr>
            <w:tcW w:w="258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Chronic spontaneous urticaria: Phase II</w:t>
            </w:r>
          </w:p>
        </w:tc>
        <w:tc>
          <w:tcPr>
            <w:tcW w:w="0" w:type="dxa"/>
            <w:vAlign w:val="bottom"/>
          </w:tcPr>
          <w:p>
            <w:pPr>
              <w:spacing w:after="0"/>
              <w:rPr>
                <w:sz w:val="1"/>
                <w:szCs w:val="1"/>
                <w:color w:val="auto"/>
              </w:rPr>
            </w:pPr>
          </w:p>
        </w:tc>
      </w:tr>
      <w:tr>
        <w:trPr>
          <w:trHeight w:val="238"/>
        </w:trPr>
        <w:tc>
          <w:tcPr>
            <w:tcW w:w="2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INCA034460</w:t>
            </w:r>
          </w:p>
        </w:tc>
        <w:tc>
          <w:tcPr>
            <w:tcW w:w="8660" w:type="dxa"/>
            <w:vAlign w:val="bottom"/>
          </w:tcPr>
          <w:p>
            <w:pPr>
              <w:ind w:left="280"/>
              <w:spacing w:after="0"/>
              <w:rPr>
                <w:sz w:val="20"/>
                <w:szCs w:val="20"/>
                <w:color w:val="auto"/>
              </w:rPr>
            </w:pPr>
            <w:r>
              <w:rPr>
                <w:rFonts w:ascii="Arial" w:cs="Arial" w:eastAsia="Arial" w:hAnsi="Arial"/>
                <w:sz w:val="18"/>
                <w:szCs w:val="18"/>
                <w:color w:val="auto"/>
              </w:rPr>
              <w:t>Vitiligo: Phase I initiated</w:t>
            </w:r>
          </w:p>
        </w:tc>
        <w:tc>
          <w:tcPr>
            <w:tcW w:w="0" w:type="dxa"/>
            <w:vAlign w:val="bottom"/>
          </w:tcPr>
          <w:p>
            <w:pPr>
              <w:spacing w:after="0"/>
              <w:rPr>
                <w:sz w:val="1"/>
                <w:szCs w:val="1"/>
                <w:color w:val="auto"/>
              </w:rPr>
            </w:pPr>
          </w:p>
        </w:tc>
      </w:tr>
      <w:tr>
        <w:trPr>
          <w:trHeight w:val="195"/>
        </w:trPr>
        <w:tc>
          <w:tcPr>
            <w:tcW w:w="2580" w:type="dxa"/>
            <w:vAlign w:val="bottom"/>
            <w:vMerge w:val="continue"/>
          </w:tcPr>
          <w:p>
            <w:pPr>
              <w:spacing w:after="0"/>
              <w:rPr>
                <w:sz w:val="16"/>
                <w:szCs w:val="16"/>
                <w:color w:val="auto"/>
              </w:rPr>
            </w:pPr>
          </w:p>
        </w:tc>
        <w:tc>
          <w:tcPr>
            <w:tcW w:w="8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Arial" w:cs="Arial" w:eastAsia="Arial" w:hAnsi="Arial"/>
                <w:sz w:val="18"/>
                <w:szCs w:val="18"/>
                <w:b w:val="1"/>
                <w:bCs w:val="1"/>
                <w:color w:val="auto"/>
              </w:rPr>
              <w:t>(anti-IL-15Rβ)</w:t>
            </w:r>
          </w:p>
        </w:tc>
        <w:tc>
          <w:tcPr>
            <w:tcW w:w="8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58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firstLine="6"/>
        <w:spacing w:after="0" w:line="221" w:lineRule="auto"/>
        <w:tabs>
          <w:tab w:leader="none" w:pos="157"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Novartis’ rights for ruxolitinib outside of the United States under our Collaboration and License Agreement with Novartis do not include topical administration.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Programs in Other IAI</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May 2022, we initiated a Phase II trial evaluating INCB00928 in patients with fibrodysplasia ossificans progressiva (FOP), a disorder in which muscle tissue and connective tissue are gradually replaced by bone. The FDA has granted Fast Track designation and orphan drug designation to INCB00928 as a treatment for patients with FOP.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7134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2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Indication and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34860" cy="1765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176530"/>
                    </a:xfrm>
                    <a:prstGeom prst="rect">
                      <a:avLst/>
                    </a:prstGeom>
                    <a:noFill/>
                  </pic:spPr>
                </pic:pic>
              </a:graphicData>
            </a:graphic>
          </wp:anchor>
        </w:drawing>
      </w:r>
    </w:p>
    <w:p>
      <w:pPr>
        <w:spacing w:after="0" w:line="25" w:lineRule="exact"/>
        <w:rPr>
          <w:sz w:val="20"/>
          <w:szCs w:val="20"/>
          <w:color w:val="auto"/>
        </w:rPr>
      </w:pPr>
    </w:p>
    <w:p>
      <w:pPr>
        <w:ind w:left="20"/>
        <w:spacing w:after="0"/>
        <w:tabs>
          <w:tab w:leader="none" w:pos="2840" w:val="left"/>
        </w:tabs>
        <w:rPr>
          <w:sz w:val="20"/>
          <w:szCs w:val="20"/>
          <w:color w:val="auto"/>
        </w:rPr>
      </w:pPr>
      <w:r>
        <w:rPr>
          <w:rFonts w:ascii="Arial" w:cs="Arial" w:eastAsia="Arial" w:hAnsi="Arial"/>
          <w:sz w:val="18"/>
          <w:szCs w:val="18"/>
          <w:b w:val="1"/>
          <w:bCs w:val="1"/>
          <w:color w:val="auto"/>
        </w:rPr>
        <w:t>INCB00928 (ALK2)</w:t>
      </w:r>
      <w:r>
        <w:rPr>
          <w:sz w:val="20"/>
          <w:szCs w:val="20"/>
          <w:color w:val="auto"/>
        </w:rPr>
        <w:tab/>
      </w:r>
      <w:r>
        <w:rPr>
          <w:rFonts w:ascii="Arial" w:cs="Arial" w:eastAsia="Arial" w:hAnsi="Arial"/>
          <w:sz w:val="15"/>
          <w:szCs w:val="15"/>
          <w:color w:val="auto"/>
        </w:rPr>
        <w:t>Fibrodysplasia ossificans progressiva: Phase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40005</wp:posOffset>
            </wp:positionV>
            <wp:extent cx="7134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Collaborative Partnered Programs</w:t>
      </w:r>
    </w:p>
    <w:p>
      <w:pPr>
        <w:spacing w:after="0" w:line="223"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As described below under “—License Agreements and Business Relationships,” we are eligible for milestone payments and royalties on certain products that we licensed to third parties. These include OLUMIANT (baricitinib), which is licensed to our collaborative partner Eli Lilly and Company, and JAKAVI (ruxolitinib) and TABRECTA (capmatinib), which are licensed to Novartis.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Baricitinib</w:t>
      </w:r>
    </w:p>
    <w:p>
      <w:pPr>
        <w:spacing w:after="0" w:line="21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We have a second JAK1 and JAK2 inhibitor, baricitinib, which is subject to our collaboration agreement with Lilly, in which Lilly received exclusive worldwide development and commercialization rights to the compound for inflammatory and autoimmune diseases.</w:t>
      </w:r>
    </w:p>
    <w:p>
      <w:pPr>
        <w:spacing w:after="0" w:line="18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i w:val="1"/>
          <w:iCs w:val="1"/>
          <w:color w:val="auto"/>
        </w:rPr>
        <w:t xml:space="preserve">Rheumatoid Arthritis. </w:t>
      </w:r>
      <w:r>
        <w:rPr>
          <w:rFonts w:ascii="Arial" w:cs="Arial" w:eastAsia="Arial" w:hAnsi="Arial"/>
          <w:sz w:val="18"/>
          <w:szCs w:val="18"/>
          <w:color w:val="auto"/>
        </w:rPr>
        <w:t>Rheumatoid arthritis is an autoimmune disease characterized by aberrant or abnormal immune mechanisms that lead to joint</w:t>
      </w:r>
      <w:r>
        <w:rPr>
          <w:rFonts w:ascii="Arial" w:cs="Arial" w:eastAsia="Arial" w:hAnsi="Arial"/>
          <w:sz w:val="18"/>
          <w:szCs w:val="18"/>
          <w:i w:val="1"/>
          <w:iCs w:val="1"/>
          <w:color w:val="auto"/>
        </w:rPr>
        <w:t xml:space="preserve"> </w:t>
      </w:r>
      <w:r>
        <w:rPr>
          <w:rFonts w:ascii="Arial" w:cs="Arial" w:eastAsia="Arial" w:hAnsi="Arial"/>
          <w:sz w:val="18"/>
          <w:szCs w:val="18"/>
          <w:color w:val="auto"/>
        </w:rPr>
        <w:t>inflammation and swelling and, in some patients, the progressive destruction of joints. Rheumatoid arthritis can also affect connective tissue in the skin and organs of the body.</w:t>
      </w:r>
    </w:p>
    <w:p>
      <w:pPr>
        <w:spacing w:after="0" w:line="188"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Current rheumatoid arthritis treatments include the use of non-steroidal anti-inflammatory drugs, disease-modifying anti-rheumatic drugs, such as methotrexate, and the newer biological response modifiers that target pro-inflammatory cytokines, such as tumor necrosis factor, implicated in the pathogenesis of rheumatoid arthritis. None of these approaches to treatment is curative; therefore, there remains an unmet need for new safe and effective treatment options for these patients. Rheumatoid arthritis is estimated to affect about 1% of the world’s population.</w:t>
      </w:r>
    </w:p>
    <w:p>
      <w:pPr>
        <w:spacing w:after="0" w:line="177"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The Phase III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III trials met their respective primary endpoints.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79375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In January 2016, Lilly submitted an NDA to the FDA and an MAA to the EMA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the MHLW granted marketing approval for OLUMIANTfor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199"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i w:val="1"/>
          <w:iCs w:val="1"/>
          <w:color w:val="auto"/>
        </w:rPr>
        <w:t xml:space="preserve">Atopic Dermatitis. </w:t>
      </w:r>
      <w:r>
        <w:rPr>
          <w:rFonts w:ascii="Arial" w:cs="Arial" w:eastAsia="Arial" w:hAnsi="Arial"/>
          <w:sz w:val="15"/>
          <w:szCs w:val="15"/>
          <w:color w:val="auto"/>
        </w:rPr>
        <w:t>Lilly has conducted a Phase IIa trial and a Phase III program to evaluate the safety and efficacy of baricitinib in patients with</w:t>
      </w:r>
      <w:r>
        <w:rPr>
          <w:rFonts w:ascii="Arial" w:cs="Arial" w:eastAsia="Arial" w:hAnsi="Arial"/>
          <w:sz w:val="15"/>
          <w:szCs w:val="15"/>
          <w:i w:val="1"/>
          <w:iCs w:val="1"/>
          <w:color w:val="auto"/>
        </w:rPr>
        <w:t xml:space="preserve"> </w:t>
      </w:r>
      <w:r>
        <w:rPr>
          <w:rFonts w:ascii="Arial" w:cs="Arial" w:eastAsia="Arial" w:hAnsi="Arial"/>
          <w:sz w:val="15"/>
          <w:szCs w:val="15"/>
          <w:color w:val="auto"/>
        </w:rPr>
        <w:t>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AD.</w:t>
      </w:r>
    </w:p>
    <w:p>
      <w:pPr>
        <w:spacing w:after="0" w:line="137" w:lineRule="exact"/>
        <w:rPr>
          <w:sz w:val="20"/>
          <w:szCs w:val="20"/>
          <w:color w:val="auto"/>
        </w:rPr>
      </w:pPr>
    </w:p>
    <w:p>
      <w:pPr>
        <w:jc w:val="both"/>
        <w:ind w:firstLine="636"/>
        <w:spacing w:after="0" w:line="302" w:lineRule="auto"/>
        <w:rPr>
          <w:sz w:val="20"/>
          <w:szCs w:val="20"/>
          <w:color w:val="auto"/>
        </w:rPr>
      </w:pPr>
      <w:r>
        <w:rPr>
          <w:rFonts w:ascii="Arial" w:cs="Arial" w:eastAsia="Arial" w:hAnsi="Arial"/>
          <w:sz w:val="15"/>
          <w:szCs w:val="15"/>
          <w:color w:val="auto"/>
        </w:rPr>
        <w:t>In February 2019, we and Lilly announced that baricitinib met the primary endpoint in BREEZE-AD1 and BREEZE-AD2, two Phase III studies evaluating the efficacy and safety of baricitinib monotherapy for the treatment of adult patients with moderate-to-severe AD and, in August 2019, we and Lilly announced that baricitinib met the primary endpoint in BREEZE-AD7, a Phase III study evaluating the efficacy and safety of baricitinib in combination with standard-of-care topical corticosteroids in patients with moderate-to-severe AD. In January 2020, we and Lilly announced that baricitinib met the primary endpoint in both BREEZE-AD4 and BREEZE-AD5, the results of which completed the placebo-controlled data program intended to support global registrations. A supplemental New Drug Application (sNDA) for baricitinib was submitted by Lilly for the treatment of patients with moderate to severe AD. In April 2021, we and Lilly announced the FDA extended the review period for the sNDA for baricitinib for the treatment of moderate to severe AD by three months to allow time for additional data analyses. In July 2021, we and Lilly announced that the FDA will not meet the PDUFA action date for the sNDA for baricitinib for the treatment of adults with moderate to severe AD due to the FDA's ongoing assessment of JAK inhibitors. In January 2022, Lilly provided a regulatory update on the sNDA based on ongoing discussions with the FDA. Lilly announced that alignment with the FDA on the indicated population had not yet been reached and given the FDA’s position, there would be the possibility of a Complete Response Letter (CRL).</w:t>
      </w:r>
    </w:p>
    <w:p>
      <w:pPr>
        <w:spacing w:after="0" w:line="374"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In January 2020, Lilly announced that baricitinib had been submitted for regulatory review in Europe as a treatment for patients with moderate-to-severe AD. In October 2020, Lilly announced that the European Commission approved baricitinib as OLUMIANT for the treatment of moderate-to-severe AD in adult patients who are candidates for systemic therapy. In December 2020, baricitinib was approved by the MHLW for the treatment of patients with moderate-to-severe AD.</w:t>
      </w:r>
    </w:p>
    <w:p>
      <w:pPr>
        <w:spacing w:after="0" w:line="191" w:lineRule="exact"/>
        <w:rPr>
          <w:sz w:val="20"/>
          <w:szCs w:val="20"/>
          <w:color w:val="auto"/>
        </w:rPr>
      </w:pPr>
    </w:p>
    <w:p>
      <w:pPr>
        <w:jc w:val="both"/>
        <w:ind w:firstLine="636"/>
        <w:spacing w:after="0" w:line="303" w:lineRule="auto"/>
        <w:rPr>
          <w:sz w:val="20"/>
          <w:szCs w:val="20"/>
          <w:color w:val="auto"/>
        </w:rPr>
      </w:pPr>
      <w:r>
        <w:rPr>
          <w:rFonts w:ascii="Arial" w:cs="Arial" w:eastAsia="Arial" w:hAnsi="Arial"/>
          <w:sz w:val="15"/>
          <w:szCs w:val="15"/>
          <w:i w:val="1"/>
          <w:iCs w:val="1"/>
          <w:color w:val="auto"/>
        </w:rPr>
        <w:t>Alopecia Areata</w:t>
      </w:r>
      <w:r>
        <w:rPr>
          <w:rFonts w:ascii="Arial" w:cs="Arial" w:eastAsia="Arial" w:hAnsi="Arial"/>
          <w:sz w:val="15"/>
          <w:szCs w:val="15"/>
          <w:color w:val="auto"/>
        </w:rPr>
        <w:t>. Alopecia areata is an autoimmune disorder in which the immune system attacks the hair follicles, causing hair loss in patches. In</w:t>
      </w:r>
      <w:r>
        <w:rPr>
          <w:rFonts w:ascii="Arial" w:cs="Arial" w:eastAsia="Arial" w:hAnsi="Arial"/>
          <w:sz w:val="15"/>
          <w:szCs w:val="15"/>
          <w:i w:val="1"/>
          <w:iCs w:val="1"/>
          <w:color w:val="auto"/>
        </w:rPr>
        <w:t xml:space="preserve"> </w:t>
      </w:r>
      <w:r>
        <w:rPr>
          <w:rFonts w:ascii="Arial" w:cs="Arial" w:eastAsia="Arial" w:hAnsi="Arial"/>
          <w:sz w:val="15"/>
          <w:szCs w:val="15"/>
          <w:color w:val="auto"/>
        </w:rPr>
        <w:t>March 2020, Lilly announced that baricitinib received Breakthrough Therapy designation for the treatment of alopecia areata, based on the positive Phase II results of Lilly’s adaptive Phase II/III study BRAVE-AA1. In March 2021, we and Lilly announced positive results from BRAVE-AA2, the Phase III trial evaluating the efficacy and safety of once-daily baricitinib in adults with severe alopecia areata. In April 2021, we and Lilly announced positive results from the Phase III portion of BRAVE-AA1. In September 2021, we and Lilly announced detailed results from BRAVE-AA1 and BRAVE-AA2 at the European Academy of Dermatology and Venereology Congress (EADV). The two studies showed statistically significant improvement in scalp hair regrowth across both baricitinib dosing groups when compared to placebo. In March 2022, we and Lilly announced positive 52 week results from BRAVE-AA1 and BRAVE-AA2 at the American Academy of Dermatology (AAD) annual meeting showing 40% of adults saw at least 80% scalp coverage. In June 2022, the FDA approved 2mg, and 4mg doses of OLUMIANT for the treatment of adults with severe alopecia areata, becoming the first and only systemic treatment in the indication. In June 2022, OLUMIANT was approved as a treatment for alopecia areata in Europe and Japan.</w:t>
      </w:r>
    </w:p>
    <w:p>
      <w:pPr>
        <w:spacing w:after="0" w:line="372"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i w:val="1"/>
          <w:iCs w:val="1"/>
          <w:color w:val="auto"/>
        </w:rPr>
        <w:t xml:space="preserve">Systemic Lupus Erythematosus. </w:t>
      </w:r>
      <w:r>
        <w:rPr>
          <w:rFonts w:ascii="Arial" w:cs="Arial" w:eastAsia="Arial" w:hAnsi="Arial"/>
          <w:sz w:val="18"/>
          <w:szCs w:val="18"/>
          <w:color w:val="auto"/>
        </w:rPr>
        <w:t>Systemic lupus erythematosus (SLE) is a chronic disease that causes inflammation. In addition to affecting the skin</w:t>
      </w:r>
      <w:r>
        <w:rPr>
          <w:rFonts w:ascii="Arial" w:cs="Arial" w:eastAsia="Arial" w:hAnsi="Arial"/>
          <w:sz w:val="18"/>
          <w:szCs w:val="18"/>
          <w:i w:val="1"/>
          <w:iCs w:val="1"/>
          <w:color w:val="auto"/>
        </w:rPr>
        <w:t xml:space="preserve"> </w:t>
      </w:r>
      <w:r>
        <w:rPr>
          <w:rFonts w:ascii="Arial" w:cs="Arial" w:eastAsia="Arial" w:hAnsi="Arial"/>
          <w:sz w:val="18"/>
          <w:szCs w:val="18"/>
          <w:color w:val="auto"/>
        </w:rPr>
        <w:t>and joints, it can affect other organs in the body such as the kidneys, the tissue lining the lungs and heart, and the brain. Lilly has conducted a Phase II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January 2022, Lilly announced the discontinuation of the Phase III development program for baricitinib in SLE based on top-line efficacy results from two pivotal Phase III trials (SLE-BRAVE-I and –II). The primary endpoint of SRI-4 response was reached in SLE-BRAVE-I but was not reached in SLE-BRAVE-II and key secondary endpoints were not met in either study.</w:t>
      </w:r>
    </w:p>
    <w:p>
      <w:pPr>
        <w:spacing w:after="0" w:line="188" w:lineRule="exact"/>
        <w:rPr>
          <w:sz w:val="20"/>
          <w:szCs w:val="20"/>
          <w:color w:val="auto"/>
        </w:rPr>
      </w:pPr>
    </w:p>
    <w:p>
      <w:pPr>
        <w:jc w:val="both"/>
        <w:ind w:firstLine="636"/>
        <w:spacing w:after="0" w:line="303" w:lineRule="auto"/>
        <w:rPr>
          <w:sz w:val="20"/>
          <w:szCs w:val="20"/>
          <w:color w:val="auto"/>
        </w:rPr>
      </w:pPr>
      <w:r>
        <w:rPr>
          <w:rFonts w:ascii="Arial" w:cs="Arial" w:eastAsia="Arial" w:hAnsi="Arial"/>
          <w:sz w:val="15"/>
          <w:szCs w:val="15"/>
          <w:i w:val="1"/>
          <w:iCs w:val="1"/>
          <w:color w:val="auto"/>
        </w:rPr>
        <w:t xml:space="preserve">COVID-19. </w:t>
      </w:r>
      <w:r>
        <w:rPr>
          <w:rFonts w:ascii="Arial" w:cs="Arial" w:eastAsia="Arial" w:hAnsi="Arial"/>
          <w:sz w:val="15"/>
          <w:szCs w:val="15"/>
          <w:color w:val="auto"/>
        </w:rPr>
        <w:t>In May 2020, we amended our agreement with Lilly to enable Lilly to commercialize baricitinib for the treatment of COVID-19. In</w:t>
      </w:r>
      <w:r>
        <w:rPr>
          <w:rFonts w:ascii="Arial" w:cs="Arial" w:eastAsia="Arial" w:hAnsi="Arial"/>
          <w:sz w:val="15"/>
          <w:szCs w:val="15"/>
          <w:i w:val="1"/>
          <w:iCs w:val="1"/>
          <w:color w:val="auto"/>
        </w:rPr>
        <w:t xml:space="preserve"> </w:t>
      </w:r>
      <w:r>
        <w:rPr>
          <w:rFonts w:ascii="Arial" w:cs="Arial" w:eastAsia="Arial" w:hAnsi="Arial"/>
          <w:sz w:val="15"/>
          <w:szCs w:val="15"/>
          <w:color w:val="auto"/>
        </w:rPr>
        <w:t>November 2020, we and Lilly announced that the FDA issued an Emergency Use Authorization (EUA) for the distribution and emergency use of baricitinib to be used in combination with remdesivir in hospitalized adult and pediatric patients two years of age or older with suspected or laboratory confirmed COVID-19 who require supplemental oxygen, invasive mechanical ventilation, or extracorporeal membrane oxygenation. In December 2020, we and Lilly announced that data from ACTT-2 supportive of the EUA were published in the New England Journal of Medicine. In July 2021, we and Lilly announced that the FDA broadened the EUA for baricitinib to allow for treatment with or without remdesivir. The EUA now provides for the use of baricitinib for treatment of COVID-19 in hospitalized adults and pediatric patients two years of age or older requiring supplemental oxygen, non-invasive or invasive mechanical ventilation or extracorporeal membrane oxygenation (ECMO). In June 2022, we and Lilly announced the FDA approved baricitinib as OLUMIANT for the treatment of COVID-19 in hospitalized adults requiring supplemental oxygen, non-invasive or invasive mechanical ventilation or ECMO.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Capmatinib</w:t>
      </w:r>
    </w:p>
    <w:p>
      <w:pPr>
        <w:spacing w:after="0" w:line="217"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back-up compounds in all indications. Capmatinib is being evaluated in patients with hepatocellular carcinoma, non-small cell lung cancer and other solid tumors, and may have potential utility as a combination agent.</w:t>
      </w:r>
    </w:p>
    <w:p>
      <w:pPr>
        <w:spacing w:after="0" w:line="146"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7"/>
          <w:szCs w:val="17"/>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17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In May 2020, we and Novartis announced the FDA approval of capmatinib as TABRECTA for the treatment of adult patients with metastatic NSCLC whose tumors have a mutation that leads to MET exon 14 skipping (METex14) as detected by an FDA-approved test. TABRECTA is the first and only treatment approved to specifically target NSCLC with this driver mutation and is approved for first-line and previously treated patients regardless of prior treatment type.</w:t>
      </w:r>
    </w:p>
    <w:p>
      <w:pPr>
        <w:spacing w:after="0" w:line="191"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The FDA approval of TABRECTA was based on results from the pivotal GEOMETRY mono-1 study. In the METex14 population (n=97), the confirmed overall response rate was 68% and 41% among treatment-naive (n=28) and previously treated patients (n=69), respectively, based on the Blinded Independent Review Committee (BIRC) assessment per RECIST v1.1. In patients taking TABRECTA, the study also demonstrated a median duration of response of 12.6 months in treatment-naive patients (19 responders) and 9.7 months in previously treated patients (28 responders). The most common treatment-related adverse events (AEs) (incidence ≥20%) are peripheral edema, nausea, fatigue, vomiting, dyspnea, and decreased appetite. In September 2020, we and Novartis announced that GEOMETRY mono-1 results were published in The New England Journal of Medicine.</w:t>
      </w:r>
    </w:p>
    <w:p>
      <w:pPr>
        <w:spacing w:after="0" w:line="179"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In June 2020, we and Novartis announced that the MHLW approved TABRECTA for METex14 mutation-positive advanced and/or recurrent unresectable NSCLC. In April 2022, we and Novartis announced a positive opinion from the CHMP based on data from the Phase II GEOMETRY mono-1 study showing an overall response rate (ORR) of 51.6% in a cohort evaluating second-line patients only and 44% in all previously-treated patients with advanced non-small cell lung cancer (NSCLC) harboring alterations leading to MET exon 14 skipping.</w:t>
      </w:r>
    </w:p>
    <w:p>
      <w:pPr>
        <w:spacing w:after="0" w:line="191"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7"/>
          <w:szCs w:val="17"/>
          <w:color w:val="auto"/>
        </w:rPr>
        <w:t>In June 2022, we and Novartis announced the European Commission approval of capmatinib as TABRECTA as monotherapy treatment of adults with advanced non-small cell lung cancer (NSCLC) harboring alterations leading to mesenchymal-epithelial-transition factor gene (MET) exon 14 (METex14) skipping who require systemic therapy following prior treatment with immunotherapy and/or platinum-based chemotherapy.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NSCLC is the most common type of lung cancer, impacting more than 2 million people per year globally. Approximately 3-4 percent of all patients with NSCLC have tumors with a mutation that leads to MET exon 14 skipping. Though rare, this mutation is an indicator of especially poor prognosis and poor responses to standard therapies, including immunotherapy.</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Ruxolitinib</w:t>
      </w:r>
    </w:p>
    <w:p>
      <w:pPr>
        <w:spacing w:after="0" w:line="217"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i w:val="1"/>
          <w:iCs w:val="1"/>
          <w:color w:val="auto"/>
        </w:rPr>
        <w:t xml:space="preserve">Graft-versus-host disease. </w:t>
      </w:r>
      <w:r>
        <w:rPr>
          <w:rFonts w:ascii="Arial" w:cs="Arial" w:eastAsia="Arial" w:hAnsi="Arial"/>
          <w:sz w:val="18"/>
          <w:szCs w:val="18"/>
          <w:color w:val="auto"/>
        </w:rPr>
        <w:t>In March 2022, we and Novartis announced a positive opinion from the CHMP for ruxolitinib in acute and chronic</w:t>
      </w:r>
      <w:r>
        <w:rPr>
          <w:rFonts w:ascii="Arial" w:cs="Arial" w:eastAsia="Arial" w:hAnsi="Arial"/>
          <w:sz w:val="18"/>
          <w:szCs w:val="18"/>
          <w:i w:val="1"/>
          <w:iCs w:val="1"/>
          <w:color w:val="auto"/>
        </w:rPr>
        <w:t xml:space="preserve"> </w:t>
      </w:r>
      <w:r>
        <w:rPr>
          <w:rFonts w:ascii="Arial" w:cs="Arial" w:eastAsia="Arial" w:hAnsi="Arial"/>
          <w:sz w:val="18"/>
          <w:szCs w:val="18"/>
          <w:color w:val="auto"/>
        </w:rPr>
        <w:t>GVHD, based on data from the Phase III REACH2 and REACH3 trials. GVHD is a life-threatening complication of stem cell transplants, with no established standard of care in Europe for patients who do not adequately respond to first-line steroid treatment. In May 2022, we and Novartis announced the EC approval of ruxolitinib as JAKAVI for the treatment of acute or chronic GVHD in patients aged 12 years and older who have inadequate response to corticosteroids or other systemic therapies. In August 2023, Novartis announced Jakavi was approved for use in graft-versus-host disease after hematopoietic stem cell transplant, in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148590</wp:posOffset>
            </wp:positionV>
            <wp:extent cx="71348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20" w:type="dxa"/>
            <w:vAlign w:val="bottom"/>
            <w:tcBorders>
              <w:bottom w:val="single" w:sz="8" w:color="auto"/>
            </w:tcBorders>
          </w:tcPr>
          <w:p>
            <w:pPr>
              <w:spacing w:after="0"/>
              <w:rPr>
                <w:sz w:val="20"/>
                <w:szCs w:val="20"/>
                <w:color w:val="auto"/>
              </w:rPr>
            </w:pPr>
          </w:p>
        </w:tc>
        <w:tc>
          <w:tcPr>
            <w:tcW w:w="87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Indication and status</w:t>
            </w:r>
          </w:p>
        </w:tc>
      </w:tr>
      <w:tr>
        <w:trPr>
          <w:trHeight w:val="217"/>
        </w:trPr>
        <w:tc>
          <w:tcPr>
            <w:tcW w:w="2520" w:type="dxa"/>
            <w:vAlign w:val="bottom"/>
            <w:shd w:val="clear" w:color="auto" w:fill="CCEEFF"/>
          </w:tcPr>
          <w:p>
            <w:pPr>
              <w:ind w:left="20"/>
              <w:spacing w:after="0" w:line="217" w:lineRule="exact"/>
              <w:rPr>
                <w:sz w:val="20"/>
                <w:szCs w:val="20"/>
                <w:color w:val="auto"/>
              </w:rPr>
            </w:pPr>
            <w:r>
              <w:rPr>
                <w:rFonts w:ascii="Arial" w:cs="Arial" w:eastAsia="Arial" w:hAnsi="Arial"/>
                <w:sz w:val="18"/>
                <w:szCs w:val="18"/>
                <w:b w:val="1"/>
                <w:bCs w:val="1"/>
                <w:color w:val="auto"/>
              </w:rPr>
              <w:t>baricitinib (Olumiant</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w:t>
            </w:r>
          </w:p>
        </w:tc>
        <w:tc>
          <w:tcPr>
            <w:tcW w:w="8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Atopic dermatitis: approved in Europe and Japan</w:t>
            </w:r>
          </w:p>
        </w:tc>
      </w:tr>
      <w:tr>
        <w:trPr>
          <w:trHeight w:val="26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(JAK1/JAK2)</w:t>
            </w:r>
            <w:r>
              <w:rPr>
                <w:rFonts w:ascii="Arial" w:cs="Arial" w:eastAsia="Arial" w:hAnsi="Arial"/>
                <w:sz w:val="22"/>
                <w:szCs w:val="22"/>
                <w:b w:val="1"/>
                <w:bCs w:val="1"/>
                <w:color w:val="auto"/>
                <w:vertAlign w:val="superscript"/>
              </w:rPr>
              <w:t>1</w:t>
            </w:r>
          </w:p>
        </w:tc>
        <w:tc>
          <w:tcPr>
            <w:tcW w:w="8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Severe alopecia areata: approved in the United States, Europe and Japan</w:t>
            </w:r>
          </w:p>
        </w:tc>
      </w:tr>
      <w:tr>
        <w:trPr>
          <w:trHeight w:val="265"/>
        </w:trPr>
        <w:tc>
          <w:tcPr>
            <w:tcW w:w="2520" w:type="dxa"/>
            <w:vAlign w:val="bottom"/>
          </w:tcPr>
          <w:p>
            <w:pPr>
              <w:ind w:left="20"/>
              <w:spacing w:after="0"/>
              <w:rPr>
                <w:sz w:val="20"/>
                <w:szCs w:val="20"/>
                <w:color w:val="auto"/>
              </w:rPr>
            </w:pPr>
            <w:r>
              <w:rPr>
                <w:rFonts w:ascii="Arial" w:cs="Arial" w:eastAsia="Arial" w:hAnsi="Arial"/>
                <w:sz w:val="18"/>
                <w:szCs w:val="18"/>
                <w:b w:val="1"/>
                <w:bCs w:val="1"/>
                <w:color w:val="auto"/>
                <w:w w:val="95"/>
              </w:rPr>
              <w:t>capmatinib (Tabrecta</w:t>
            </w:r>
            <w:r>
              <w:rPr>
                <w:rFonts w:ascii="Arial" w:cs="Arial" w:eastAsia="Arial" w:hAnsi="Arial"/>
                <w:sz w:val="22"/>
                <w:szCs w:val="22"/>
                <w:b w:val="1"/>
                <w:bCs w:val="1"/>
                <w:color w:val="auto"/>
                <w:w w:val="95"/>
                <w:vertAlign w:val="superscript"/>
              </w:rPr>
              <w:t>®</w:t>
            </w:r>
            <w:r>
              <w:rPr>
                <w:rFonts w:ascii="Arial" w:cs="Arial" w:eastAsia="Arial" w:hAnsi="Arial"/>
                <w:sz w:val="18"/>
                <w:szCs w:val="18"/>
                <w:b w:val="1"/>
                <w:bCs w:val="1"/>
                <w:color w:val="auto"/>
                <w:w w:val="95"/>
              </w:rPr>
              <w:t>) (MET)</w:t>
            </w:r>
            <w:r>
              <w:rPr>
                <w:rFonts w:ascii="Arial" w:cs="Arial" w:eastAsia="Arial" w:hAnsi="Arial"/>
                <w:sz w:val="22"/>
                <w:szCs w:val="22"/>
                <w:b w:val="1"/>
                <w:bCs w:val="1"/>
                <w:color w:val="auto"/>
                <w:w w:val="95"/>
                <w:vertAlign w:val="superscript"/>
              </w:rPr>
              <w:t>2</w:t>
            </w:r>
          </w:p>
        </w:tc>
        <w:tc>
          <w:tcPr>
            <w:tcW w:w="8720" w:type="dxa"/>
            <w:vAlign w:val="bottom"/>
          </w:tcPr>
          <w:p>
            <w:pPr>
              <w:ind w:left="100"/>
              <w:spacing w:after="0"/>
              <w:rPr>
                <w:sz w:val="20"/>
                <w:szCs w:val="20"/>
                <w:color w:val="auto"/>
              </w:rPr>
            </w:pPr>
            <w:r>
              <w:rPr>
                <w:rFonts w:ascii="Arial" w:cs="Arial" w:eastAsia="Arial" w:hAnsi="Arial"/>
                <w:sz w:val="18"/>
                <w:szCs w:val="18"/>
                <w:color w:val="auto"/>
              </w:rPr>
              <w:t>NSCLC (with MET exon 14 skipping mutations): approved in the United States, Europe and Japan</w:t>
            </w:r>
          </w:p>
        </w:tc>
      </w:tr>
      <w:tr>
        <w:trPr>
          <w:trHeight w:val="217"/>
        </w:trPr>
        <w:tc>
          <w:tcPr>
            <w:tcW w:w="2520" w:type="dxa"/>
            <w:vAlign w:val="bottom"/>
            <w:shd w:val="clear" w:color="auto" w:fill="CCEEFF"/>
          </w:tcPr>
          <w:p>
            <w:pPr>
              <w:ind w:left="20"/>
              <w:spacing w:after="0" w:line="217" w:lineRule="exact"/>
              <w:rPr>
                <w:sz w:val="20"/>
                <w:szCs w:val="20"/>
                <w:color w:val="auto"/>
              </w:rPr>
            </w:pPr>
            <w:r>
              <w:rPr>
                <w:rFonts w:ascii="Arial" w:cs="Arial" w:eastAsia="Arial" w:hAnsi="Arial"/>
                <w:sz w:val="18"/>
                <w:szCs w:val="18"/>
                <w:b w:val="1"/>
                <w:bCs w:val="1"/>
                <w:color w:val="auto"/>
              </w:rPr>
              <w:t>ruxolitinib (Jakavi</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w:t>
            </w:r>
          </w:p>
        </w:tc>
        <w:tc>
          <w:tcPr>
            <w:tcW w:w="8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Acute and chronic GVHD: approved in Europe and Japan</w:t>
            </w:r>
          </w:p>
        </w:tc>
      </w:tr>
      <w:tr>
        <w:trPr>
          <w:trHeight w:val="260"/>
        </w:trPr>
        <w:tc>
          <w:tcPr>
            <w:tcW w:w="2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(JAK1/JAK2)</w:t>
            </w:r>
            <w:r>
              <w:rPr>
                <w:rFonts w:ascii="Arial" w:cs="Arial" w:eastAsia="Arial" w:hAnsi="Arial"/>
                <w:sz w:val="22"/>
                <w:szCs w:val="22"/>
                <w:b w:val="1"/>
                <w:bCs w:val="1"/>
                <w:color w:val="auto"/>
                <w:vertAlign w:val="superscript"/>
              </w:rPr>
              <w:t>3</w:t>
            </w:r>
          </w:p>
        </w:tc>
        <w:tc>
          <w:tcPr>
            <w:tcW w:w="8720" w:type="dxa"/>
            <w:vAlign w:val="bottom"/>
            <w:tcBorders>
              <w:bottom w:val="single" w:sz="8" w:color="auto"/>
            </w:tcBorders>
            <w:shd w:val="clear" w:color="auto" w:fill="CCEEFF"/>
          </w:tcPr>
          <w:p>
            <w:pPr>
              <w:spacing w:after="0"/>
              <w:rPr>
                <w:sz w:val="22"/>
                <w:szCs w:val="22"/>
                <w:color w:val="auto"/>
              </w:rPr>
            </w:pPr>
          </w:p>
        </w:tc>
      </w:tr>
    </w:tbl>
    <w:p>
      <w:pPr>
        <w:spacing w:after="0" w:line="74" w:lineRule="exact"/>
        <w:rPr>
          <w:sz w:val="20"/>
          <w:szCs w:val="20"/>
          <w:color w:val="auto"/>
        </w:rPr>
      </w:pPr>
    </w:p>
    <w:p>
      <w:pPr>
        <w:ind w:left="120" w:hanging="114"/>
        <w:spacing w:after="0"/>
        <w:tabs>
          <w:tab w:leader="none" w:pos="120" w:val="left"/>
        </w:tabs>
        <w:numPr>
          <w:ilvl w:val="0"/>
          <w:numId w:val="14"/>
        </w:numPr>
        <w:rPr>
          <w:rFonts w:ascii="Arial" w:cs="Arial" w:eastAsia="Arial" w:hAnsi="Arial"/>
          <w:sz w:val="20"/>
          <w:szCs w:val="20"/>
          <w:color w:val="auto"/>
          <w:vertAlign w:val="superscript"/>
        </w:rPr>
      </w:pPr>
      <w:r>
        <w:rPr>
          <w:rFonts w:ascii="Arial" w:cs="Arial" w:eastAsia="Arial" w:hAnsi="Arial"/>
          <w:sz w:val="15"/>
          <w:szCs w:val="15"/>
          <w:color w:val="auto"/>
        </w:rPr>
        <w:t>baricitinib licensed to Lilly.</w:t>
      </w:r>
    </w:p>
    <w:p>
      <w:pPr>
        <w:spacing w:after="0" w:line="2" w:lineRule="exact"/>
        <w:rPr>
          <w:rFonts w:ascii="Arial" w:cs="Arial" w:eastAsia="Arial" w:hAnsi="Arial"/>
          <w:sz w:val="20"/>
          <w:szCs w:val="20"/>
          <w:color w:val="auto"/>
          <w:vertAlign w:val="superscript"/>
        </w:rPr>
      </w:pPr>
    </w:p>
    <w:p>
      <w:pPr>
        <w:ind w:left="140" w:hanging="134"/>
        <w:spacing w:after="0" w:line="189" w:lineRule="auto"/>
        <w:tabs>
          <w:tab w:leader="none" w:pos="14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capmatinib licensed to Novartis.</w:t>
      </w:r>
    </w:p>
    <w:p>
      <w:pPr>
        <w:spacing w:after="0" w:line="3" w:lineRule="exact"/>
        <w:rPr>
          <w:rFonts w:ascii="Arial" w:cs="Arial" w:eastAsia="Arial" w:hAnsi="Arial"/>
          <w:sz w:val="23"/>
          <w:szCs w:val="23"/>
          <w:color w:val="auto"/>
          <w:vertAlign w:val="superscript"/>
        </w:rPr>
      </w:pPr>
    </w:p>
    <w:p>
      <w:pPr>
        <w:ind w:left="140" w:hanging="134"/>
        <w:spacing w:after="0" w:line="189" w:lineRule="auto"/>
        <w:tabs>
          <w:tab w:leader="none" w:pos="14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ruxolitinib licensed to Novartis ex-US for use in hematology and oncology excluding topical administration.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Business Relationships</w:t>
      </w:r>
    </w:p>
    <w:p>
      <w:pPr>
        <w:spacing w:after="0" w:line="223"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9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 Additional information regarding our collaboration agreements, including their financial and accounting impact on our business and results of operations, can be found in Note 7 of notes to the condensed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Out-License Agreements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Novartis</w:t>
      </w:r>
    </w:p>
    <w:p>
      <w:pPr>
        <w:spacing w:after="0" w:line="217"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color w:val="auto"/>
        </w:rPr>
        <w:t>In November 2009, we entered into a Collaboration and License Agreement with Novartis. Under the terms of the agreement, Novartis received exclusive development and commercialization rights outside of the United States to ruxolitinib and certain back 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 up compounds in all indications. We retained options to co-develop and to co-promote capmatinib in the United States. In April 2016, we amended this agreement to provide that Novartis has exclusive research, development and commercialization rights outside of the United States to ruxolitinib (excluding topical formulations) in the GVHD field.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Lilly</w:t>
      </w:r>
    </w:p>
    <w:p>
      <w:pPr>
        <w:spacing w:after="0" w:line="217"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 up compounds for inflammatory and autoimmune diseases. In March 2016, we entered into an amendment to the agreement with Lilly that allows us to engage in the development and commercialization of ruxolitinib in the GVHD field. In May 2020, we amended our agreement with Lilly to enable Lilly to commercialize baricitinib for the treatment of COVID-19.</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Innovent</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December 2018, we entered into a Research Collaboration and Licensing Agreement with Innovent Biologics, Inc. Under the terms of this agreement, Innovent received exclusive development and commercialization rights to pemigatinib and our clinical-stage product candidate parsaclisib in hematology and oncology indications in mainland China, Hong Kong, Macau and Taiwan.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InnoCare</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August 2021, we entered into a Collaboration and License Agreement with a subsidiary of InnoCare Pharma Limited. Under the terms of this agreement, InnoCare’s subsidiary received development and exclusive commercialization rights to tafasitamab in hematology and oncology in mainland China, Hong Kong, Macau and Taiwan.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Maruho</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April 2022, we entered into a Strategic Alliance Agreement with Maruho Co., Ltd. Under the terms of this agreement, Maruho received development, manufacturing and exclusive commercialization rights to ruxolitinib cream, and other potential future topical formulations of ruxolitinib, in autoimmune and inflammatory dermatologic diseases in Japan.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CMS Aesthetics Limited</w:t>
      </w:r>
    </w:p>
    <w:p>
      <w:pPr>
        <w:spacing w:after="0" w:line="217"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In December 2022, we entered into a Collaboration and License Agreement with CMS Aesthetics Limited, a subsidiary of China Medical System Holdings Limited. Under the terms of the agreement, CMS received an exclusive license to develop and commercialize, and a non-exclusive license to manufacture, ruxolitinib cream, and potentially other future topical formulations of ruxolitinib, in autoimmune and inflammatory dermatologic diseases, including vitiligo and atopic dermatitis, for patients in mainland China, Hong Kong, Macau, Taiwan and Southeast Asia.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In-License Agreements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Agenus</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Merus</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December 2016, we entered into a Collaboration and License Agreement with Merus.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188"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January 2022, we decided to opt-out of the continued development of MCLA-145, a bispecific antibody targeting PD-L1 and CD137. We continue to collaborate with Merus and leverage the Merus platform to develop a pipeline of novel agents, as we continue to hold worldwide exclusive development and commercialization rights to up to ten additional programs.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MacroGenics</w:t>
      </w:r>
    </w:p>
    <w:p>
      <w:pPr>
        <w:spacing w:after="0" w:line="217"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MacroGenics has retained the right to develop and commercialize, at its cost and expense, its pipeline assets in combination with INCMGA0012.</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Syros</w:t>
      </w:r>
    </w:p>
    <w:p>
      <w:pPr>
        <w:spacing w:after="0" w:line="217"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In January 2018, we entered into a Target Discovery, Research Collaboration and Option Agreement with Syros Pharmaceuticals, Inc. Under this agreement, Syros would use its proprietary gene control platform to identify novel therapeutic targets with a focus in myeloproliferative neoplasms and we had received options to obtain exclusive worldwide rights to intellectual property resulting from the collaboration for up to seven validated targets. In August 2023, we terminated the Target Discovery, Research Collaboration and Option Agreement with Syros, effective as of October 10, 2023.</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MorphoSys</w:t>
      </w:r>
    </w:p>
    <w:p>
      <w:pPr>
        <w:spacing w:after="0" w:line="217"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In January 2020, we entered into a Collaboration and License Agreement with MorphoSys AG and MorphoSys US Inc., a wholly-owned subsidiary of MorphoSys AG, covering the worldwide development and commercialization of MOR208 (tafasitamab), an investigational Fc engineered monoclonal antibody directed against the target molecule CD19. Under the terms of this agreement, we received exclusive commercialization rights outside of the United States, and MorphoSys and we have co-commercialization rights in the United States, with respect to tafasitamab.</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Syndax</w:t>
      </w:r>
    </w:p>
    <w:p>
      <w:pPr>
        <w:spacing w:after="0" w:line="217"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In September 2021, we entered into a Collaboration and License Agreement with Syndax covering the worldwide development and commercialization of SNDX-6352 (axatilimab), Syndax’s anti-CSF-1R monoclonal antibody. In March 2021, axatilimab was granted Orphan Drug Designation by the FDA for the treatment of chronic GVHD and a second designation in April 2021 for treatment of idiopathic pulmonary fibrosis. Under the terms of this agreement, we received exclusive commercialization rights outside of the United States, and Syndax has co-commercialization rights in the United States with respect to axatilimab.</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223"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w:t>
      </w:r>
    </w:p>
    <w:p>
      <w:pPr>
        <w:spacing w:after="0" w:line="194"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For a discussion of our critical accounting policies, refer to “Item 7. Management’s Discussion and Analysis of Financial Condition and Results of Operations” in our 2022 Form 10-K. There have been no significant changes to our critical accounting policies or estimates during the nine months ended September 30, 2023.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3"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There were no new accounting pronouncements issued nor adopted since our filing of the Annual Report on Form 10-K for the year ended December 31, 2022, which could have a significant effect on our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3"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We recorded net income of $171.3 million and basic and diluted net income per share of $0.76 for the three months ended September 30, 2023, as compared to net income of $112.8 million and basic net income per share of $0.51 and diluted net income per share of $0.50 in the corresponding period in 2022. We recorded net income of $396.5 million and basic net income per share of $1.77 and diluted net income per share of $1.76 for the nine months ended September 30, 2023, as compared to net income of $312.2 million and basic net income per share of $1.41 and diluted net income per share of $1.40 in the corresponding period in 2022.</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gridSpan w:val="3"/>
          </w:tcPr>
          <w:p>
            <w:pPr>
              <w:jc w:val="center"/>
              <w:ind w:right="258"/>
              <w:spacing w:after="0"/>
              <w:rPr>
                <w:sz w:val="20"/>
                <w:szCs w:val="20"/>
                <w:color w:val="auto"/>
              </w:rPr>
            </w:pPr>
            <w:r>
              <w:rPr>
                <w:rFonts w:ascii="Arial" w:cs="Arial" w:eastAsia="Arial" w:hAnsi="Arial"/>
                <w:sz w:val="14"/>
                <w:szCs w:val="14"/>
                <w:b w:val="1"/>
                <w:bCs w:val="1"/>
                <w:color w:val="auto"/>
                <w:w w:val="92"/>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3"/>
              </w:rPr>
              <w:t>Nine Months Ended</w:t>
            </w:r>
          </w:p>
        </w:tc>
        <w:tc>
          <w:tcPr>
            <w:tcW w:w="900" w:type="dxa"/>
            <w:vAlign w:val="bottom"/>
          </w:tcPr>
          <w:p>
            <w:pPr>
              <w:spacing w:after="0"/>
              <w:rPr>
                <w:sz w:val="14"/>
                <w:szCs w:val="14"/>
                <w:color w:val="auto"/>
              </w:rPr>
            </w:pPr>
          </w:p>
        </w:tc>
      </w:tr>
      <w:tr>
        <w:trPr>
          <w:trHeight w:val="184"/>
        </w:trPr>
        <w:tc>
          <w:tcPr>
            <w:tcW w:w="5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gridSpan w:val="3"/>
          </w:tcPr>
          <w:p>
            <w:pPr>
              <w:jc w:val="center"/>
              <w:ind w:right="278"/>
              <w:spacing w:after="0"/>
              <w:rPr>
                <w:sz w:val="20"/>
                <w:szCs w:val="20"/>
                <w:color w:val="auto"/>
              </w:rPr>
            </w:pPr>
            <w:r>
              <w:rPr>
                <w:rFonts w:ascii="Arial" w:cs="Arial" w:eastAsia="Arial" w:hAnsi="Arial"/>
                <w:sz w:val="14"/>
                <w:szCs w:val="14"/>
                <w:b w:val="1"/>
                <w:bCs w:val="1"/>
                <w:color w:val="auto"/>
                <w:w w:val="89"/>
              </w:rPr>
              <w:t>September 30,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89"/>
              </w:rPr>
              <w:t>September 30,</w:t>
            </w:r>
          </w:p>
        </w:tc>
        <w:tc>
          <w:tcPr>
            <w:tcW w:w="900" w:type="dxa"/>
            <w:vAlign w:val="bottom"/>
          </w:tcPr>
          <w:p>
            <w:pPr>
              <w:spacing w:after="0"/>
              <w:rPr>
                <w:sz w:val="15"/>
                <w:szCs w:val="15"/>
                <w:color w:val="auto"/>
              </w:rPr>
            </w:pPr>
          </w:p>
        </w:tc>
      </w:tr>
      <w:tr>
        <w:trPr>
          <w:trHeight w:val="24"/>
        </w:trPr>
        <w:tc>
          <w:tcPr>
            <w:tcW w:w="5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50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3"/>
              <w:spacing w:after="0"/>
              <w:rPr>
                <w:sz w:val="20"/>
                <w:szCs w:val="20"/>
                <w:color w:val="auto"/>
              </w:rPr>
            </w:pPr>
            <w:r>
              <w:rPr>
                <w:rFonts w:ascii="Arial" w:cs="Arial" w:eastAsia="Arial" w:hAnsi="Arial"/>
                <w:sz w:val="14"/>
                <w:szCs w:val="14"/>
                <w:b w:val="1"/>
                <w:bCs w:val="1"/>
                <w:color w:val="auto"/>
                <w:w w:val="89"/>
              </w:rPr>
              <w:t>2022</w:t>
            </w:r>
          </w:p>
        </w:tc>
      </w:tr>
      <w:tr>
        <w:trPr>
          <w:trHeight w:val="24"/>
        </w:trPr>
        <w:tc>
          <w:tcPr>
            <w:tcW w:w="5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5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gridSpan w:val="3"/>
          </w:tcPr>
          <w:p>
            <w:pPr>
              <w:jc w:val="center"/>
              <w:ind w:right="278"/>
              <w:spacing w:after="0"/>
              <w:rPr>
                <w:sz w:val="20"/>
                <w:szCs w:val="20"/>
                <w:color w:val="auto"/>
              </w:rPr>
            </w:pPr>
            <w:r>
              <w:rPr>
                <w:rFonts w:ascii="Arial" w:cs="Arial" w:eastAsia="Arial" w:hAnsi="Arial"/>
                <w:sz w:val="14"/>
                <w:szCs w:val="14"/>
                <w:b w:val="1"/>
                <w:bCs w:val="1"/>
                <w:color w:val="auto"/>
                <w:w w:val="94"/>
              </w:rPr>
              <w:t>(in millions)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4"/>
              </w:rPr>
              <w:t>(in millions)</w:t>
            </w:r>
          </w:p>
        </w:tc>
        <w:tc>
          <w:tcPr>
            <w:tcW w:w="900" w:type="dxa"/>
            <w:vAlign w:val="bottom"/>
          </w:tcPr>
          <w:p>
            <w:pPr>
              <w:spacing w:after="0"/>
              <w:rPr>
                <w:sz w:val="15"/>
                <w:szCs w:val="15"/>
                <w:color w:val="auto"/>
              </w:rPr>
            </w:pPr>
          </w:p>
        </w:tc>
      </w:tr>
      <w:tr>
        <w:trPr>
          <w:trHeight w:val="24"/>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2"/>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JAKAFI revenues, net</w:t>
            </w:r>
          </w:p>
        </w:tc>
        <w:tc>
          <w:tcPr>
            <w:tcW w:w="88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619.6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1,898.6</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1,761.7</w:t>
            </w:r>
          </w:p>
        </w:tc>
      </w:tr>
      <w:tr>
        <w:trPr>
          <w:trHeight w:val="245"/>
        </w:trPr>
        <w:tc>
          <w:tcPr>
            <w:tcW w:w="5060" w:type="dxa"/>
            <w:vAlign w:val="bottom"/>
          </w:tcPr>
          <w:p>
            <w:pPr>
              <w:ind w:left="20"/>
              <w:spacing w:after="0"/>
              <w:rPr>
                <w:sz w:val="20"/>
                <w:szCs w:val="20"/>
                <w:color w:val="auto"/>
              </w:rPr>
            </w:pPr>
            <w:r>
              <w:rPr>
                <w:rFonts w:ascii="Arial" w:cs="Arial" w:eastAsia="Arial" w:hAnsi="Arial"/>
                <w:sz w:val="18"/>
                <w:szCs w:val="18"/>
                <w:color w:val="auto"/>
              </w:rPr>
              <w:t>OPZELURA revenues, net</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5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ICLUSIG revenues, net</w:t>
            </w: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r>
      <w:tr>
        <w:trPr>
          <w:trHeight w:val="245"/>
        </w:trPr>
        <w:tc>
          <w:tcPr>
            <w:tcW w:w="5060" w:type="dxa"/>
            <w:vAlign w:val="bottom"/>
          </w:tcPr>
          <w:p>
            <w:pPr>
              <w:ind w:left="20"/>
              <w:spacing w:after="0"/>
              <w:rPr>
                <w:sz w:val="20"/>
                <w:szCs w:val="20"/>
                <w:color w:val="auto"/>
              </w:rPr>
            </w:pPr>
            <w:r>
              <w:rPr>
                <w:rFonts w:ascii="Arial" w:cs="Arial" w:eastAsia="Arial" w:hAnsi="Arial"/>
                <w:sz w:val="18"/>
                <w:szCs w:val="18"/>
                <w:color w:val="auto"/>
              </w:rPr>
              <w:t>PEMAZYRE revenues, net</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25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MINJUVI revenues, net</w:t>
            </w: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45"/>
        </w:trPr>
        <w:tc>
          <w:tcPr>
            <w:tcW w:w="5060" w:type="dxa"/>
            <w:vAlign w:val="bottom"/>
          </w:tcPr>
          <w:p>
            <w:pPr>
              <w:ind w:left="20"/>
              <w:spacing w:after="0"/>
              <w:rPr>
                <w:sz w:val="20"/>
                <w:szCs w:val="20"/>
                <w:color w:val="auto"/>
              </w:rPr>
            </w:pPr>
            <w:r>
              <w:rPr>
                <w:rFonts w:ascii="Arial" w:cs="Arial" w:eastAsia="Arial" w:hAnsi="Arial"/>
                <w:sz w:val="18"/>
                <w:szCs w:val="18"/>
                <w:color w:val="auto"/>
              </w:rPr>
              <w:t>ZYNYZ revenues, net</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50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product revenues, net</w:t>
            </w:r>
          </w:p>
        </w:tc>
        <w:tc>
          <w:tcPr>
            <w:tcW w:w="88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783.2</w:t>
            </w:r>
          </w:p>
        </w:tc>
        <w:tc>
          <w:tcPr>
            <w:tcW w:w="10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713.0</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2,303.4</w:t>
            </w:r>
          </w:p>
        </w:tc>
        <w:tc>
          <w:tcPr>
            <w:tcW w:w="1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1,982.6</w:t>
            </w:r>
          </w:p>
        </w:tc>
      </w:tr>
      <w:tr>
        <w:trPr>
          <w:trHeight w:val="245"/>
        </w:trPr>
        <w:tc>
          <w:tcPr>
            <w:tcW w:w="5060" w:type="dxa"/>
            <w:vAlign w:val="bottom"/>
          </w:tcPr>
          <w:p>
            <w:pPr>
              <w:ind w:left="20"/>
              <w:spacing w:after="0"/>
              <w:rPr>
                <w:sz w:val="20"/>
                <w:szCs w:val="20"/>
                <w:color w:val="auto"/>
              </w:rPr>
            </w:pPr>
            <w:r>
              <w:rPr>
                <w:rFonts w:ascii="Arial" w:cs="Arial" w:eastAsia="Arial" w:hAnsi="Arial"/>
                <w:sz w:val="18"/>
                <w:szCs w:val="18"/>
                <w:color w:val="auto"/>
              </w:rPr>
              <w:t>JAKAVI product royalty revenues</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240.4</w:t>
            </w:r>
          </w:p>
        </w:tc>
      </w:tr>
      <w:tr>
        <w:trPr>
          <w:trHeight w:val="25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OLUMIANT product royalty revenues</w:t>
            </w: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r>
      <w:tr>
        <w:trPr>
          <w:trHeight w:val="245"/>
        </w:trPr>
        <w:tc>
          <w:tcPr>
            <w:tcW w:w="5060" w:type="dxa"/>
            <w:vAlign w:val="bottom"/>
          </w:tcPr>
          <w:p>
            <w:pPr>
              <w:ind w:left="20"/>
              <w:spacing w:after="0"/>
              <w:rPr>
                <w:sz w:val="20"/>
                <w:szCs w:val="20"/>
                <w:color w:val="auto"/>
              </w:rPr>
            </w:pPr>
            <w:r>
              <w:rPr>
                <w:rFonts w:ascii="Arial" w:cs="Arial" w:eastAsia="Arial" w:hAnsi="Arial"/>
                <w:sz w:val="18"/>
                <w:szCs w:val="18"/>
                <w:color w:val="auto"/>
              </w:rPr>
              <w:t>TABRECTA product royalty revenues</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52"/>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PEMAZYRE product royalty revenues</w:t>
            </w:r>
          </w:p>
        </w:tc>
        <w:tc>
          <w:tcPr>
            <w:tcW w:w="8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5060" w:type="dxa"/>
            <w:vAlign w:val="bottom"/>
          </w:tcPr>
          <w:p>
            <w:pPr>
              <w:ind w:left="180"/>
              <w:spacing w:after="0"/>
              <w:rPr>
                <w:sz w:val="20"/>
                <w:szCs w:val="20"/>
                <w:color w:val="auto"/>
              </w:rPr>
            </w:pPr>
            <w:r>
              <w:rPr>
                <w:rFonts w:ascii="Arial" w:cs="Arial" w:eastAsia="Arial" w:hAnsi="Arial"/>
                <w:sz w:val="18"/>
                <w:szCs w:val="18"/>
                <w:color w:val="auto"/>
              </w:rPr>
              <w:t>Total product royalty revenues</w:t>
            </w:r>
          </w:p>
        </w:tc>
        <w:tc>
          <w:tcPr>
            <w:tcW w:w="8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110.3</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10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350.3</w:t>
            </w:r>
          </w:p>
        </w:tc>
      </w:tr>
      <w:tr>
        <w:trPr>
          <w:trHeight w:val="252"/>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Milestone and contract revenues</w:t>
            </w:r>
          </w:p>
        </w:tc>
        <w:tc>
          <w:tcPr>
            <w:tcW w:w="8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r>
      <w:tr>
        <w:trPr>
          <w:trHeight w:val="252"/>
        </w:trPr>
        <w:tc>
          <w:tcPr>
            <w:tcW w:w="506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880" w:type="dxa"/>
            <w:vAlign w:val="bottom"/>
            <w:tcBorders>
              <w:top w:val="single" w:sz="8" w:color="auto"/>
              <w:bottom w:val="single" w:sz="8" w:color="auto"/>
            </w:tcBorders>
          </w:tcPr>
          <w:p>
            <w:pPr>
              <w:jc w:val="right"/>
              <w:ind w:right="698"/>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919.0</w:t>
            </w:r>
          </w:p>
        </w:tc>
        <w:tc>
          <w:tcPr>
            <w:tcW w:w="10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758"/>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823.3</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2,682.3</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2,467.9</w:t>
            </w:r>
          </w:p>
        </w:tc>
      </w:tr>
      <w:tr>
        <w:trPr>
          <w:trHeight w:val="20"/>
        </w:trPr>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The increase in JAKAFI product revenues for the three months ended September 30, 2023 as compared to the corresponding period in 2022 was comprised of a volume increase of $16.1 million and a price increase of $0.6 million. The increase in JAKAFI net product revenues for the nine months ended September 30, 2023 as compared to the corresponding period in 2022 was comprised of a volume increase of $98.8 million and a price increase of $38.1 million. The JAKAFI net product revenues increase was primarily driven by growth in patient demand and was partially offset by a decrease in inventory. The increase in OPZELURA net product revenues for the three and nine months ended September 30, 2023 was driven by increased patient demand and expanded coverage. The increase in MINJUVI net product revenues for the nine months ended September 30, 2023 was driven by the recognition during the second quarter of 2023 of approximately $6.0 million of previously deferred MINJUVI revenue related to the Early Access Program in France, which ended in June 2023.</w:t>
      </w:r>
    </w:p>
    <w:p>
      <w:pPr>
        <w:spacing w:after="0" w:line="197"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Our product revenues may fluctuate from quarter to quarter due to our customers’ purchasing patterns over the course of the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146"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Our milestone and contract revenues for the three and nine months ended September 30, 2023, were derived from a regulatory milestone of $5.0 million under the Novartis collaboration and license agreement. Our milestone and contract revenues for the nine months ended September 30, 2022, were derived from total regulatory milestones of $60.0 million under the Novartis collaboration and license agreement, regulatory milestones of $70.0 million under the license, development and commercialization agreement with Lilly, and a $5.0 million regulatory milestone under the Innovent research collaboration and licensing agreement.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a summary of activity with respect to our sales allowances and accruals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Co-Pay</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Discounts and</w:t>
            </w:r>
          </w:p>
        </w:tc>
        <w:tc>
          <w:tcPr>
            <w:tcW w:w="2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Government</w:t>
            </w:r>
          </w:p>
        </w:tc>
        <w:tc>
          <w:tcPr>
            <w:tcW w:w="2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Assistance</w:t>
            </w:r>
          </w:p>
        </w:tc>
        <w:tc>
          <w:tcPr>
            <w:tcW w:w="260" w:type="dxa"/>
            <w:vAlign w:val="bottom"/>
          </w:tcPr>
          <w:p>
            <w:pPr>
              <w:spacing w:after="0"/>
              <w:rPr>
                <w:sz w:val="14"/>
                <w:szCs w:val="14"/>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Product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94"/>
              </w:rPr>
              <w:t>Distribution</w:t>
            </w:r>
          </w:p>
        </w:tc>
        <w:tc>
          <w:tcPr>
            <w:tcW w:w="200" w:type="dxa"/>
            <w:vAlign w:val="bottom"/>
          </w:tcPr>
          <w:p>
            <w:pPr>
              <w:spacing w:after="0"/>
              <w:rPr>
                <w:sz w:val="13"/>
                <w:szCs w:val="13"/>
                <w:color w:val="auto"/>
              </w:rPr>
            </w:pPr>
          </w:p>
        </w:tc>
        <w:tc>
          <w:tcPr>
            <w:tcW w:w="1240" w:type="dxa"/>
            <w:vAlign w:val="bottom"/>
            <w:gridSpan w:val="2"/>
          </w:tcPr>
          <w:p>
            <w:pPr>
              <w:ind w:left="100"/>
              <w:spacing w:after="0" w:line="159" w:lineRule="exact"/>
              <w:rPr>
                <w:sz w:val="20"/>
                <w:szCs w:val="20"/>
                <w:color w:val="auto"/>
              </w:rPr>
            </w:pPr>
            <w:r>
              <w:rPr>
                <w:rFonts w:ascii="Arial" w:cs="Arial" w:eastAsia="Arial" w:hAnsi="Arial"/>
                <w:sz w:val="14"/>
                <w:szCs w:val="14"/>
                <w:b w:val="1"/>
                <w:bCs w:val="1"/>
                <w:color w:val="auto"/>
              </w:rPr>
              <w:t>Rebates and</w:t>
            </w:r>
          </w:p>
        </w:tc>
        <w:tc>
          <w:tcPr>
            <w:tcW w:w="240" w:type="dxa"/>
            <w:vAlign w:val="bottom"/>
          </w:tcPr>
          <w:p>
            <w:pPr>
              <w:spacing w:after="0"/>
              <w:rPr>
                <w:sz w:val="13"/>
                <w:szCs w:val="13"/>
                <w:color w:val="auto"/>
              </w:rPr>
            </w:pPr>
          </w:p>
        </w:tc>
        <w:tc>
          <w:tcPr>
            <w:tcW w:w="1200" w:type="dxa"/>
            <w:vAlign w:val="bottom"/>
            <w:gridSpan w:val="2"/>
          </w:tcPr>
          <w:p>
            <w:pPr>
              <w:jc w:val="center"/>
              <w:ind w:right="340"/>
              <w:spacing w:after="0" w:line="159" w:lineRule="exact"/>
              <w:rPr>
                <w:sz w:val="20"/>
                <w:szCs w:val="20"/>
                <w:color w:val="auto"/>
              </w:rPr>
            </w:pPr>
            <w:r>
              <w:rPr>
                <w:rFonts w:ascii="Arial" w:cs="Arial" w:eastAsia="Arial" w:hAnsi="Arial"/>
                <w:sz w:val="14"/>
                <w:szCs w:val="14"/>
                <w:b w:val="1"/>
                <w:bCs w:val="1"/>
                <w:color w:val="auto"/>
                <w:w w:val="93"/>
              </w:rPr>
              <w:t>and Other</w:t>
            </w: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16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 September 30, 2023</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Fees</w:t>
            </w: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Chargebacks</w:t>
            </w:r>
          </w:p>
        </w:tc>
        <w:tc>
          <w:tcPr>
            <w:tcW w:w="24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Discounts</w:t>
            </w:r>
          </w:p>
        </w:tc>
        <w:tc>
          <w:tcPr>
            <w:tcW w:w="26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Returns</w:t>
            </w:r>
          </w:p>
        </w:tc>
        <w:tc>
          <w:tcPr>
            <w:tcW w:w="30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4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148,465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205,727</w:t>
            </w:r>
          </w:p>
        </w:tc>
        <w:tc>
          <w:tcPr>
            <w:tcW w:w="0" w:type="dxa"/>
            <w:vAlign w:val="bottom"/>
          </w:tcPr>
          <w:p>
            <w:pPr>
              <w:spacing w:after="0"/>
              <w:rPr>
                <w:sz w:val="1"/>
                <w:szCs w:val="1"/>
                <w:color w:val="auto"/>
              </w:rPr>
            </w:pPr>
          </w:p>
        </w:tc>
      </w:tr>
      <w:tr>
        <w:trPr>
          <w:trHeight w:val="245"/>
        </w:trPr>
        <w:tc>
          <w:tcPr>
            <w:tcW w:w="4160" w:type="dxa"/>
            <w:vAlign w:val="bottom"/>
            <w:gridSpan w:val="2"/>
          </w:tcPr>
          <w:p>
            <w:pPr>
              <w:ind w:left="260"/>
              <w:spacing w:after="0"/>
              <w:rPr>
                <w:sz w:val="20"/>
                <w:szCs w:val="20"/>
                <w:color w:val="auto"/>
              </w:rPr>
            </w:pPr>
            <w:r>
              <w:rPr>
                <w:rFonts w:ascii="Arial" w:cs="Arial" w:eastAsia="Arial" w:hAnsi="Arial"/>
                <w:sz w:val="18"/>
                <w:szCs w:val="18"/>
                <w:color w:val="auto"/>
              </w:rPr>
              <w:t>Allowances for current period sales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96,334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719,728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106,372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931,723</w:t>
            </w:r>
          </w:p>
        </w:tc>
        <w:tc>
          <w:tcPr>
            <w:tcW w:w="0" w:type="dxa"/>
            <w:vAlign w:val="bottom"/>
          </w:tcPr>
          <w:p>
            <w:pPr>
              <w:spacing w:after="0"/>
              <w:rPr>
                <w:sz w:val="1"/>
                <w:szCs w:val="1"/>
                <w:color w:val="auto"/>
              </w:rPr>
            </w:pPr>
          </w:p>
        </w:tc>
      </w:tr>
      <w:tr>
        <w:trPr>
          <w:trHeight w:val="259"/>
        </w:trPr>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Allowances for prior period sales</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10,513</w:t>
            </w:r>
          </w:p>
        </w:tc>
        <w:tc>
          <w:tcPr>
            <w:tcW w:w="0" w:type="dxa"/>
            <w:vAlign w:val="bottom"/>
          </w:tcPr>
          <w:p>
            <w:pPr>
              <w:spacing w:after="0"/>
              <w:rPr>
                <w:sz w:val="1"/>
                <w:szCs w:val="1"/>
                <w:color w:val="auto"/>
              </w:rPr>
            </w:pPr>
          </w:p>
        </w:tc>
      </w:tr>
      <w:tr>
        <w:trPr>
          <w:trHeight w:val="245"/>
        </w:trPr>
        <w:tc>
          <w:tcPr>
            <w:tcW w:w="4160" w:type="dxa"/>
            <w:vAlign w:val="bottom"/>
            <w:gridSpan w:val="2"/>
          </w:tcPr>
          <w:p>
            <w:pPr>
              <w:ind w:left="260"/>
              <w:spacing w:after="0"/>
              <w:rPr>
                <w:sz w:val="20"/>
                <w:szCs w:val="20"/>
                <w:color w:val="auto"/>
              </w:rPr>
            </w:pPr>
            <w:r>
              <w:rPr>
                <w:rFonts w:ascii="Arial" w:cs="Arial" w:eastAsia="Arial" w:hAnsi="Arial"/>
                <w:sz w:val="18"/>
                <w:szCs w:val="18"/>
                <w:color w:val="auto"/>
              </w:rPr>
              <w:t>Credits/payments for current period sales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(79,480)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(588,541)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(106,797)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(774,818)</w:t>
            </w:r>
          </w:p>
        </w:tc>
        <w:tc>
          <w:tcPr>
            <w:tcW w:w="0" w:type="dxa"/>
            <w:vAlign w:val="bottom"/>
          </w:tcPr>
          <w:p>
            <w:pPr>
              <w:spacing w:after="0"/>
              <w:rPr>
                <w:sz w:val="1"/>
                <w:szCs w:val="1"/>
                <w:color w:val="auto"/>
              </w:rPr>
            </w:pPr>
          </w:p>
        </w:tc>
      </w:tr>
      <w:tr>
        <w:trPr>
          <w:trHeight w:val="252"/>
        </w:trPr>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Credits/payments for prior period sales</w:t>
            </w: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(22,083)</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(87,127)</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(134,760)</w:t>
            </w:r>
          </w:p>
        </w:tc>
        <w:tc>
          <w:tcPr>
            <w:tcW w:w="0" w:type="dxa"/>
            <w:vAlign w:val="bottom"/>
          </w:tcPr>
          <w:p>
            <w:pPr>
              <w:spacing w:after="0"/>
              <w:rPr>
                <w:sz w:val="1"/>
                <w:szCs w:val="1"/>
                <w:color w:val="auto"/>
              </w:rPr>
            </w:pPr>
          </w:p>
        </w:tc>
      </w:tr>
      <w:tr>
        <w:trPr>
          <w:trHeight w:val="252"/>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Balance at September 30,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19,326</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197,217</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11,396</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10,446</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238,385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product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w:t>
      </w:r>
    </w:p>
    <w:p>
      <w:pPr>
        <w:spacing w:after="0" w:line="179"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We brought a lawsuit against the U.S. Centers for Medicare and Medicaid Services (“CMS”) alleging that a recent regulation issued by CMS on the definition of “line extension” for purposes of the Medicaid rebate program is too broad and has the unintended consequence of treating OPZELURA as a “line extension” of JAKAFI under this program. We believe that such a reading would be a violation of CMS’s statutory authority and that it would be arbitrary and capricious to treat OPZELURA which, among other differentiators, is indicated to treat entirely different medical conditions and entirely different patient populations than JAKAFI. As of September 30, 2023, we have accrued approximately $42.9 million within accrued and other current liabilities on the condensed consolidated balance sheet. The impact on OPZELURA gross to net deductions for the quarter ending September 30, 2023 is approximately 6.6%. If OPZELURA is not treated as a line extension of JAKAFI, this would result in a reversal of our accrual and a lower future gross to net deduction for OPZELURA.</w:t>
      </w:r>
    </w:p>
    <w:p>
      <w:pPr>
        <w:spacing w:after="0" w:line="197"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color w:val="auto"/>
        </w:rPr>
        <w:t>Claims by third-party payors for rebates and chargebacks are frequently submitted after the period in which the related sales occurred, which may result in adjustments to prior period accrual balances in the period in which the new information becomes available. Our company-sponsored patient savings program in which we provide financial assistance to enable commercially-insured patients to afford their insurance premium and co-pays may fluctuate as the commercial insurance landscape evolves and may impact net revenues, particularly for drugs like OPZELURA. We also adjust our allowance for product returns based on new information regarding actual returns as it becomes available.</w:t>
      </w:r>
    </w:p>
    <w:p>
      <w:pPr>
        <w:spacing w:after="0" w:line="18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We expect our sales allowances to fluctuate from quarter to quarter as a result of the Medicare Part D Coverage Gap, the volume of purchases eligible for government mandated discounts and rebates as well as changes in discount percentages which are impacted by potential future price increases, rate of inflation, and other factors.</w:t>
      </w:r>
    </w:p>
    <w:p>
      <w:pPr>
        <w:spacing w:after="0" w:line="188"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5"/>
          <w:szCs w:val="15"/>
          <w:color w:val="auto"/>
        </w:rPr>
        <w:t>Product royalty revenues on commercial sales of JAKAVI and TABRECTA by Novartis are based on net sales of licensed products in licensed territories as provided by Novartis. Product royalty revenues on commercial sales of OLUMIANT by Lilly are based on net sales of licensed products in licensed territories as provided by Lilly. JAKAVI product royalty revenues for the three months ended September 30, 2023 as compared to the corresponding period in 2022 were impacted by favorable changes in foreign currency exchange rates, and were impacted by unfavorable changes in foreign currency exchange rates for the nine months ended September 30, 2023. OLUMIANT product royalty revenues for the three and nine months ended September 30, 2023 as compared to the corresponding period in 2022 were impacted by unfavorable changes in foreign currency exchange rates. In the third quarter of 2022, Olumiant royalties were impacted by a one-time deduction related to securing intellectual property rights. Product royalty revenues on commercial sales of PEMAZYRE by Innovent are based on net sales of licensed products in licensed territories as provided by Innovent.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gridSpan w:val="3"/>
          </w:tcPr>
          <w:p>
            <w:pPr>
              <w:jc w:val="center"/>
              <w:ind w:right="298"/>
              <w:spacing w:after="0"/>
              <w:rPr>
                <w:sz w:val="20"/>
                <w:szCs w:val="20"/>
                <w:color w:val="auto"/>
              </w:rPr>
            </w:pPr>
            <w:r>
              <w:rPr>
                <w:rFonts w:ascii="Arial" w:cs="Arial" w:eastAsia="Arial" w:hAnsi="Arial"/>
                <w:sz w:val="14"/>
                <w:szCs w:val="14"/>
                <w:b w:val="1"/>
                <w:bCs w:val="1"/>
                <w:color w:val="auto"/>
                <w:w w:val="92"/>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900" w:type="dxa"/>
            <w:vAlign w:val="bottom"/>
          </w:tcPr>
          <w:p>
            <w:pPr>
              <w:spacing w:after="0"/>
              <w:rPr>
                <w:sz w:val="14"/>
                <w:szCs w:val="14"/>
                <w:color w:val="auto"/>
              </w:rPr>
            </w:pPr>
          </w:p>
        </w:tc>
      </w:tr>
      <w:tr>
        <w:trPr>
          <w:trHeight w:val="184"/>
        </w:trPr>
        <w:tc>
          <w:tcPr>
            <w:tcW w:w="5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60" w:type="dxa"/>
            <w:vAlign w:val="bottom"/>
            <w:gridSpan w:val="3"/>
          </w:tcPr>
          <w:p>
            <w:pPr>
              <w:jc w:val="center"/>
              <w:ind w:right="318"/>
              <w:spacing w:after="0"/>
              <w:rPr>
                <w:sz w:val="20"/>
                <w:szCs w:val="20"/>
                <w:color w:val="auto"/>
              </w:rPr>
            </w:pPr>
            <w:r>
              <w:rPr>
                <w:rFonts w:ascii="Arial" w:cs="Arial" w:eastAsia="Arial" w:hAnsi="Arial"/>
                <w:sz w:val="14"/>
                <w:szCs w:val="14"/>
                <w:b w:val="1"/>
                <w:bCs w:val="1"/>
                <w:color w:val="auto"/>
                <w:w w:val="89"/>
              </w:rPr>
              <w:t>September 30,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900" w:type="dxa"/>
            <w:vAlign w:val="bottom"/>
          </w:tcPr>
          <w:p>
            <w:pPr>
              <w:spacing w:after="0"/>
              <w:rPr>
                <w:sz w:val="15"/>
                <w:szCs w:val="15"/>
                <w:color w:val="auto"/>
              </w:rPr>
            </w:pPr>
          </w:p>
        </w:tc>
      </w:tr>
      <w:tr>
        <w:trPr>
          <w:trHeight w:val="24"/>
        </w:trPr>
        <w:tc>
          <w:tcPr>
            <w:tcW w:w="5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5"/>
        </w:trPr>
        <w:tc>
          <w:tcPr>
            <w:tcW w:w="50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9"/>
              </w:rPr>
              <w:t>2022</w:t>
            </w:r>
          </w:p>
        </w:tc>
      </w:tr>
      <w:tr>
        <w:trPr>
          <w:trHeight w:val="188"/>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gridSpan w:val="3"/>
          </w:tcPr>
          <w:p>
            <w:pPr>
              <w:jc w:val="center"/>
              <w:ind w:right="318"/>
              <w:spacing w:after="0"/>
              <w:rPr>
                <w:sz w:val="20"/>
                <w:szCs w:val="20"/>
                <w:color w:val="auto"/>
              </w:rPr>
            </w:pPr>
            <w:r>
              <w:rPr>
                <w:rFonts w:ascii="Arial" w:cs="Arial" w:eastAsia="Arial" w:hAnsi="Arial"/>
                <w:sz w:val="14"/>
                <w:szCs w:val="14"/>
                <w:b w:val="1"/>
                <w:bCs w:val="1"/>
                <w:color w:val="auto"/>
                <w:w w:val="94"/>
              </w:rPr>
              <w:t>(in millions)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90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2"/>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costs</w:t>
            </w:r>
          </w:p>
        </w:tc>
        <w:tc>
          <w:tcPr>
            <w:tcW w:w="88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45"/>
        </w:trPr>
        <w:tc>
          <w:tcPr>
            <w:tcW w:w="5060" w:type="dxa"/>
            <w:vAlign w:val="bottom"/>
          </w:tcPr>
          <w:p>
            <w:pPr>
              <w:ind w:left="20"/>
              <w:spacing w:after="0"/>
              <w:rPr>
                <w:sz w:val="20"/>
                <w:szCs w:val="20"/>
                <w:color w:val="auto"/>
              </w:rPr>
            </w:pPr>
            <w:r>
              <w:rPr>
                <w:rFonts w:ascii="Arial" w:cs="Arial" w:eastAsia="Arial" w:hAnsi="Arial"/>
                <w:sz w:val="18"/>
                <w:szCs w:val="18"/>
                <w:color w:val="auto"/>
              </w:rPr>
              <w:t>Salary and benefits related</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5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5"/>
        </w:trPr>
        <w:tc>
          <w:tcPr>
            <w:tcW w:w="5060" w:type="dxa"/>
            <w:vAlign w:val="bottom"/>
          </w:tcPr>
          <w:p>
            <w:pPr>
              <w:ind w:left="20"/>
              <w:spacing w:after="0"/>
              <w:rPr>
                <w:sz w:val="20"/>
                <w:szCs w:val="20"/>
                <w:color w:val="auto"/>
              </w:rPr>
            </w:pPr>
            <w:r>
              <w:rPr>
                <w:rFonts w:ascii="Arial" w:cs="Arial" w:eastAsia="Arial" w:hAnsi="Arial"/>
                <w:sz w:val="18"/>
                <w:szCs w:val="18"/>
                <w:color w:val="auto"/>
              </w:rPr>
              <w:t>Royalty expense</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83.7</w:t>
            </w:r>
          </w:p>
        </w:tc>
      </w:tr>
      <w:tr>
        <w:trPr>
          <w:trHeight w:val="252"/>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definite-lived intangible assets</w:t>
            </w:r>
          </w:p>
        </w:tc>
        <w:tc>
          <w:tcPr>
            <w:tcW w:w="8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52"/>
        </w:trPr>
        <w:tc>
          <w:tcPr>
            <w:tcW w:w="5060" w:type="dxa"/>
            <w:vAlign w:val="bottom"/>
          </w:tcPr>
          <w:p>
            <w:pPr>
              <w:ind w:left="180"/>
              <w:spacing w:after="0"/>
              <w:rPr>
                <w:sz w:val="20"/>
                <w:szCs w:val="20"/>
                <w:color w:val="auto"/>
              </w:rPr>
            </w:pPr>
            <w:r>
              <w:rPr>
                <w:rFonts w:ascii="Arial" w:cs="Arial" w:eastAsia="Arial" w:hAnsi="Arial"/>
                <w:sz w:val="18"/>
                <w:szCs w:val="18"/>
                <w:color w:val="auto"/>
              </w:rPr>
              <w:t>Total cost of product revenues</w:t>
            </w:r>
          </w:p>
        </w:tc>
        <w:tc>
          <w:tcPr>
            <w:tcW w:w="880" w:type="dxa"/>
            <w:vAlign w:val="bottom"/>
            <w:tcBorders>
              <w:bottom w:val="single" w:sz="8" w:color="auto"/>
            </w:tcBorders>
          </w:tcPr>
          <w:p>
            <w:pPr>
              <w:jc w:val="right"/>
              <w:ind w:right="698"/>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798"/>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900" w:type="dxa"/>
            <w:vAlign w:val="bottom"/>
            <w:tcBorders>
              <w:bottom w:val="single" w:sz="8" w:color="auto"/>
            </w:tcBorders>
          </w:tcPr>
          <w:p>
            <w:pPr>
              <w:jc w:val="right"/>
              <w:ind w:right="718"/>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w:t>
            </w:r>
          </w:p>
        </w:tc>
      </w:tr>
      <w:tr>
        <w:trPr>
          <w:trHeight w:val="20"/>
        </w:trPr>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Cost of product revenues includes all product related costs, reserves for obsolescence, employee personnel costs, including stock compensation, for those employees dedicated to the production of our commercial products, royalties under our collaborative agreements and amortization of our licensed intellectual property rights for ICLUSIG and the amortization of capitalized milestone payments. The increase in cost of product revenues for the three and nine months ended September 30, 2023 as compared to the same periods in 2022 was primarily due to growth in net product revenues.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expenses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gridSpan w:val="3"/>
          </w:tcPr>
          <w:p>
            <w:pPr>
              <w:jc w:val="center"/>
              <w:ind w:right="258"/>
              <w:spacing w:after="0"/>
              <w:rPr>
                <w:sz w:val="20"/>
                <w:szCs w:val="20"/>
                <w:color w:val="auto"/>
              </w:rPr>
            </w:pPr>
            <w:r>
              <w:rPr>
                <w:rFonts w:ascii="Arial" w:cs="Arial" w:eastAsia="Arial" w:hAnsi="Arial"/>
                <w:sz w:val="14"/>
                <w:szCs w:val="14"/>
                <w:b w:val="1"/>
                <w:bCs w:val="1"/>
                <w:color w:val="auto"/>
                <w:w w:val="92"/>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w w:val="93"/>
              </w:rPr>
              <w:t>Nine Months Ended</w:t>
            </w:r>
          </w:p>
        </w:tc>
        <w:tc>
          <w:tcPr>
            <w:tcW w:w="900" w:type="dxa"/>
            <w:vAlign w:val="bottom"/>
          </w:tcPr>
          <w:p>
            <w:pPr>
              <w:spacing w:after="0"/>
              <w:rPr>
                <w:sz w:val="14"/>
                <w:szCs w:val="14"/>
                <w:color w:val="auto"/>
              </w:rPr>
            </w:pPr>
          </w:p>
        </w:tc>
      </w:tr>
      <w:tr>
        <w:trPr>
          <w:trHeight w:val="184"/>
        </w:trPr>
        <w:tc>
          <w:tcPr>
            <w:tcW w:w="5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gridSpan w:val="3"/>
          </w:tcPr>
          <w:p>
            <w:pPr>
              <w:jc w:val="center"/>
              <w:ind w:right="278"/>
              <w:spacing w:after="0"/>
              <w:rPr>
                <w:sz w:val="20"/>
                <w:szCs w:val="20"/>
                <w:color w:val="auto"/>
              </w:rPr>
            </w:pPr>
            <w:r>
              <w:rPr>
                <w:rFonts w:ascii="Arial" w:cs="Arial" w:eastAsia="Arial" w:hAnsi="Arial"/>
                <w:sz w:val="14"/>
                <w:szCs w:val="14"/>
                <w:b w:val="1"/>
                <w:bCs w:val="1"/>
                <w:color w:val="auto"/>
                <w:w w:val="89"/>
              </w:rPr>
              <w:t>September 30,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w w:val="89"/>
              </w:rPr>
              <w:t>September 30,</w:t>
            </w:r>
          </w:p>
        </w:tc>
        <w:tc>
          <w:tcPr>
            <w:tcW w:w="900" w:type="dxa"/>
            <w:vAlign w:val="bottom"/>
          </w:tcPr>
          <w:p>
            <w:pPr>
              <w:spacing w:after="0"/>
              <w:rPr>
                <w:sz w:val="15"/>
                <w:szCs w:val="15"/>
                <w:color w:val="auto"/>
              </w:rPr>
            </w:pPr>
          </w:p>
        </w:tc>
      </w:tr>
      <w:tr>
        <w:trPr>
          <w:trHeight w:val="24"/>
        </w:trPr>
        <w:tc>
          <w:tcPr>
            <w:tcW w:w="5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5"/>
        </w:trPr>
        <w:tc>
          <w:tcPr>
            <w:tcW w:w="50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w w:val="89"/>
              </w:rPr>
              <w:t>2022</w:t>
            </w:r>
          </w:p>
        </w:tc>
      </w:tr>
      <w:tr>
        <w:trPr>
          <w:trHeight w:val="188"/>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gridSpan w:val="3"/>
          </w:tcPr>
          <w:p>
            <w:pPr>
              <w:jc w:val="center"/>
              <w:ind w:right="278"/>
              <w:spacing w:after="0"/>
              <w:rPr>
                <w:sz w:val="20"/>
                <w:szCs w:val="20"/>
                <w:color w:val="auto"/>
              </w:rPr>
            </w:pPr>
            <w:r>
              <w:rPr>
                <w:rFonts w:ascii="Arial" w:cs="Arial" w:eastAsia="Arial" w:hAnsi="Arial"/>
                <w:sz w:val="14"/>
                <w:szCs w:val="14"/>
                <w:b w:val="1"/>
                <w:bCs w:val="1"/>
                <w:color w:val="auto"/>
                <w:w w:val="94"/>
              </w:rPr>
              <w:t>(in millions)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w w:val="94"/>
              </w:rPr>
              <w:t>(in millions)</w:t>
            </w:r>
          </w:p>
        </w:tc>
        <w:tc>
          <w:tcPr>
            <w:tcW w:w="90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2"/>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Salary and benefits related</w:t>
            </w:r>
          </w:p>
        </w:tc>
        <w:tc>
          <w:tcPr>
            <w:tcW w:w="88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r>
      <w:tr>
        <w:trPr>
          <w:trHeight w:val="245"/>
        </w:trPr>
        <w:tc>
          <w:tcPr>
            <w:tcW w:w="506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80.2</w:t>
            </w:r>
          </w:p>
        </w:tc>
      </w:tr>
      <w:tr>
        <w:trPr>
          <w:trHeight w:val="25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research and outside services</w:t>
            </w: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242.9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w:t>
            </w:r>
          </w:p>
        </w:tc>
      </w:tr>
      <w:tr>
        <w:trPr>
          <w:trHeight w:val="245"/>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Occupancy and all other costs</w:t>
            </w:r>
          </w:p>
        </w:tc>
        <w:tc>
          <w:tcPr>
            <w:tcW w:w="8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r>
      <w:tr>
        <w:trPr>
          <w:trHeight w:val="27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1,084.6</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We account for research and development costs by natural expense line and not costs by project. The increase in salary and benefits related expense for the three and nine months ended September 30, 2023 as compared to the corresponding periods in 2022 was due primarily to increased development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146"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7"/>
          <w:szCs w:val="17"/>
          <w:color w:val="auto"/>
        </w:rPr>
        <w:t>The decrease in clinical research and outside services expense for the three months ended September 30, 2023 as compared to the corresponding period in 2022 was primarily due to a decrease in one-time collaboration related expenses, and the increase in clinical research and outside services expense for the nine months ended September 30, 2023 as compared to the corresponding period in 2022, was due to continued investment in our late stage development assets, partially offset by a decrease in one-time collaboration related expenses. Research and development expenses include upfront and milestone expenses related to our collaborative agreements of $3.0 million and $12.7 million, respectively, for the three and nine months ended September 30, 2023. Research and development expenses include upfront and milestone expenses related to our collaborative agreements of $33.5 million and $56.0 million, respectively, for the three and nine months ended September 30, 2022. Research and development expenses for the three and nine months ended September 30, 2023 and 2022 were net of $11.3 million, $37.0 million, $8.7 million and $43.3 million, respectively, of costs reimbursed by our collaborative partners.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timing of drug supply, including API,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480" w:type="dxa"/>
            <w:vAlign w:val="bottom"/>
            <w:gridSpan w:val="4"/>
          </w:tcPr>
          <w:p>
            <w:pPr>
              <w:jc w:val="center"/>
              <w:ind w:left="441"/>
              <w:spacing w:after="0"/>
              <w:rPr>
                <w:sz w:val="20"/>
                <w:szCs w:val="20"/>
                <w:color w:val="auto"/>
              </w:rPr>
            </w:pPr>
            <w:r>
              <w:rPr>
                <w:rFonts w:ascii="Arial" w:cs="Arial" w:eastAsia="Arial" w:hAnsi="Arial"/>
                <w:sz w:val="14"/>
                <w:szCs w:val="14"/>
                <w:b w:val="1"/>
                <w:bCs w:val="1"/>
                <w:color w:val="auto"/>
                <w:w w:val="92"/>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r>
      <w:tr>
        <w:trPr>
          <w:trHeight w:val="184"/>
        </w:trPr>
        <w:tc>
          <w:tcPr>
            <w:tcW w:w="5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gridSpan w:val="3"/>
          </w:tcPr>
          <w:p>
            <w:pPr>
              <w:jc w:val="center"/>
              <w:ind w:right="318"/>
              <w:spacing w:after="0"/>
              <w:rPr>
                <w:sz w:val="20"/>
                <w:szCs w:val="20"/>
                <w:color w:val="auto"/>
              </w:rPr>
            </w:pPr>
            <w:r>
              <w:rPr>
                <w:rFonts w:ascii="Arial" w:cs="Arial" w:eastAsia="Arial" w:hAnsi="Arial"/>
                <w:sz w:val="14"/>
                <w:szCs w:val="14"/>
                <w:b w:val="1"/>
                <w:bCs w:val="1"/>
                <w:color w:val="auto"/>
                <w:w w:val="89"/>
              </w:rPr>
              <w:t>September 30,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880" w:type="dxa"/>
            <w:vAlign w:val="bottom"/>
          </w:tcPr>
          <w:p>
            <w:pPr>
              <w:spacing w:after="0"/>
              <w:rPr>
                <w:sz w:val="15"/>
                <w:szCs w:val="15"/>
                <w:color w:val="auto"/>
              </w:rPr>
            </w:pPr>
          </w:p>
        </w:tc>
      </w:tr>
      <w:tr>
        <w:trPr>
          <w:trHeight w:val="24"/>
        </w:trPr>
        <w:tc>
          <w:tcPr>
            <w:tcW w:w="5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5"/>
        </w:trPr>
        <w:tc>
          <w:tcPr>
            <w:tcW w:w="51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w w:val="83"/>
              </w:rPr>
              <w:t>2022</w:t>
            </w:r>
          </w:p>
        </w:tc>
      </w:tr>
      <w:tr>
        <w:trPr>
          <w:trHeight w:val="188"/>
        </w:trPr>
        <w:tc>
          <w:tcPr>
            <w:tcW w:w="5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40" w:type="dxa"/>
            <w:vAlign w:val="bottom"/>
            <w:gridSpan w:val="3"/>
          </w:tcPr>
          <w:p>
            <w:pPr>
              <w:jc w:val="center"/>
              <w:ind w:right="338"/>
              <w:spacing w:after="0"/>
              <w:rPr>
                <w:sz w:val="20"/>
                <w:szCs w:val="20"/>
                <w:color w:val="auto"/>
              </w:rPr>
            </w:pPr>
            <w:r>
              <w:rPr>
                <w:rFonts w:ascii="Arial" w:cs="Arial" w:eastAsia="Arial" w:hAnsi="Arial"/>
                <w:sz w:val="14"/>
                <w:szCs w:val="14"/>
                <w:b w:val="1"/>
                <w:bCs w:val="1"/>
                <w:color w:val="auto"/>
                <w:w w:val="91"/>
              </w:rPr>
              <w:t>(in millions)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880" w:type="dxa"/>
            <w:vAlign w:val="bottom"/>
          </w:tcPr>
          <w:p>
            <w:pPr>
              <w:spacing w:after="0"/>
              <w:rPr>
                <w:sz w:val="16"/>
                <w:szCs w:val="16"/>
                <w:color w:val="auto"/>
              </w:rPr>
            </w:pPr>
          </w:p>
        </w:tc>
      </w:tr>
      <w:tr>
        <w:trPr>
          <w:trHeight w:val="24"/>
        </w:trPr>
        <w:tc>
          <w:tcPr>
            <w:tcW w:w="5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2"/>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Salary and benefits related</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r>
      <w:tr>
        <w:trPr>
          <w:trHeight w:val="245"/>
        </w:trPr>
        <w:tc>
          <w:tcPr>
            <w:tcW w:w="512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252"/>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contract services and outside costs</w:t>
            </w:r>
          </w:p>
        </w:tc>
        <w:tc>
          <w:tcPr>
            <w:tcW w:w="9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173.4</w:t>
            </w:r>
          </w:p>
        </w:tc>
        <w:tc>
          <w:tcPr>
            <w:tcW w:w="10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183.3</w:t>
            </w:r>
          </w:p>
        </w:tc>
        <w:tc>
          <w:tcPr>
            <w:tcW w:w="10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478.8</w:t>
            </w:r>
          </w:p>
        </w:tc>
      </w:tr>
      <w:tr>
        <w:trPr>
          <w:trHeight w:val="252"/>
        </w:trPr>
        <w:tc>
          <w:tcPr>
            <w:tcW w:w="5120" w:type="dxa"/>
            <w:vAlign w:val="bottom"/>
          </w:tcPr>
          <w:p>
            <w:pPr>
              <w:ind w:left="20"/>
              <w:spacing w:after="0"/>
              <w:rPr>
                <w:sz w:val="20"/>
                <w:szCs w:val="20"/>
                <w:color w:val="auto"/>
              </w:rPr>
            </w:pPr>
            <w:r>
              <w:rPr>
                <w:rFonts w:ascii="Arial" w:cs="Arial" w:eastAsia="Arial" w:hAnsi="Arial"/>
                <w:sz w:val="18"/>
                <w:szCs w:val="18"/>
                <w:color w:val="auto"/>
              </w:rPr>
              <w:t>Total selling, general and administrative expenses</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267.9</w:t>
            </w:r>
          </w:p>
        </w:tc>
        <w:tc>
          <w:tcPr>
            <w:tcW w:w="100" w:type="dxa"/>
            <w:vAlign w:val="bottom"/>
          </w:tcPr>
          <w:p>
            <w:pPr>
              <w:spacing w:after="0"/>
              <w:rPr>
                <w:sz w:val="21"/>
                <w:szCs w:val="21"/>
                <w:color w:val="auto"/>
              </w:rPr>
            </w:pPr>
          </w:p>
        </w:tc>
        <w:tc>
          <w:tcPr>
            <w:tcW w:w="920" w:type="dxa"/>
            <w:vAlign w:val="bottom"/>
            <w:tcBorders>
              <w:bottom w:val="single" w:sz="8" w:color="auto"/>
            </w:tcBorders>
          </w:tcPr>
          <w:p>
            <w:pPr>
              <w:jc w:val="right"/>
              <w:ind w:right="738"/>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266.5</w:t>
            </w:r>
          </w:p>
        </w:tc>
        <w:tc>
          <w:tcPr>
            <w:tcW w:w="100" w:type="dxa"/>
            <w:vAlign w:val="bottom"/>
          </w:tcPr>
          <w:p>
            <w:pPr>
              <w:spacing w:after="0"/>
              <w:rPr>
                <w:sz w:val="21"/>
                <w:szCs w:val="21"/>
                <w:color w:val="auto"/>
              </w:rPr>
            </w:pPr>
          </w:p>
        </w:tc>
        <w:tc>
          <w:tcPr>
            <w:tcW w:w="880" w:type="dxa"/>
            <w:vAlign w:val="bottom"/>
            <w:tcBorders>
              <w:bottom w:val="single" w:sz="8" w:color="auto"/>
            </w:tcBorders>
          </w:tcPr>
          <w:p>
            <w:pPr>
              <w:jc w:val="right"/>
              <w:ind w:right="698"/>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867.4</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729.3</w:t>
            </w:r>
          </w:p>
        </w:tc>
      </w:tr>
      <w:tr>
        <w:trPr>
          <w:trHeight w:val="20"/>
        </w:trPr>
        <w:tc>
          <w:tcPr>
            <w:tcW w:w="5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The increase in salary and benefits related expense for the three and nine months ended September 30, 2023 as compared to the corresponding period in 2022 was due primarily to increased headcount. This increased headcount was due primarily to the establishment of our dermatology commercial organization. Stock compensation expense may fluctuate from period to period based on the number of awards granted, stock price volatility and expected award lives, as well as expected award forfeiture rates which are used to value equity-based compensation. The increase in other contract services and outside costs for the nine months ended September 30, 2023, as compared to the corresponding period in 2022, was primarily due to expenses related to promotional activities to support the launch of OPZELURA for the treatment of vitiligo.</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(Gain) loss on change in fair value of acquisition-related contingent consideration</w:t>
      </w:r>
    </w:p>
    <w:p>
      <w:pPr>
        <w:spacing w:after="0" w:line="217"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7"/>
          <w:szCs w:val="17"/>
          <w:color w:val="auto"/>
        </w:rPr>
        <w:t>Acquisition-related contingent consideration, which consists of our future royalty obligations to ARIAD/Takeda, was recorded on the acquisition date, June 1, 2016, at the estimated fair value of the obligation, in accordance with the acquisition method of accounting. The fair value of the acquisition-related contingent consideration is remeasured quarterly. The change in fair value of the acquisition-related contingent consideration for the three and nine months ended September 30, 2023 was a gain of $0.4 million and a loss of $14.1 million, respectively, which is recorded in (gain) loss on change in fair value of acquisition-related contingent consideration on the condensed consolidated statements of operations. The gain on change in fair value of the acquisition-related contingent consideration for the three and nine months ended September 30, 2022 was $21.9 million and $12.2 million, respectively, which is recorded in (gain) loss on change in fair value of acquisition-related contingent consideration on the condensed consolidated statements of operations. The change in fair value of the contingent consideration during the three and nine months ended September 30, 2023 was due primarily to the changes in foreign currency exchange rates included within the updated projections of future net revenues of ICLUSIG and the passage of time. The change in fair value for the three and nine months ended September 30, 2022 was due primarily to the changes in foreign currency exchange rates included within the updated projections of future net revenues of ICLUSIG.</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Loss and (profit) sharing under collaboration agreements</w:t>
      </w:r>
    </w:p>
    <w:p>
      <w:pPr>
        <w:spacing w:after="0" w:line="217" w:lineRule="exact"/>
        <w:rPr>
          <w:sz w:val="20"/>
          <w:szCs w:val="20"/>
          <w:color w:val="auto"/>
        </w:rPr>
      </w:pPr>
    </w:p>
    <w:p>
      <w:pPr>
        <w:jc w:val="both"/>
        <w:ind w:firstLine="636"/>
        <w:spacing w:after="0" w:line="309" w:lineRule="auto"/>
        <w:rPr>
          <w:sz w:val="20"/>
          <w:szCs w:val="20"/>
          <w:color w:val="auto"/>
        </w:rPr>
      </w:pPr>
      <w:r>
        <w:rPr>
          <w:rFonts w:ascii="Arial" w:cs="Arial" w:eastAsia="Arial" w:hAnsi="Arial"/>
          <w:sz w:val="15"/>
          <w:szCs w:val="15"/>
          <w:color w:val="auto"/>
        </w:rPr>
        <w:t>Under the collaboration and license agreement with MorphoSys, which was executed in March 2020, we and MorphoSys are both responsible for the commercialization efforts of tafasitamab in the United States and will share equally the profits and losses from the co-commercialization efforts. For the three and nine months ended September 30, 2023, our 50% share of the losses and profits for tafasitamab was a loss of $1.1 million and profit of $0.9 million, respectively, as recorded in loss and (profit) sharing under collaboration agreements on the condensed consolidated statement of operations. For the three and nine months ended September 30, 2022, our 50% share of the losses for tafasitamab was $1.8 million and $9.1 million, respectively, as recorded in loss and (profit) sharing under collaboration agreements on the condensed consolidated statement of operations.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i w:val="1"/>
          <w:iCs w:val="1"/>
          <w:color w:val="auto"/>
        </w:rPr>
        <w:t>Interest income and other, net</w:t>
      </w:r>
      <w:r>
        <w:rPr>
          <w:rFonts w:ascii="Arial" w:cs="Arial" w:eastAsia="Arial" w:hAnsi="Arial"/>
          <w:sz w:val="18"/>
          <w:szCs w:val="18"/>
          <w:color w:val="auto"/>
        </w:rPr>
        <w:t>. Interest income and other, net for the three and nine months ended September 30, 2023 was $46.4 million and $121.9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Interest income and other, net for the three and nine months ended September 30, 2022 was $11.5 million and $13.3 million, respectively. The increase in Interest income and other, net for the three and nine months ended September 30, 2023 primarily relates to an increase in interest earned on our cash equivalents and marketable securities.</w:t>
      </w:r>
    </w:p>
    <w:p>
      <w:pPr>
        <w:spacing w:after="0" w:line="19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i w:val="1"/>
          <w:iCs w:val="1"/>
          <w:color w:val="auto"/>
        </w:rPr>
        <w:t xml:space="preserve">Unrealized (loss) gain on long term investments. </w:t>
      </w:r>
      <w:r>
        <w:rPr>
          <w:rFonts w:ascii="Arial" w:cs="Arial" w:eastAsia="Arial" w:hAnsi="Arial"/>
          <w:sz w:val="18"/>
          <w:szCs w:val="18"/>
          <w:color w:val="auto"/>
        </w:rPr>
        <w:t>Unrealized gains and losses on long term investments will fluctuate from period to period,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change in fair value of the securities we hold in our publicly held collaboration partners. The following table provides a summary of those unrealized (losses) gains: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gridSpan w:val="3"/>
          </w:tcPr>
          <w:p>
            <w:pPr>
              <w:jc w:val="center"/>
              <w:ind w:right="298"/>
              <w:spacing w:after="0"/>
              <w:rPr>
                <w:sz w:val="20"/>
                <w:szCs w:val="20"/>
                <w:color w:val="auto"/>
              </w:rPr>
            </w:pPr>
            <w:r>
              <w:rPr>
                <w:rFonts w:ascii="Arial" w:cs="Arial" w:eastAsia="Arial" w:hAnsi="Arial"/>
                <w:sz w:val="14"/>
                <w:szCs w:val="14"/>
                <w:b w:val="1"/>
                <w:bCs w:val="1"/>
                <w:color w:val="auto"/>
                <w:w w:val="92"/>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900" w:type="dxa"/>
            <w:vAlign w:val="bottom"/>
          </w:tcPr>
          <w:p>
            <w:pPr>
              <w:spacing w:after="0"/>
              <w:rPr>
                <w:sz w:val="14"/>
                <w:szCs w:val="14"/>
                <w:color w:val="auto"/>
              </w:rPr>
            </w:pPr>
          </w:p>
        </w:tc>
      </w:tr>
      <w:tr>
        <w:trPr>
          <w:trHeight w:val="184"/>
        </w:trPr>
        <w:tc>
          <w:tcPr>
            <w:tcW w:w="5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60" w:type="dxa"/>
            <w:vAlign w:val="bottom"/>
            <w:gridSpan w:val="3"/>
          </w:tcPr>
          <w:p>
            <w:pPr>
              <w:jc w:val="center"/>
              <w:ind w:right="318"/>
              <w:spacing w:after="0"/>
              <w:rPr>
                <w:sz w:val="20"/>
                <w:szCs w:val="20"/>
                <w:color w:val="auto"/>
              </w:rPr>
            </w:pPr>
            <w:r>
              <w:rPr>
                <w:rFonts w:ascii="Arial" w:cs="Arial" w:eastAsia="Arial" w:hAnsi="Arial"/>
                <w:sz w:val="14"/>
                <w:szCs w:val="14"/>
                <w:b w:val="1"/>
                <w:bCs w:val="1"/>
                <w:color w:val="auto"/>
                <w:w w:val="89"/>
              </w:rPr>
              <w:t>September 30,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900" w:type="dxa"/>
            <w:vAlign w:val="bottom"/>
          </w:tcPr>
          <w:p>
            <w:pPr>
              <w:spacing w:after="0"/>
              <w:rPr>
                <w:sz w:val="15"/>
                <w:szCs w:val="15"/>
                <w:color w:val="auto"/>
              </w:rPr>
            </w:pPr>
          </w:p>
        </w:tc>
      </w:tr>
      <w:tr>
        <w:trPr>
          <w:trHeight w:val="24"/>
        </w:trPr>
        <w:tc>
          <w:tcPr>
            <w:tcW w:w="5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50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18"/>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4"/>
              <w:spacing w:after="0"/>
              <w:rPr>
                <w:sz w:val="20"/>
                <w:szCs w:val="20"/>
                <w:color w:val="auto"/>
              </w:rPr>
            </w:pPr>
            <w:r>
              <w:rPr>
                <w:rFonts w:ascii="Arial" w:cs="Arial" w:eastAsia="Arial" w:hAnsi="Arial"/>
                <w:sz w:val="14"/>
                <w:szCs w:val="14"/>
                <w:b w:val="1"/>
                <w:bCs w:val="1"/>
                <w:color w:val="auto"/>
                <w:w w:val="89"/>
              </w:rPr>
              <w:t>2022</w:t>
            </w:r>
          </w:p>
        </w:tc>
      </w:tr>
      <w:tr>
        <w:trPr>
          <w:trHeight w:val="24"/>
        </w:trPr>
        <w:tc>
          <w:tcPr>
            <w:tcW w:w="5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5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60" w:type="dxa"/>
            <w:vAlign w:val="bottom"/>
            <w:gridSpan w:val="3"/>
          </w:tcPr>
          <w:p>
            <w:pPr>
              <w:jc w:val="center"/>
              <w:ind w:right="318"/>
              <w:spacing w:after="0"/>
              <w:rPr>
                <w:sz w:val="20"/>
                <w:szCs w:val="20"/>
                <w:color w:val="auto"/>
              </w:rPr>
            </w:pPr>
            <w:r>
              <w:rPr>
                <w:rFonts w:ascii="Arial" w:cs="Arial" w:eastAsia="Arial" w:hAnsi="Arial"/>
                <w:sz w:val="14"/>
                <w:szCs w:val="14"/>
                <w:b w:val="1"/>
                <w:bCs w:val="1"/>
                <w:color w:val="auto"/>
                <w:w w:val="94"/>
              </w:rPr>
              <w:t>(in millions)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900" w:type="dxa"/>
            <w:vAlign w:val="bottom"/>
          </w:tcPr>
          <w:p>
            <w:pPr>
              <w:spacing w:after="0"/>
              <w:rPr>
                <w:sz w:val="15"/>
                <w:szCs w:val="15"/>
                <w:color w:val="auto"/>
              </w:rPr>
            </w:pPr>
          </w:p>
        </w:tc>
      </w:tr>
      <w:tr>
        <w:trPr>
          <w:trHeight w:val="24"/>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2"/>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Agenus</w:t>
            </w:r>
          </w:p>
        </w:tc>
        <w:tc>
          <w:tcPr>
            <w:tcW w:w="88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45"/>
        </w:trPr>
        <w:tc>
          <w:tcPr>
            <w:tcW w:w="5060" w:type="dxa"/>
            <w:vAlign w:val="bottom"/>
          </w:tcPr>
          <w:p>
            <w:pPr>
              <w:ind w:left="20"/>
              <w:spacing w:after="0"/>
              <w:rPr>
                <w:sz w:val="20"/>
                <w:szCs w:val="20"/>
                <w:color w:val="auto"/>
              </w:rPr>
            </w:pPr>
            <w:r>
              <w:rPr>
                <w:rFonts w:ascii="Arial" w:cs="Arial" w:eastAsia="Arial" w:hAnsi="Arial"/>
                <w:sz w:val="18"/>
                <w:szCs w:val="18"/>
                <w:color w:val="auto"/>
              </w:rPr>
              <w:t>Calithera</w:t>
            </w:r>
          </w:p>
        </w:tc>
        <w:tc>
          <w:tcPr>
            <w:tcW w:w="88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5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Merus</w:t>
            </w: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45"/>
        </w:trPr>
        <w:tc>
          <w:tcPr>
            <w:tcW w:w="5060" w:type="dxa"/>
            <w:vAlign w:val="bottom"/>
          </w:tcPr>
          <w:p>
            <w:pPr>
              <w:ind w:left="20"/>
              <w:spacing w:after="0"/>
              <w:rPr>
                <w:sz w:val="20"/>
                <w:szCs w:val="20"/>
                <w:color w:val="auto"/>
              </w:rPr>
            </w:pPr>
            <w:r>
              <w:rPr>
                <w:rFonts w:ascii="Arial" w:cs="Arial" w:eastAsia="Arial" w:hAnsi="Arial"/>
                <w:sz w:val="18"/>
                <w:szCs w:val="18"/>
                <w:color w:val="auto"/>
              </w:rPr>
              <w:t>MorphoSys</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5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Syndax</w:t>
            </w: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5"/>
        </w:trPr>
        <w:tc>
          <w:tcPr>
            <w:tcW w:w="5060" w:type="dxa"/>
            <w:vAlign w:val="bottom"/>
          </w:tcPr>
          <w:p>
            <w:pPr>
              <w:ind w:left="20"/>
              <w:spacing w:after="0"/>
              <w:rPr>
                <w:sz w:val="20"/>
                <w:szCs w:val="20"/>
                <w:color w:val="auto"/>
              </w:rPr>
            </w:pPr>
            <w:r>
              <w:rPr>
                <w:rFonts w:ascii="Arial" w:cs="Arial" w:eastAsia="Arial" w:hAnsi="Arial"/>
                <w:sz w:val="18"/>
                <w:szCs w:val="18"/>
                <w:color w:val="auto"/>
              </w:rPr>
              <w:t>Mink</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Syros</w:t>
            </w:r>
          </w:p>
        </w:tc>
        <w:tc>
          <w:tcPr>
            <w:tcW w:w="8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52"/>
        </w:trPr>
        <w:tc>
          <w:tcPr>
            <w:tcW w:w="5060" w:type="dxa"/>
            <w:vAlign w:val="bottom"/>
          </w:tcPr>
          <w:p>
            <w:pPr>
              <w:ind w:left="20"/>
              <w:spacing w:after="0"/>
              <w:rPr>
                <w:sz w:val="20"/>
                <w:szCs w:val="20"/>
                <w:color w:val="auto"/>
              </w:rPr>
            </w:pPr>
            <w:r>
              <w:rPr>
                <w:rFonts w:ascii="Arial" w:cs="Arial" w:eastAsia="Arial" w:hAnsi="Arial"/>
                <w:sz w:val="18"/>
                <w:szCs w:val="18"/>
                <w:color w:val="auto"/>
              </w:rPr>
              <w:t>Total unrealized (loss) gain on long term investments</w:t>
            </w:r>
          </w:p>
        </w:tc>
        <w:tc>
          <w:tcPr>
            <w:tcW w:w="880" w:type="dxa"/>
            <w:vAlign w:val="bottom"/>
            <w:tcBorders>
              <w:top w:val="single" w:sz="8" w:color="auto"/>
              <w:bottom w:val="single" w:sz="8" w:color="auto"/>
            </w:tcBorders>
          </w:tcPr>
          <w:p>
            <w:pPr>
              <w:jc w:val="right"/>
              <w:ind w:right="698"/>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ind w:right="798"/>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718"/>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w:t>
            </w:r>
          </w:p>
        </w:tc>
      </w:tr>
      <w:tr>
        <w:trPr>
          <w:trHeight w:val="20"/>
        </w:trPr>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provision for income taxes for the three and nine months ended September 30, 2023 was $62.5 million and $166.7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The provision for income taxes for the three and nine months ended September 30, 2022 was $35.8 million and $136.3 million, respectively.</w:t>
      </w:r>
    </w:p>
    <w:p>
      <w:pPr>
        <w:spacing w:after="0" w:line="188"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color w:val="auto"/>
        </w:rPr>
        <w:t>Our effective tax rate for each of the three and nine months ended September 30, 2023 and 2022 was higher than the U.S. statutory rate primarily due to foreign losses with no associated tax benefit (i.e., full valuation allowance) and an increase in our valuation allowance against certain U.S. federal and state deferred tax assets offset to a lesser extent by tax rate benefits associated with research and development and orphan drug tax credit generations and foreign derived intangible income deductions. The effective tax rate for the three months ended September 30, 2023 increased as compared to that for the prior year period primarily due to an increase in foreign losses with no associated tax benefit. The effective tax rate for the nine months ended September 30, 2023 decreased as compared to that for the prior year period primarily due to greater tax benefits recognized in 2023 associated with research and development and orphan drug tax credit generations, partially offset by a decrease in the tax benefit associated with foreign derived intangible income.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3"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color w:val="auto"/>
        </w:rPr>
        <w:t>Due to historical net losses, we had an accumulated deficit of $40.7 million as of September 30, 2023. We have funded our research and development operations through cash received from customers, sales of equity securities, the issuance of convertible notes, and collaborative arrangements. At September 30, 2023, we had available cash, cash equivalents and marketable securities of $3.5 billion. Our cash and marketable securities balances are held in a variety of interest-bearing instruments, including money market accounts, and U.S. government debt securities. Available cash is invested in accordance with our investment policy’s primary objectives of liquidity, safety of principal and diversity of investments.</w:t>
      </w:r>
    </w:p>
    <w:p>
      <w:pPr>
        <w:spacing w:after="0" w:line="18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Net cash provided by operating activities for the nine months ended September 30, 2023 was $348.8 million and net cash provided by operating activities for the nine months ended September 30, 2022 was $686.3 million. The decrease in cash provided by operating activities was due primarily to changes in working capital.</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Our investing activities, other than purchases, sales and maturities of marketable securities, have consisted predominantly of capital expenditures and purchases of long term investments. Net cash used in investing activities was $53.2 million for the nine months ended September 30, 2023, which represented purchases of marketable securities of $222.2 million, payments for intangible assets of $15.0 million, capital expenditures of $30.2 million, and purchases of long term investments of $10.0 million, offset in part by the sale and maturities of marketable securities of $224.2 million. Net cash used in investing activities was $57.6 million for the nine months ended September 30, 2022, which represented purchases of marketable securities of $59.1 million and capital expenditures of $56.6 million, offset in part by the sales and maturities of marketable securities of $58.0 million. In the future, net cash used by investing activities may fluctuate significantly from period to period due to the timing of strategic equity investments, acquisitions, and capital expenditures and maturities/sales and purchases of marketable securities.</w:t>
      </w:r>
    </w:p>
    <w:p>
      <w:pPr>
        <w:spacing w:after="0" w:line="18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Net cash used in financing activities was $20.4 million for the nine months ended September 30, 2023, and net cash provided by financing activities was $1.7 million for the nine months ended September 30, 2022, respectively, primarily representing cash paid to ARIAD/Takeda for contingent consideration, offset in part by proceeds from the issuance of common stock under our stock plans.</w:t>
      </w:r>
    </w:p>
    <w:p>
      <w:pPr>
        <w:spacing w:after="0" w:line="188"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In October 2019, we entered into an agreement with Wilmington Friends School Inc., to purchase property for $50.0 million, subject to certain closing conditions. As of September 30, 2023, these conditions had not been met, and we no longer expect the purchase to move forward. Accordingly, the related assets of approximately $5.6 million have been written off, as recorded on the condensed consolidated statements of operations in selling, general and administrative expenses.</w:t>
      </w:r>
    </w:p>
    <w:p>
      <w:pPr>
        <w:spacing w:after="0" w:line="191"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In August 2021, we entered into a $500.0 million, three-year senior unsecured revolving credit facility. We may increase the maximum revolving commitments or add one or more incremental term loan facilities, subject to obtaining commitments from any participating lenders and certain other conditions, in an amount not to exceed $250.0 million plus a contingent additional amount that is dependent on our pro forma consolidated leverage ratio. As of September 30, 2023, we had no outstanding borrowings and were in compliance with all covenants under this facility.</w:t>
      </w:r>
    </w:p>
    <w:p>
      <w:pPr>
        <w:spacing w:after="0" w:line="146"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Our U.S. income tax payments will increase significantly in 2023 resulting from the full utilization in 2022 of our research and development and orphan drug tax credit carryforwards generated in prior years. Our U.S. tax liabilities continue to reflect the adverse impacts of the mandatory capitalization and amortization of research and development expenses as required under the Tax Cuts and Jobs Act of 2017, which eliminated the immediate expensing of such expenses.</w:t>
      </w:r>
    </w:p>
    <w:p>
      <w:pPr>
        <w:spacing w:after="0" w:line="191"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color w:val="auto"/>
        </w:rPr>
        <w:t>We believe that our cash flow from operations, together with our cash, cash equivalents and marketable securities and funds available under our revolving credit facility,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and expenditures for future strategic equity investments or potential acquisitions. 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These contingent future payments are discussed in detail in Note 7 of notes to the condensed consolidated financial statements.</w:t>
      </w:r>
    </w:p>
    <w:p>
      <w:pPr>
        <w:spacing w:after="0" w:line="157"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3"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Our investments in marketable securities, which are composed primarily of U.S. government debt securities, are subject to default, changes in credit rating and changes in market value. These investments are also subject to interest rate risk and will decrease in value if market interest rates increase. As of September 30, 2023, marketable securities were $289.2 million. Due to the nature of these investments, if market interest rates were to increase immediately and uniformly by 10% from levels as of September 30, 2023, the decline in fair value would not be material.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3"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7"/>
          <w:szCs w:val="17"/>
          <w:b w:val="1"/>
          <w:bCs w:val="1"/>
          <w:i w:val="1"/>
          <w:iCs w:val="1"/>
          <w:color w:val="auto"/>
        </w:rPr>
        <w:t xml:space="preserve">Evaluation of disclosure controls and procedures. </w:t>
      </w:r>
      <w:r>
        <w:rPr>
          <w:rFonts w:ascii="Arial" w:cs="Arial" w:eastAsia="Arial" w:hAnsi="Arial"/>
          <w:sz w:val="17"/>
          <w:szCs w:val="17"/>
          <w:color w:val="auto"/>
        </w:rPr>
        <w:t>We maintain “disclosure controls and procedures,” as such term is defined in Rule 13a-15(e)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8" w:lineRule="exact"/>
        <w:rPr>
          <w:sz w:val="20"/>
          <w:szCs w:val="20"/>
          <w:color w:val="auto"/>
        </w:rPr>
      </w:pPr>
    </w:p>
    <w:p>
      <w:pPr>
        <w:jc w:val="both"/>
        <w:ind w:firstLine="636"/>
        <w:spacing w:after="0" w:line="294"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157" w:lineRule="exact"/>
        <w:rPr>
          <w:sz w:val="20"/>
          <w:szCs w:val="20"/>
          <w:color w:val="auto"/>
        </w:rPr>
      </w:pPr>
    </w:p>
    <w:p>
      <w:pPr>
        <w:jc w:val="both"/>
        <w:ind w:firstLine="636"/>
        <w:spacing w:after="0" w:line="309" w:lineRule="auto"/>
        <w:rPr>
          <w:sz w:val="20"/>
          <w:szCs w:val="20"/>
          <w:color w:val="auto"/>
        </w:rPr>
      </w:pPr>
      <w:r>
        <w:rPr>
          <w:rFonts w:ascii="Arial" w:cs="Arial" w:eastAsia="Arial" w:hAnsi="Arial"/>
          <w:sz w:val="15"/>
          <w:szCs w:val="15"/>
          <w:b w:val="1"/>
          <w:bCs w:val="1"/>
          <w:i w:val="1"/>
          <w:iCs w:val="1"/>
          <w:color w:val="auto"/>
        </w:rPr>
        <w:t>Changes in internal control over financial reporting</w:t>
      </w:r>
      <w:r>
        <w:rPr>
          <w:rFonts w:ascii="Arial" w:cs="Arial" w:eastAsia="Arial" w:hAnsi="Arial"/>
          <w:sz w:val="15"/>
          <w:szCs w:val="15"/>
          <w:color w:val="auto"/>
        </w:rPr>
        <w:t>. In the second quarter of 2023, we began the implementation of a new enterprise resource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planning system. This implementation was planned in phases to correspond with the needs of the Company. Due to this implementation, internal controls have changed in various functional areas within the Company. Management has taken steps so that the appropriate internal controls are designed and implemented as each functional area of the system is enacted. This system implementation was completed during the third quarter of 2023. Other than noted above, there were no changes in our internal control over financial reporting (as defined in Rules 13a-15(f) and 15d-15(f) under the Exchange Act) for the three months ended September 30, 2023, that materially affected or are reasonably likely to materially affect our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COMMERCIALIZATION OF OUR PRODUCTS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depend heavily on our lead product, JAKAFI (ruxolitinib), which is marketed as JAKAVI outside the United States. If we are unable to maintain revenues from JAKAFI or those revenues decrease, our business may be materially harmed.</w:t>
      </w:r>
    </w:p>
    <w:p>
      <w:pPr>
        <w:spacing w:after="0" w:line="181" w:lineRule="exact"/>
        <w:rPr>
          <w:sz w:val="20"/>
          <w:szCs w:val="20"/>
          <w:color w:val="auto"/>
        </w:rPr>
      </w:pPr>
    </w:p>
    <w:p>
      <w:pPr>
        <w:jc w:val="both"/>
        <w:ind w:firstLine="636"/>
        <w:spacing w:after="0" w:line="301" w:lineRule="auto"/>
        <w:rPr>
          <w:sz w:val="20"/>
          <w:szCs w:val="20"/>
          <w:color w:val="auto"/>
        </w:rPr>
      </w:pPr>
      <w:r>
        <w:rPr>
          <w:rFonts w:ascii="Arial" w:cs="Arial" w:eastAsia="Arial" w:hAnsi="Arial"/>
          <w:sz w:val="15"/>
          <w:szCs w:val="15"/>
          <w:color w:val="auto"/>
        </w:rPr>
        <w:t>JAKAFI is our first product marketed by us that is approved for sale in the United States. JAKAFI was approved by the U.S. Food and Drug Administration, or FDA, in November 2011 for the treatment of patients with intermediate or high-risk myelofibrosis, in December 2014 for the treatment of patients with polycythemia vera who have had an inadequate response to or are intolerant of hydroxyurea, which we refer to as uncontrolled polycythemia vera, in May 2019 for the treatment of steroid-refractory acute graft-versus-host disease in adult and pediatric patients 12 years and older and in September 2021 for the treatment of steroid-refractory chronic graft-versus-host disease in adult and pediatric patients 12 years and older. Although we have received regulatory approval for these indications, such approval does not guarantee future revenues. While we also sell ICLUSIG in the European Union, or EU, and other countries for the treatment of certain types of leukemia, PEMAZYRE in the United States, Europe and Japan for the treatment of certain metastatic cholangiocarcinoma indications, as well as for certain blood cancer indications in the United States and Japan, MONJUVI in the United States and MINJUVI in the European Union for the treatment of certain lymphoma indications, and OPZELURA in the Unites States for the treatment of certain indications of atopic dermatitis and vitiligo, and our exclusive licensees sell OLUMIANT (baricitinib) for the treatment of specified rheumatoid arthritis and atopic dermatitis indications and TABRECTA for the treatment of a certain type of non-small cell lung cancer, and recently received FDA approval and commenced sales of ZYNYZ for the treatment of adult patients with metastatic or recurrent locally advanced Merkel cell carcinoma, we anticipate that JAKAFI product sales will continue to contribute a significant percentage of our total revenues over the next several years.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firstLine="636"/>
        <w:spacing w:after="0" w:line="264" w:lineRule="auto"/>
        <w:rPr>
          <w:sz w:val="20"/>
          <w:szCs w:val="20"/>
          <w:color w:val="auto"/>
        </w:rPr>
      </w:pPr>
      <w:r>
        <w:rPr>
          <w:rFonts w:ascii="Arial" w:cs="Arial" w:eastAsia="Arial" w:hAnsi="Arial"/>
          <w:sz w:val="18"/>
          <w:szCs w:val="18"/>
          <w:color w:val="auto"/>
        </w:rPr>
        <w:t>The commercial success of JAKAFI and our ability to maintain and continue to increase revenues from the sale of JAKAFI will depend on a number of factors, including:</w:t>
      </w:r>
    </w:p>
    <w:p>
      <w:pPr>
        <w:spacing w:after="0" w:line="181" w:lineRule="exact"/>
        <w:rPr>
          <w:sz w:val="20"/>
          <w:szCs w:val="20"/>
          <w:color w:val="auto"/>
        </w:rPr>
      </w:pPr>
    </w:p>
    <w:p>
      <w:pPr>
        <w:ind w:left="960" w:hanging="318"/>
        <w:spacing w:after="0" w:line="264" w:lineRule="auto"/>
        <w:tabs>
          <w:tab w:leader="none" w:pos="9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patients with intermediate or high-risk myelofibrosis, uncontrolled polycythemia vera or steroid-refractory graft-versus-host disease who are diagnosed with the diseases and the number of such patients that may be treated with JAKAFI;</w:t>
      </w:r>
    </w:p>
    <w:p>
      <w:pPr>
        <w:spacing w:after="0" w:line="180" w:lineRule="exact"/>
        <w:rPr>
          <w:rFonts w:ascii="Arial" w:cs="Arial" w:eastAsia="Arial" w:hAnsi="Arial"/>
          <w:sz w:val="18"/>
          <w:szCs w:val="18"/>
          <w:color w:val="auto"/>
        </w:rPr>
      </w:pPr>
    </w:p>
    <w:p>
      <w:pPr>
        <w:ind w:left="960" w:hanging="318"/>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acceptance of JAKAFI by patients and the healthcare community;</w:t>
      </w:r>
    </w:p>
    <w:p>
      <w:pPr>
        <w:spacing w:after="0" w:line="217"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physicians, patients and healthcare payors view JAKAFI as therapeutically effective and safe relative to cost and any alternative therapies, as well as whether patients will continue to use JAKAFI;</w:t>
      </w:r>
    </w:p>
    <w:p>
      <w:pPr>
        <w:spacing w:after="0" w:line="180" w:lineRule="exact"/>
        <w:rPr>
          <w:rFonts w:ascii="Arial" w:cs="Arial" w:eastAsia="Arial" w:hAnsi="Arial"/>
          <w:sz w:val="18"/>
          <w:szCs w:val="18"/>
          <w:color w:val="auto"/>
        </w:rPr>
      </w:pPr>
    </w:p>
    <w:p>
      <w:pPr>
        <w:ind w:left="960" w:hanging="318"/>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obtain and maintain sufficient coverage or reimbursement by third-party payors and pricing;</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ability of our third-party manufacturers to manufacture JAKAFI in sufficient quantities that meet all applicable quality standards;</w:t>
      </w:r>
    </w:p>
    <w:p>
      <w:pPr>
        <w:spacing w:after="0" w:line="228" w:lineRule="exact"/>
        <w:rPr>
          <w:rFonts w:ascii="Arial" w:cs="Arial" w:eastAsia="Arial" w:hAnsi="Arial"/>
          <w:sz w:val="17"/>
          <w:szCs w:val="17"/>
          <w:color w:val="auto"/>
        </w:rPr>
      </w:pPr>
    </w:p>
    <w:p>
      <w:pPr>
        <w:ind w:left="960" w:hanging="318"/>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our company and our third-party providers to provide marketing and distribution support for JAKAFI;</w:t>
      </w:r>
    </w:p>
    <w:p>
      <w:pPr>
        <w:spacing w:after="0" w:line="217" w:lineRule="exact"/>
        <w:rPr>
          <w:rFonts w:ascii="Arial" w:cs="Arial" w:eastAsia="Arial" w:hAnsi="Arial"/>
          <w:sz w:val="18"/>
          <w:szCs w:val="18"/>
          <w:color w:val="auto"/>
        </w:rPr>
      </w:pPr>
    </w:p>
    <w:p>
      <w:pPr>
        <w:jc w:val="both"/>
        <w:ind w:left="960" w:hanging="318"/>
        <w:spacing w:after="0" w:line="312" w:lineRule="auto"/>
        <w:tabs>
          <w:tab w:leader="none" w:pos="955"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effects of a public health pandemic, any associated quarantine, travel restriction, stay-at-home or shutdown orders, guidelines or practices, and any disruption in our supply chain for JAKAFI on our ability to provide marketing and distribution support for JAKAFI, our ability to produce sufficient quantities of JAKAFI that meet all applicable quality standards, patient demand (including new patient prescriptions and hesitancy of patients to make office visits) and other risks detailed further below under “—Other Risks Relating to our Business—Public health epidemics, such as the COVID-19 pandemic, could adversely affect our business, results of operations, and financial condition”;</w:t>
      </w:r>
    </w:p>
    <w:p>
      <w:pPr>
        <w:spacing w:after="0" w:line="150" w:lineRule="exact"/>
        <w:rPr>
          <w:rFonts w:ascii="Arial" w:cs="Arial" w:eastAsia="Arial" w:hAnsi="Arial"/>
          <w:sz w:val="15"/>
          <w:szCs w:val="15"/>
          <w:color w:val="auto"/>
        </w:rPr>
      </w:pPr>
    </w:p>
    <w:p>
      <w:pPr>
        <w:ind w:left="960" w:hanging="318"/>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maintenance of regulatory approval for the approved indications in the United States; and</w:t>
      </w:r>
    </w:p>
    <w:p>
      <w:pPr>
        <w:spacing w:after="0" w:line="217"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obtain regulatory approval for and commercialize ruxolitinib in the United States for additional indications or in combination with other therapeutic modalities.</w:t>
      </w:r>
    </w:p>
    <w:p>
      <w:pPr>
        <w:spacing w:after="0" w:line="18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spacing w:after="0" w:line="188"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In addition, revenues from our other products and our receipt of royalties under our collaboration agreements, including our agreements with Novartis for sales of JAKAVI outside the United States and TABRECTA globally and with Eli Lilly and Company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If we are unable to obtain, or maintain at anticipated levels, coverage and reimbursement for our products from government health administration authorities, private health insurers and other organizations, our pricing may be affected and our product sales, results of operations and financial condition could be harmed.</w:t>
      </w:r>
    </w:p>
    <w:p>
      <w:pPr>
        <w:spacing w:after="0" w:line="188"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color w:val="auto"/>
        </w:rPr>
        <w:t>Our ability to commercialize our current and any future approved products successfully will depend in part on the prices we are able to charge for these products and the extent to which adequate coverage and reimbursement levels for the cost of our products and related treatment are obtained from third-party payors, such as private insurers, government insurance programs, including Medicare and Medicaid, health maintenance organizations (HMOs) and other health care related organizations in the United States and abroad. We may not be able to sell our products on a profitable basis or our profitability may be reduced if we are required to sell our products at lower than anticipated prices or reimbursement is unavailable or limited in scope or amount. The costs of JAKAFI, ICLUSIG, PEMAZYRE, MONJUVI/MINJUVI, OPZELURA and ZYNYZ are not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w:t>
      </w:r>
    </w:p>
    <w:p>
      <w:pPr>
        <w:spacing w:after="0" w:line="369"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Governments and other third-party payors continue to pursue initiatives to manage drug costs. Pricing and reimbursement for our products may be adversely affected by a number of factors, including;</w:t>
      </w:r>
    </w:p>
    <w:p>
      <w:pPr>
        <w:spacing w:after="0" w:line="181" w:lineRule="exact"/>
        <w:rPr>
          <w:sz w:val="20"/>
          <w:szCs w:val="20"/>
          <w:color w:val="auto"/>
        </w:rPr>
      </w:pPr>
    </w:p>
    <w:p>
      <w:pPr>
        <w:ind w:left="960" w:hanging="318"/>
        <w:spacing w:after="0" w:line="264" w:lineRule="auto"/>
        <w:tabs>
          <w:tab w:leader="none" w:pos="9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actions of federal, state and foreign governments and other third-party payors to implement or modify laws, regulations or policies addressing payment and reimbursement for drugs;</w:t>
      </w:r>
    </w:p>
    <w:p>
      <w:pPr>
        <w:spacing w:after="0" w:line="180" w:lineRule="exact"/>
        <w:rPr>
          <w:rFonts w:ascii="Arial" w:cs="Arial" w:eastAsia="Arial" w:hAnsi="Arial"/>
          <w:sz w:val="18"/>
          <w:szCs w:val="18"/>
          <w:color w:val="auto"/>
        </w:rPr>
      </w:pPr>
    </w:p>
    <w:p>
      <w:pPr>
        <w:ind w:left="960" w:right="260" w:hanging="318"/>
        <w:spacing w:after="0" w:line="264" w:lineRule="auto"/>
        <w:tabs>
          <w:tab w:leader="none" w:pos="9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pressure by employers on private health insurance plans to reduce costs or moderate cost increases, as well as continued public scrutiny of the price of drugs and other healthcare costs;</w:t>
      </w:r>
    </w:p>
    <w:p>
      <w:pPr>
        <w:spacing w:after="0" w:line="180" w:lineRule="exact"/>
        <w:rPr>
          <w:rFonts w:ascii="Arial" w:cs="Arial" w:eastAsia="Arial" w:hAnsi="Arial"/>
          <w:sz w:val="18"/>
          <w:szCs w:val="18"/>
          <w:color w:val="auto"/>
        </w:rPr>
      </w:pPr>
    </w:p>
    <w:p>
      <w:pPr>
        <w:jc w:val="both"/>
        <w:ind w:left="960" w:hanging="318"/>
        <w:spacing w:after="0" w:line="255" w:lineRule="auto"/>
        <w:tabs>
          <w:tab w:leader="none" w:pos="9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consolidation of third-party payors and continued initiatives of government and other third-party payors to reduce costs by seeking price discounts or rebates, reducing reimbursement rates or imposing restrictions on access to or coverage of particular drugs based on perceived value;</w:t>
      </w:r>
    </w:p>
    <w:p>
      <w:pPr>
        <w:spacing w:after="0" w:line="188"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pressure on healthcare budgets resulting from macroeconomic factors such as inflation, rising interest rates and the economic effects of geopolitical conflicts; and</w:t>
      </w:r>
    </w:p>
    <w:p>
      <w:pPr>
        <w:spacing w:after="0" w:line="180" w:lineRule="exact"/>
        <w:rPr>
          <w:rFonts w:ascii="Arial" w:cs="Arial" w:eastAsia="Arial" w:hAnsi="Arial"/>
          <w:sz w:val="18"/>
          <w:szCs w:val="18"/>
          <w:color w:val="auto"/>
        </w:rPr>
      </w:pPr>
    </w:p>
    <w:p>
      <w:pPr>
        <w:jc w:val="both"/>
        <w:ind w:left="960" w:hanging="318"/>
        <w:spacing w:after="0" w:line="255" w:lineRule="auto"/>
        <w:tabs>
          <w:tab w:leader="none" w:pos="9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increasing number of hospitals and other covered entities that are eligible to participate in the U.S. 340B drug pricing program, which requires drug manufacturers such as our company to sell drugs to those entities at discounted prices in order for those drugs to be covered by Medicaid.</w:t>
      </w:r>
    </w:p>
    <w:p>
      <w:pPr>
        <w:spacing w:after="0" w:line="188"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In many markets outside of the United States, including countries of the EU, drug pricing and reimbursement are subject to government control, and government authorities are making greater efforts to limit or regulate the price of drug products. Reimbursement systems in international markets vary significantly by country and by region, and reimbursement approvals must be obtained on a country-by-country basis. Reimbursement in the EU must be negotiated on a country-by-country basis and in many countries a drug product cannot be commercially launched until reimbursement is approved. The timing to complete the negotiation process in each country is highly uncertain, and in some countries, we expect that it may exceed 12 months. Some countries set prices by reference to prices in other countries, and countries may refuse to reimburse or may restrict the reimbursed population for a drug product based on their national health technology assessments and cost effectiveness thresholds. In addition, governmental authorities in many countries may reduce prices for approved drug products from previously established prices.</w:t>
      </w:r>
    </w:p>
    <w:p>
      <w:pPr>
        <w:spacing w:after="0" w:line="18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7"/>
          <w:szCs w:val="17"/>
          <w:color w:val="auto"/>
        </w:rPr>
        <w:t>Third-party payors are increasingly challenging the prices charged for medical products and services, and payors and employers are adopting benefit plan changes that shift a greater portion of prescription drug costs to patients. Third party pharmacy benefit managers, or PBMs, other similar organizations 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 There has been significant consolidation in the health insurance industry, resulting in large insurers and PBMs exerting greater pressure and leverage in pricing and usage negotiations with drug manufacturers. In this regard,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while we have entered into agreements with a number of PBMs, we are in the process of negotiating agreements with additional PBMs and payor accounts to provide rebates to those entities related to formulary coverage for OPZELURA, and we cannot guarantee that we will be able to agree to or maintain acceptable coverage terms with these PBMs and other third party payors. Payors could decide to exclude OPZELURA from formulary coverage lists, impose step edits that require patients to try alternative, including generic, treatments before authorizing payment for OPZELURA, limit the types of diagnoses for which coverage will be provided or impose a moratorium on coverage for products while the payor makes a coverage decision. An inability to maintain adequate formulary positions could increase patient cost-sharing for OPZELURA and cause some patients to determine not to use OPZELURA. Any delays or unforeseen difficulties in reimbursement approvals could limit patient access, depress therapy adherence rates, and adversely impact our ability to successfully commercialize OPZELURA. If we are unsuccessful in obtaining and maintaining broad coverage and reimbursement for OPZELURA, our anticipated revenue from and growth prospects for OPZELURA could be negatively affected.</w:t>
      </w:r>
    </w:p>
    <w:p>
      <w:pPr>
        <w:spacing w:after="0" w:line="372"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If third parties institute high co-payment amounts or other benefit limits for our products, the demand for our products and, accordingly, our revenues and results of operations, could be adversely affected. Our patient assistance programs have provided support for non-profit organizations that provide financial assistance to eligible patients or in some cases, we have provided our products without charge to eligible patients who have no insurance coverage or are underinsured. Substantial support in this manner could harm our profitability in the future. Further, non-profit organizations’ ability to provide assistance to patients is dependent on funding from external sources, and we cannot guarantee that such funding will be provided at adequate levels, or at all.</w:t>
      </w:r>
    </w:p>
    <w:p>
      <w:pPr>
        <w:spacing w:after="0" w:line="151"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Risks related to proposed changes in government regulations and health care reform measures are described below under “—Other Risks Relating to our Business—Health care reform measures could impact the pricing and profitability of pharmaceuticals, and adversely affect the commercial viability of our or our collaborators’ products and drug candidates. ” If government and other third-party payors refuse to provide coverage and reimbursement with respect to our products, determine to provide a lower level of coverage and reimbursement than anticipated, reduce previously approved levels of coverage and reimbursement, or delay reimbursement payments, then our pricing or reimbursement for our products may be affected and our product sales, results of operations or financial condition could be harmed. Our collaborators Novartis and Eli Lilly are affected by similar considerations for the drugs that they market and for which we may receive royalties.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depend upon a limited number of specialty pharmacies and wholesalers for a significant portion of any revenues from JAKAFI and most of our other drug products, and the loss of, or significant reduction in sales to, any one of these specialty pharmacies or wholesalers could adversely affect our operations and financial condition.</w:t>
      </w:r>
    </w:p>
    <w:p>
      <w:pPr>
        <w:spacing w:after="0" w:line="188"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7"/>
          <w:szCs w:val="17"/>
          <w:color w:val="auto"/>
        </w:rPr>
        <w:t>We sell JAKAFI and our other drug products other than OPZELURA primarily to specialty pharmacies and wholesalers. Specialty pharmacies dispense JAKAFI and our other drug products to patients in fulfillment of prescriptions and wholesalers sell JAKAFI and our other drug products to hospitals and physician offices. We do not promote JAKAFI or our other drug products to specialty pharmacies or wholesalers, and they do not set or determine demand for JAKAFI or our other drug products. Our ability to successfully commercialize JAKAFI and our other drug products will depend, in part, on the extent to which we are able to provide adequate distribution of JAKAFI and our other drug products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and our other drug products, or lower margins or the need to find alternative methods of distributing our product. Although we believe we can find alternative channels to distribute JAKAFI or our other drug products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81"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We have established commercial capabilities in the United States and outside of the United States, but cannot guarantee that we will be able to enter into and maintain any marketing, distribution or third-party logistics agreements with third-party providers on acceptable terms, if at all.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spacing w:after="0" w:line="179"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We are working to establish and maintain sales, marketing and distribution capabilities for OPZELURA that will generally be separate from our existing capabilities for oncology indications, and we have no prior experience in commercializing products for dermatology indications. Successful commercialization of our drug candidates for dermatology indications requires us to establish new physician and payor relationships, PBM and pharmacy network relationships, reimbursement strategies and governmental interactions. Our inability to commercialize successfully products in indications outside of oncology could harm our business and operating results.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81"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spacing w:after="0" w:line="151" w:lineRule="exact"/>
        <w:rPr>
          <w:sz w:val="20"/>
          <w:szCs w:val="20"/>
          <w:color w:val="auto"/>
        </w:rPr>
      </w:pPr>
    </w:p>
    <w:p>
      <w:pPr>
        <w:jc w:val="both"/>
        <w:ind w:firstLine="636"/>
        <w:spacing w:after="0" w:line="301" w:lineRule="auto"/>
        <w:rPr>
          <w:sz w:val="20"/>
          <w:szCs w:val="20"/>
          <w:color w:val="auto"/>
        </w:rPr>
      </w:pPr>
      <w:r>
        <w:rPr>
          <w:rFonts w:ascii="Arial" w:cs="Arial" w:eastAsia="Arial" w:hAnsi="Arial"/>
          <w:sz w:val="15"/>
          <w:szCs w:val="15"/>
          <w:color w:val="auto"/>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 In addition, in September 2021, the FDA approved a labeling update for JAKAFI, adding warnings of increased risk of major adverse cardiovascular events, thrombosis, and secondary malignancies related to another JAK-inhibitor treating rheumatoid arthritis, a condition for which JAKAFI is not indicated. As part of the FDA labeling update for oral JAK inhibitors in treating inflammatory conditions, class “boxed” warnings were also included in the OPZELURA label. We cannot predict the effects on sales of JAKAFI with the updated warnings or OPZELURA as a result of the “boxed” warnings, but it is possible that future sales of JAKAFI and OPZELURA can be negatively affected, which could have a material and adverse effect on our business, results of operations and prospects.</w:t>
      </w:r>
    </w:p>
    <w:p>
      <w:pPr>
        <w:spacing w:after="0" w:line="3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Failure to comply with the laws and regulations administered by the FDA or other agencies could result in:</w:t>
      </w:r>
    </w:p>
    <w:p>
      <w:pPr>
        <w:spacing w:after="0" w:line="217" w:lineRule="exact"/>
        <w:rPr>
          <w:sz w:val="20"/>
          <w:szCs w:val="20"/>
          <w:color w:val="auto"/>
        </w:rPr>
      </w:pPr>
    </w:p>
    <w:p>
      <w:pPr>
        <w:ind w:left="960" w:hanging="318"/>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administrative and judicial sanctions, including warning letters;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fines and other civil penalties;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suspension or withdrawal of regulatory approval to market or manufacture our products;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interruption of production;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60" w:hanging="31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occurrence of any such event may have a material adverse effect on our business.</w:t>
      </w:r>
    </w:p>
    <w:p>
      <w:pPr>
        <w:spacing w:after="0" w:line="217"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1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The testing of JAKAFI, ICLUSIG, PEMAZYRE, MONJUVI/MINJUVI, OPZELURA and ZYNYZ, the manufacturing, marketing and sale of JAKAFI, PEMAZYRE and OPZELURA and the marketing and sale of ICLUSIG, MONJUVI/MINJUVI and ZYNYZ expose us to product liability and other risks. Side effects and other problems experienced by patients from the use of our products could:</w:t>
      </w:r>
    </w:p>
    <w:p>
      <w:pPr>
        <w:spacing w:after="0" w:line="188" w:lineRule="exact"/>
        <w:rPr>
          <w:sz w:val="20"/>
          <w:szCs w:val="20"/>
          <w:color w:val="auto"/>
        </w:rPr>
      </w:pPr>
    </w:p>
    <w:p>
      <w:pPr>
        <w:ind w:left="960" w:hanging="31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lessen the frequency with which physicians decide to prescribe our products;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encourage physicians to stop prescribing our products to their patients who previously had been prescribed our products;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cause serious harm to patients that may give rise to product liability claims against us; and</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 in our need to withdraw or recall our products from the marketplace.</w:t>
      </w:r>
    </w:p>
    <w:p>
      <w:pPr>
        <w:spacing w:after="0" w:line="21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81" w:lineRule="exact"/>
        <w:rPr>
          <w:sz w:val="20"/>
          <w:szCs w:val="20"/>
          <w:color w:val="auto"/>
        </w:rPr>
      </w:pPr>
    </w:p>
    <w:p>
      <w:pPr>
        <w:jc w:val="both"/>
        <w:ind w:firstLine="636"/>
        <w:spacing w:after="0" w:line="302" w:lineRule="auto"/>
        <w:rPr>
          <w:sz w:val="20"/>
          <w:szCs w:val="20"/>
          <w:color w:val="auto"/>
        </w:rPr>
      </w:pPr>
      <w:r>
        <w:rPr>
          <w:rFonts w:ascii="Arial" w:cs="Arial" w:eastAsia="Arial" w:hAnsi="Arial"/>
          <w:sz w:val="15"/>
          <w:szCs w:val="15"/>
          <w:color w:val="auto"/>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high-risk myelofibrosis, uncontrolled polycythemia vera or acute graft-versus-host disease and as JAKAFI is studied in or used by patients for off-label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 PEMAZYRE, MONJUVI/MINJUVI, OPZELURA and ZYNYZ.</w:t>
      </w:r>
    </w:p>
    <w:p>
      <w:pPr>
        <w:spacing w:after="0" w:line="162"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color w:val="auto"/>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Factors similar to those listed above also apply to our collaborator Novartis for jurisdictions in which it has development and commercialization rights, to ICLUSIG for jurisdictions outside the United States, to our collaborator Lilly for all jurisdictions and to our collaborator Innovent for PEMAZYRE in the jurisdictions in which it has development and commercialization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market our products in a manner that violates various laws and regulations, we may be subject to civil or criminal penalties.</w:t>
      </w:r>
    </w:p>
    <w:p>
      <w:pPr>
        <w:spacing w:after="0" w:line="217"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185" w:lineRule="exact"/>
        <w:rPr>
          <w:sz w:val="20"/>
          <w:szCs w:val="20"/>
          <w:color w:val="auto"/>
        </w:rPr>
      </w:pPr>
    </w:p>
    <w:p>
      <w:pPr>
        <w:jc w:val="both"/>
        <w:ind w:firstLine="636"/>
        <w:spacing w:after="0" w:line="302" w:lineRule="auto"/>
        <w:rPr>
          <w:sz w:val="20"/>
          <w:szCs w:val="20"/>
          <w:color w:val="auto"/>
        </w:rPr>
      </w:pPr>
      <w:r>
        <w:rPr>
          <w:rFonts w:ascii="Arial" w:cs="Arial" w:eastAsia="Arial" w:hAnsi="Arial"/>
          <w:sz w:val="15"/>
          <w:szCs w:val="15"/>
          <w:color w:val="auto"/>
        </w:rPr>
        <w:t>Although physicians are permitted, based on their medical judgment, to prescribe products for indications other than those approved by the FDA, manufacturers are prohibited from promoting their products for such off-label uses. We market JAKAFI for intermediate or high-risk myelofibrosis, uncontrolled polycythemia vera and acute graft-versus-host disease and provide promotional materials to physicians regarding the use of JAKAFI for these indications. Although we believe that our promotional materials for physicians do not constitute improper promotion of JAKAFI, the FDA or other agencies may disagree. If the FDA or another agency determines that our promotional materials or other activities constitute improper promotion of JAKAFI,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 Similar risks exist for our marketing of our other products and our collaborator MorphoSys’s marketing of MONJUVI.</w:t>
      </w:r>
    </w:p>
    <w:p>
      <w:pPr>
        <w:spacing w:after="0" w:line="157"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The European Union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94" w:lineRule="exact"/>
        <w:rPr>
          <w:sz w:val="20"/>
          <w:szCs w:val="20"/>
          <w:color w:val="auto"/>
        </w:rPr>
      </w:pPr>
    </w:p>
    <w:p>
      <w:pPr>
        <w:jc w:val="both"/>
        <w:ind w:firstLine="636"/>
        <w:spacing w:after="0" w:line="301" w:lineRule="auto"/>
        <w:rPr>
          <w:sz w:val="20"/>
          <w:szCs w:val="20"/>
          <w:color w:val="auto"/>
        </w:rPr>
      </w:pPr>
      <w:r>
        <w:rPr>
          <w:rFonts w:ascii="Arial" w:cs="Arial" w:eastAsia="Arial" w:hAnsi="Arial"/>
          <w:sz w:val="15"/>
          <w:szCs w:val="15"/>
          <w:color w:val="auto"/>
        </w:rPr>
        <w:t>The majority of states also have statutes or regulations similar to the federal anti-kickback law and false claims laws, which apply to items and services reimbursed under Medicaid and other state programs, or, in several states, apply 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federal government has enacted the Physician Payment Sunshine provisions. The Sunshine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and any settlement of such action initiated against us, regardless of the merits, could result in the payment of significant amounts, which could harm our financial condition and operating results. See also “—Other Risks Relating to our Business—If we fail to comply with the extensive legal and regulatory requirements affecting the health care industry, we could face increased costs, penalties and a loss of business” below.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our products could harm our business and result in a decrease in our revenue.</w:t>
      </w:r>
    </w:p>
    <w:p>
      <w:pPr>
        <w:spacing w:after="0" w:line="217" w:lineRule="exact"/>
        <w:rPr>
          <w:sz w:val="20"/>
          <w:szCs w:val="20"/>
          <w:color w:val="auto"/>
        </w:rPr>
      </w:pPr>
    </w:p>
    <w:p>
      <w:pPr>
        <w:jc w:val="both"/>
        <w:ind w:firstLine="636"/>
        <w:spacing w:after="0" w:line="300" w:lineRule="auto"/>
        <w:rPr>
          <w:sz w:val="20"/>
          <w:szCs w:val="20"/>
          <w:color w:val="auto"/>
        </w:rPr>
      </w:pPr>
      <w:r>
        <w:rPr>
          <w:rFonts w:ascii="Arial" w:cs="Arial" w:eastAsia="Arial" w:hAnsi="Arial"/>
          <w:sz w:val="15"/>
          <w:szCs w:val="15"/>
          <w:color w:val="auto"/>
        </w:rPr>
        <w:t>Our products compete, and our product candidates may in the future compete, with currently existing therapies, including generic drugs, product candidates currently under development by us and others, or future product candidates, including new chemical entities that may be safer or more effective or more convenient than our products. Any products that we develop may be commercialized in competitive markets, and our competitors, which include large global pharmaceutical and biopharmaceutical companies and smaller research-based biotechnology companies, may succeed in developing products that render our products obsolete or noncompetitive. Many of our competitors, particularly large pharmaceutical and biopharmaceutical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See “Item 1. Business —Competition” in our Annual Report on Form 10-K for the year ended December 31, 2022 for additional information regarding the effects of competition. If we are unable to compete successfully, our commercial opportunities will be reduced and our business, results of operations and financial conditions may be materially harmed.</w:t>
      </w:r>
    </w:p>
    <w:p>
      <w:pPr>
        <w:spacing w:after="0" w:line="377" w:lineRule="exact"/>
        <w:rPr>
          <w:sz w:val="20"/>
          <w:szCs w:val="20"/>
          <w:color w:val="auto"/>
        </w:rPr>
      </w:pPr>
    </w:p>
    <w:p>
      <w:pPr>
        <w:jc w:val="both"/>
        <w:ind w:firstLine="636"/>
        <w:spacing w:after="0" w:line="301" w:lineRule="auto"/>
        <w:rPr>
          <w:sz w:val="20"/>
          <w:szCs w:val="20"/>
          <w:color w:val="auto"/>
        </w:rPr>
      </w:pPr>
      <w:r>
        <w:rPr>
          <w:rFonts w:ascii="Arial" w:cs="Arial" w:eastAsia="Arial" w:hAnsi="Arial"/>
          <w:sz w:val="15"/>
          <w:szCs w:val="15"/>
          <w:color w:val="auto"/>
        </w:rPr>
        <w:t>Present and potential competitors for JAKAFI include major pharmaceutical and biotechnology companies, as well as specialty pharmaceutical firms.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 products. In February 2016, we received a notice letter regarding an ANDA that requested approval to market a generic version of JAKAFI and purported to challenge patents covering ruxolitinib phosphate and its use that expire in 2028. The notice letter does not challenge the ruxolitinib composition of matter patent, which expires in December 2027. To date, to our knowledge, the FDA has taken no action with respect to this ANDA. Separately, in January 2018 the Patent Trial and Appeal Board (PTAB) of United States Patent and Trademark Office denied a petition challenging our patent covering deuterated ruxolitinib analogs and the PTAB subsequently denied the petitioner’s request for rehearing in May 2018. Nevertheless, the petitioner still has the right separately to challenge the validity of our patent in federal court. There can be no assurance that our patents will be upheld or that any litigation in which we might engage with any such generic manufacturer would be successful in protecting JAKAFI’s exclusivity. The entry of a competitive drug product from another company or a generic version of JAKAFI could result in a decrease in JAKAFI sales and materially harm our business, operating results and financial condition.</w:t>
      </w:r>
    </w:p>
    <w:p>
      <w:pPr>
        <w:spacing w:after="0" w:line="372"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generic versions of imatinib are available and, while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96"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MONJUVI/MINJUVI currently competes with existing therapies that are approved for the treatment of patients with diffuse large B-cell lymphoma on the basis of, among other things, efficacy, cost, breadth of approved use and the safety and side-effect profile. These existing therapies are offered by major pharmaceutical and biotechnology companies, as well as specialty pharmaceutical firms. Competitors and potential competitors for PEMAZYRE and ZYNYZ include major pharmaceutical and biotechnology companies, as well as specialty pharmaceutical firms.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Competitors for OPZELURA include existing over-the-counter topical treatments, prescription topical treatments, including generic versions, such as tacrolimus, pimecrolimus, topical steroids, and EUCRISA (crisaborole) from Pfizer Inc., as well as oral and injectable therapies such as prednisone and other oral steroids, injectable DUPIXENT (dupilimab) from Sanofi and Regeneron Pharmaceuticals, Inc., and oral CIBINQO (abrocitinib) from Pfizer Inc. and RINVOQ (upadacitinib) from AbbVie Inc. In September 2023, we received a notice letter regarding an ANDA that requested approval to market a generic version of OPZELURA and purported to challenge patents covering ruxolitinib phosphate cream and its uses that expire in 2031 and 2040. The notice letter does not challenge ruxolitinib nor the ruxolitinib phosphate composition of matter patents, providing patent coverage (with pediatric extension) until December 2028. To date, to our knowledge, the FDA has taken no action with respect to this ANDA.</w:t>
      </w:r>
    </w:p>
    <w:p>
      <w:pPr>
        <w:spacing w:after="0" w:line="185"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Factors similar to those listed above also apply to our collaborator Novartis for JAKAVI and TABRECTA in jurisdictions in which it has commercialization rights and to our collaborator Lilly for OLUMIANT all jurisdictions. With respect to OLUMIANT, in August 2022 we and Lilly received notice letters with respect to ANDAs that requested approval to market generic versions of OLUMIANT prior to the expiration of the three U.S. Patents that expire in 2030.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RISKS RELATING TO OUR BUSINESS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Public health epidemics and pandemics, such as the COVID-19 pandemic, have adversely affected and could in the future adversely affect our business, results of operations, and financial condition.</w:t>
      </w:r>
    </w:p>
    <w:p>
      <w:pPr>
        <w:spacing w:after="0" w:line="18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Our global operations expose us to risks associated with public health epidemics and pandemics, such as the COVID-19 pandemic. The extent to which a public health pandemic and the measures taken to limit the disease's spread can impact our operations and those of our suppliers, collaborators, service providers and healthcare organizations serving patients, as well as demand for our drug products, will depend on developments, that are highly uncertain, including the duration of the outbreak and any related government actions.</w:t>
      </w:r>
    </w:p>
    <w:p>
      <w:pPr>
        <w:spacing w:after="0" w:line="19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As a result of the COVID-19 pandemic, we experienced, and as a result of future pandemics we may in the future experience disruptions that could severely impact our business, results of operations and financial condition, including the following:</w:t>
      </w:r>
    </w:p>
    <w:p>
      <w:pPr>
        <w:spacing w:after="0" w:line="181" w:lineRule="exact"/>
        <w:rPr>
          <w:sz w:val="20"/>
          <w:szCs w:val="20"/>
          <w:color w:val="auto"/>
        </w:rPr>
      </w:pPr>
    </w:p>
    <w:p>
      <w:pPr>
        <w:jc w:val="both"/>
        <w:ind w:left="640" w:hanging="316"/>
        <w:spacing w:after="0" w:line="264"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When the COVID-19 pandemic commenced, to protect the health of our employees and their families, and our communities, in accordance with – and in some cases in advance of – direction from state and local government authorities, we limited access to our facilities and a significant percentage of our personnel worked remotely. In the event that governmental authorities were to establish any form of similar workplace restrictions, our employees conducting research and development activities may not be able to access our laboratory space or access may be limited, and our research and development activities may be significantly limited or curtailed, possibly for an extended period of time. These research and development activities could include completing Investigational New Drug (IND)/Clinical Trial Application (CTA)-enabling studies, our ability to select future development candidates, and initiation of additional clinical trials for our development programs. Having a significant portion of our employees work from home can strain our information technology infrastructure, which may affect our ability to operate effectively, may make us more susceptible to communications disruptions, and expose us to greater cybersecurity risks.</w:t>
      </w:r>
    </w:p>
    <w:p>
      <w:pPr>
        <w:spacing w:after="0" w:line="184" w:lineRule="exact"/>
        <w:rPr>
          <w:rFonts w:ascii="Arial" w:cs="Arial" w:eastAsia="Arial" w:hAnsi="Arial"/>
          <w:sz w:val="17"/>
          <w:szCs w:val="17"/>
          <w:color w:val="auto"/>
        </w:rPr>
      </w:pPr>
    </w:p>
    <w:p>
      <w:pPr>
        <w:jc w:val="both"/>
        <w:ind w:left="640" w:hanging="316"/>
        <w:spacing w:after="0" w:line="267"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sales and marketing activities, including our interactions with healthcare professionals, were limited and made more difficult by government or employer imposed work from home orders and travel and workplace visitor restrictions resulting from measures to address the COVID-19 pandemic, as well as employee-initiated remote work and travel limitations resulting from, among other things, the spread of the COVID-19 variants. In addition, demand for our products was affected by decreases in new patients, which we believe resulted in large part from decreases in patient visits to healthcare professionals and prioritization of hospital resources for the COVID-19 pandemic, resulting in decreases in disease screening and diagnosis. A future public epidemic or pandemic could have similar effects on our operations.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640" w:hanging="316"/>
        <w:spacing w:after="0" w:line="265"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clinical trials were affected by delays in site initiation, patient screening, patient enrollment, and monitoring and data collection as a result of prioritization of hospital resources for the COVID-19 pandemic, difficulty in recruiting and retaining healthcare providers and staff due to their diversion toward treating COVID-19 patients, the potential unwillingness of patients to enroll or continue in clinical trials for fear of exposure to COVID-19 at sites, and the inability to access sites for initiation and monitoring. Also, we rely on independent clinical investigators, contract research organizations and other third-party service providers to assist us in managing, monitoring and otherwise carrying out our preclinical studies and clinical trials, and the COVID-19 pandemic affected their ability to devote sufficient time and resources to our programs or to travel to sites to perform work for us. A future public health epidemic or pandemic could have similar effects.</w:t>
      </w:r>
    </w:p>
    <w:p>
      <w:pPr>
        <w:spacing w:after="0" w:line="185" w:lineRule="exact"/>
        <w:rPr>
          <w:rFonts w:ascii="Arial" w:cs="Arial" w:eastAsia="Arial" w:hAnsi="Arial"/>
          <w:sz w:val="17"/>
          <w:szCs w:val="17"/>
          <w:color w:val="auto"/>
        </w:rPr>
      </w:pPr>
    </w:p>
    <w:p>
      <w:pPr>
        <w:jc w:val="both"/>
        <w:ind w:left="640" w:hanging="316"/>
        <w:spacing w:after="0" w:line="250"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agencies globally experienced disruptions in their operations as a result of the COVID-19 pandemic and could experience similar disruptions with a future public health epidemic or pandemic. The FDA and comparable foreign regulatory agencies may have slower response times or be under-resourced to continue to monitor our clinical trials as a result of any future public health epidemic or pandemic and, as a result, review, inspection, and other timelines may be materially delayed. Our drug candidate application reviews and potential approvals could be impacted or delayed by these disruptions, if they occur.</w:t>
      </w:r>
    </w:p>
    <w:p>
      <w:pPr>
        <w:spacing w:after="0" w:line="193" w:lineRule="exact"/>
        <w:rPr>
          <w:rFonts w:ascii="Arial" w:cs="Arial" w:eastAsia="Arial" w:hAnsi="Arial"/>
          <w:sz w:val="18"/>
          <w:szCs w:val="18"/>
          <w:color w:val="auto"/>
        </w:rPr>
      </w:pPr>
    </w:p>
    <w:p>
      <w:pPr>
        <w:jc w:val="both"/>
        <w:ind w:left="640" w:hanging="316"/>
        <w:spacing w:after="0" w:line="306" w:lineRule="auto"/>
        <w:tabs>
          <w:tab w:leader="none" w:pos="635" w:val="left"/>
        </w:tabs>
        <w:numPr>
          <w:ilvl w:val="0"/>
          <w:numId w:val="21"/>
        </w:numPr>
        <w:rPr>
          <w:rFonts w:ascii="Arial" w:cs="Arial" w:eastAsia="Arial" w:hAnsi="Arial"/>
          <w:sz w:val="15"/>
          <w:szCs w:val="15"/>
          <w:color w:val="auto"/>
        </w:rPr>
      </w:pPr>
      <w:r>
        <w:rPr>
          <w:rFonts w:ascii="Arial" w:cs="Arial" w:eastAsia="Arial" w:hAnsi="Arial"/>
          <w:sz w:val="15"/>
          <w:szCs w:val="15"/>
          <w:color w:val="auto"/>
        </w:rPr>
        <w:t>A public health epidemic or pandemic and measures taken to limit the spread of the outbreak, especially if prolonged, could also disrupt our supply chain or limit our ability to obtain sufficient materials for our drug products and product candidates, which could adversely affect our revenues and clinical trial timelines. Currently, our supply chain for our drug products and product candidates depends on operations by us and by other companies in multiple countries around the world, and the effects of a public health epidemic or pandemic on any or all of these countries is uncertain and unpredictable and potential disruption is possible. In addition, our third-party manufacturers might experience capacity constraints and delays in producing materials for our drug products and product candidates if they are required, under the U.S. Defense Production Act or similar governmental mandates, to prioritize production of raw materials, supplies, drugs or vaccines to address a public health epidemic or pandemic.</w:t>
      </w:r>
    </w:p>
    <w:p>
      <w:pPr>
        <w:spacing w:after="0" w:line="156" w:lineRule="exact"/>
        <w:rPr>
          <w:rFonts w:ascii="Arial" w:cs="Arial" w:eastAsia="Arial" w:hAnsi="Arial"/>
          <w:sz w:val="15"/>
          <w:szCs w:val="15"/>
          <w:color w:val="auto"/>
        </w:rPr>
      </w:pPr>
    </w:p>
    <w:p>
      <w:pPr>
        <w:ind w:left="640" w:hanging="316"/>
        <w:spacing w:after="0" w:line="294"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deterioration of worldwide credit and financial markets could result in losses on our holdings of cash and investments due to failures of financial institutions and other parties, and interruptions and delays in our ability to collect, or potential losses on, our accounts receivable.</w:t>
      </w:r>
    </w:p>
    <w:p>
      <w:pPr>
        <w:spacing w:after="0" w:line="15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Our collaborators could be affected by similar factors as those that have or could affect our business. The ultimate impact of a public health epidemic or pandemic is highly uncertain, but the potential impacts or delays on our or our collaborators’ businesses, our revenues, including milestone and royalty revenues from our collaborators, our and our collaborators’ clinical trials, healthcare systems or the global economy as a whole could have a material adverse impact on our business, results of operations,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our efforts to discover and develop drug candidates and commercialize drug products.</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Our long term success, revenue growth and diversification of revenues depends on our ability to obtain regulatory approval for new drug products and additional indications for our existing drug products. Our ability to discover and develop drug candidates and to commercialize additional drug products and indications will depend on our ability to:</w:t>
      </w:r>
    </w:p>
    <w:p>
      <w:pPr>
        <w:spacing w:after="0" w:line="188" w:lineRule="exact"/>
        <w:rPr>
          <w:sz w:val="20"/>
          <w:szCs w:val="20"/>
          <w:color w:val="auto"/>
        </w:rPr>
      </w:pPr>
    </w:p>
    <w:p>
      <w:pPr>
        <w:ind w:left="960" w:hanging="318"/>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hire and retain key employees;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 high quality therapeutic targets;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 potential drug candidates;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products internally or license or acquire drug candidates from others;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 and enroll suitable human subjects, either in the United States or abroad, for our clinical trials;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complete laboratory testing;</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commence, conduct and complete safe and effective clinical trials on humans;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60" w:hanging="318"/>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and maintain necessary intellectual property rights to our products;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and maintain necessary regulatory approvals for our products, both in the United States and abroad;</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arrangements with third parties to provide services or to manufacture our products on our behalf;</w:t>
      </w:r>
    </w:p>
    <w:p>
      <w:pPr>
        <w:spacing w:after="0" w:line="217"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deploy sales, marketing, distribution and manufacturing resources effectively or enter into arrangements with third parties to provide these functions in compliance with all applicable laws;</w:t>
      </w:r>
    </w:p>
    <w:p>
      <w:pPr>
        <w:spacing w:after="0" w:line="180"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appropriate coverage and reimbursement levels for the cost of our products from governmental authorities, private health insurers and other third-party payors;</w:t>
      </w:r>
    </w:p>
    <w:p>
      <w:pPr>
        <w:spacing w:after="0" w:line="180" w:lineRule="exact"/>
        <w:rPr>
          <w:rFonts w:ascii="Arial" w:cs="Arial" w:eastAsia="Arial" w:hAnsi="Arial"/>
          <w:sz w:val="18"/>
          <w:szCs w:val="18"/>
          <w:color w:val="auto"/>
        </w:rPr>
      </w:pPr>
    </w:p>
    <w:p>
      <w:pPr>
        <w:ind w:left="960" w:hanging="318"/>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lease facilities at reasonable rates to support our growth; and</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arrangements with third parties to license and commercialize our products.</w:t>
      </w:r>
    </w:p>
    <w:p>
      <w:pPr>
        <w:spacing w:after="0" w:line="217"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 developed and marketed. Of the compounds or biologics that we identify as potential drug products or that we may in-license from other companies, including potential products for which we are conducting clinical trials, only a few, if any, are likely to lead to successful drug development programs and commercialized drug products.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We depend heavily on the success of our most advanced drug candidates. We and our collaborators might not be able to commercialize any of our or their drug candidates successfully, and we may spend significant time and money attempting to do so.</w:t>
      </w:r>
    </w:p>
    <w:p>
      <w:pPr>
        <w:spacing w:after="0" w:line="157"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5"/>
          <w:szCs w:val="15"/>
          <w:color w:val="auto"/>
        </w:rPr>
        <w:t>We have invested significant resources in the development of our most advanced drug candidates. We have a number of drug candidates in Phase III clinical trials as monotherapies or in combination with other drugs and drug candidates, including parsaclisib, pemigatinib, retifanlimab, ruxolitinib, ruxolitinib cream and tafasitamab. Our ability to generate product revenues will depend on the successful development and eventual commercialization of our most advanced drug candidates. We, or our collaborators or licensees, may decide to discontinue development of any or all of our drug candidates at any time for commercial, scientific or other reasons. For example, in April 2018, we along with Merck stopped the ECHO-301 study with epacadostat, and we also significantly downsized the epacadostat development program. If a product is developed but not approved or marketed, or becomes approved for a narrower set of indications than those for which we initially conducted clinical trials, we may have spent significant amounts of time and money on it without achieving potential returns initially anticipated, which could adversely affect our operating results and financial condition as well as our business plans.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81"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or our collaborators’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or our collaborators’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or our collaborators’ drug candidates may be stopped, due to many potential factors, including:</w:t>
      </w:r>
    </w:p>
    <w:p>
      <w:pPr>
        <w:spacing w:after="0" w:line="151" w:lineRule="exact"/>
        <w:rPr>
          <w:sz w:val="20"/>
          <w:szCs w:val="20"/>
          <w:color w:val="auto"/>
        </w:rPr>
      </w:pPr>
    </w:p>
    <w:p>
      <w:pPr>
        <w:ind w:left="960" w:hanging="31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high degree of risk and uncertainty associated with drug development;</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formulate or manufacture sufficient quantities of materials for use in clinical trials;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variability in the number and types of patients available for each study;</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unforeseen safety issues or side effects;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poor or unanticipated effectiveness of drug candidates during the clinical trials; or</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government or regulatory delays.</w:t>
      </w:r>
    </w:p>
    <w:p>
      <w:pPr>
        <w:spacing w:after="0" w:line="217" w:lineRule="exact"/>
        <w:rPr>
          <w:sz w:val="20"/>
          <w:szCs w:val="20"/>
          <w:color w:val="auto"/>
        </w:rPr>
      </w:pPr>
    </w:p>
    <w:p>
      <w:pPr>
        <w:jc w:val="both"/>
        <w:ind w:firstLine="636"/>
        <w:spacing w:after="0" w:line="262" w:lineRule="auto"/>
        <w:rPr>
          <w:sz w:val="20"/>
          <w:szCs w:val="20"/>
          <w:color w:val="auto"/>
        </w:rPr>
      </w:pPr>
      <w:r>
        <w:rPr>
          <w:rFonts w:ascii="Arial" w:cs="Arial" w:eastAsia="Arial" w:hAnsi="Arial"/>
          <w:sz w:val="17"/>
          <w:szCs w:val="17"/>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For example, the FDA has in the past required, and could in the future require, that we or our collaborators conduct additional trials of any of our drug candidates, which would result in delays.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 In addition, in January 2022, we announced that we withdrew the NDA seeking approval of parsaclisib for the treatment of patients with relapsed or refractory follicular lymphoma, marginal zone lymphoma and mantle cell lymphoma. The decision to withdraw the NDA followed discussions with FDA regarding confirmatory clinical trials that we determined cannot be completed within the time period to support the investment. In addition, in March 2023, we received a complete response letter for ruxolitinib extended-release (XR) tablets, which identified additional requirements for approval.</w:t>
      </w:r>
    </w:p>
    <w:p>
      <w:pPr>
        <w:spacing w:after="0" w:line="191" w:lineRule="exact"/>
        <w:rPr>
          <w:sz w:val="20"/>
          <w:szCs w:val="20"/>
          <w:color w:val="auto"/>
        </w:rPr>
      </w:pPr>
    </w:p>
    <w:p>
      <w:pPr>
        <w:jc w:val="both"/>
        <w:ind w:firstLine="636"/>
        <w:spacing w:after="0" w:line="302" w:lineRule="auto"/>
        <w:rPr>
          <w:sz w:val="20"/>
          <w:szCs w:val="20"/>
          <w:color w:val="auto"/>
        </w:rPr>
      </w:pPr>
      <w:r>
        <w:rPr>
          <w:rFonts w:ascii="Arial" w:cs="Arial" w:eastAsia="Arial" w:hAnsi="Arial"/>
          <w:sz w:val="15"/>
          <w:szCs w:val="15"/>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January 2016, a Phase II trial that was evaluating ruxolitinib in combination with regorafenib in patients with relapsed or refractory metastatic colorectal cancer and high C-reactive protein was stopped early after a planned analysis of interim efficacy data determined that the likelihood of the trial meeting its efficacy endpoint was insufficient. In addition, in February 2016, we made a decision to discontinue our JANUS 1 study, our JANUS 2 study, our other studies of ruxolitinib in colorectal, breast and lung cancer, and our study of INCB39110 in pancreatic cancer after a planned analysis of interim efficacy data of JANUS 1 demonstrated that ruxolitinib plus capecitabine did not show a sufficient level of efficacy to warrant continuation. Also, in April 2018, we along with Merck announced that the ECHO-301 study had been stopped and we also significantly downsized the epacadostat development program and in January 2020 we stopped our Phase III trial of itacitinib for the treatment of acute graft-versus-host-disease. If clinical trials of any of our or our collaborators’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7"/>
          <w:szCs w:val="17"/>
          <w:color w:val="auto"/>
        </w:rPr>
        <w:t>Even if any of our applications receives an FDA Fast Track or priority review designation (including based on a priority review voucher, one of which we recently acquired and used in connection with our submission seeking FDA approval of ruxolitinib cream for atopic dermatitis), these designations may not result in faster review or approval for our product candidate compared to product candidates considered for approval under conventional FDA procedures and, in any event, do not assure ultimate approval of our product candidate by FDA. For example, in June 2021 we were informed by the FDA that the FDA had extended by three months the review period for the NDA for ruxolitinib cream for atopic dermatitis. Also, in July 2021, we announced that the FDA issued a complete response letter for the BLA of retifanlimab for the treatment of squamous cell carcinoma of the anal canal, in which the FDA stated it cannot approve the BLA and that additional data are needed. In addition, while the FDA had granted orphan drug designation and Fast Track designation to parsaclisib as a treatment for patients with follicular lymphoma, marginal zone lymphoma and mantle cell lymphoma, as discussed above we withdrew our NDA seeking approval for treatment of patients with those lymphomas. The FDA has recently increased its attention on mandated confirmatory trials for oncology drug candidates with accelerated approvals, and the logistics, cost and timing required for confirmatory trials may conflict with the investment thesis for drug candidates, resulting in withdrawal of approval applications.</w:t>
      </w:r>
    </w:p>
    <w:p>
      <w:pPr>
        <w:spacing w:after="0" w:line="188"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Health care reform measures could impact the pricing and profitability of pharmaceuticals, and adversely affect the commercial viability of our or our collaborators’ products and drug candidates.</w:t>
      </w:r>
    </w:p>
    <w:p>
      <w:pPr>
        <w:spacing w:after="0" w:line="181" w:lineRule="exact"/>
        <w:rPr>
          <w:sz w:val="20"/>
          <w:szCs w:val="20"/>
          <w:color w:val="auto"/>
        </w:rPr>
      </w:pPr>
    </w:p>
    <w:p>
      <w:pPr>
        <w:jc w:val="both"/>
        <w:ind w:firstLine="636"/>
        <w:spacing w:after="0" w:line="299" w:lineRule="auto"/>
        <w:rPr>
          <w:sz w:val="20"/>
          <w:szCs w:val="20"/>
          <w:color w:val="auto"/>
        </w:rPr>
      </w:pPr>
      <w:r>
        <w:rPr>
          <w:rFonts w:ascii="Arial" w:cs="Arial" w:eastAsia="Arial" w:hAnsi="Arial"/>
          <w:sz w:val="15"/>
          <w:szCs w:val="15"/>
          <w:color w:val="auto"/>
        </w:rPr>
        <w:t>In recent years, through legislative and regulatory actions and executive orders, the U.S. federal government has made substantial changes to various payment systems under the Medicare and other federal health care programs. Comprehensive reforms to the U.S. healthcare system were enacted, including changes to the methods for, and amounts of, Medicare reimbursement. For example, a provision in the American Rescue Plan Act of 2021 that is expected to be implemented in 2024 will have the effect of increasing the Medicaid rebate liability for some medicines that increase prices in excess of inflation. Further, in August 2022, the Inflation Reduction Act of 2022 was enacted, which includes provisions allowing the federal government to negotiate prices for certain high-expenditure single source Medicare drugs, to impose penalties and to implement a potential excise tax for manufacturers that fail to comply with the negotiation by offering a price that is not equal to or less than the negotiated “maximum fair price” under the law, and to impose rebate liability on manufacturers that take price increases that exceed inflation. The new law also reduced the out-of-pocket prescription drug costs for Medicare Part D beneficiaries, and to help pay for this change in benefit design, the law imposes a new discount program starting in 2025, in which manufacturers pay specified discounts on Medicare Part D utilization of their drugs as a condition of selling such drugs in the Medicare Part D program. The Inflation Reduction Act includes certain exemptions for small biotech drug manufacturers, including Incyte. These exemptions apply on a drug-specific basis, and qualifying drugs will be exempt from possible negotiation through 2028 and subject to reduced discounts that will be phased-in over a number of years under the new Part D benefit. While there is currently significant uncertainty regarding the implementation of some of these reforms or the scope of amended or additional reforms, the implementation of reforms could significantly reduce net sales resulting from the Medicare programs and limit our ability to increase the prices that we charge for our drugs. Reforms or other changes to these payment systems may change the availability, methods and rates of reimbursements from Medicare, private insurers and other third-party payors for our current and any future approved products. These reforms may affect future investments in our drug development, should the reforms affect our risk-benefit analysis of investing in a drug candidate. Some of these changes and proposed changes could result in reduced reimbursement rates or the elimination of dual sources of payment, which could reduce the price that we or any of our collaborators or licensees receive for any products in the future, and which would adversely affect our business strategy, operations and financial results.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300" w:lineRule="auto"/>
        <w:rPr>
          <w:sz w:val="20"/>
          <w:szCs w:val="20"/>
          <w:color w:val="auto"/>
        </w:rPr>
      </w:pPr>
      <w:r>
        <w:rPr>
          <w:rFonts w:ascii="Arial" w:cs="Arial" w:eastAsia="Arial" w:hAnsi="Arial"/>
          <w:sz w:val="15"/>
          <w:szCs w:val="15"/>
          <w:color w:val="auto"/>
        </w:rPr>
        <w:t>In addition, there has been an increasing legislative and enforcement interest in the United States with respect to drug pricing practices. This has resulted in significant legislative activity and proposals from the prior and current Administrations relating to prescription drug prices and reimbursement, any of which, if enacted, could impose downward pressure on the prices that we can charge for our products and may further limit the commercial viability of our products and drug candidates. Specifically, there have been ongoing federal congressional inquiries and proposed and enacted federal and state legislation, executive orders and administrative agency rules designed to, among other things, bring more transparency to drug pricing, reduce drug prices, reform government program reimbursement methodologies for prescription drugs, expand access to government-mandated discounted pricing (known as 340B pricing) through broader contract pharmacy arrangements, allow importation of drugs into the United States from other countries, and limit allowable prices for drugs through reference to an average price from foreign markets that may be substantially lower than what we currently or would otherwise charge. In certain foreign markets, pricing or profitability of prescription pharmaceuticals is subject to government control. We expect that the health 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by our revenue potentially being materially adversely affected and our research and development efforts potentially being materially curtailed or, in some cases, ceasing. There may be future changes that result in reductions in current prices, coverage and reimbursement levels for our current or any future approved products, and we cannot predict the scope of any future changes or the impact that those changes would have on our operations.</w:t>
      </w:r>
    </w:p>
    <w:p>
      <w:pPr>
        <w:spacing w:after="0" w:line="374"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 affect our financial results and growth prospects.</w:t>
      </w:r>
    </w:p>
    <w:p>
      <w:pPr>
        <w:spacing w:after="0" w:line="191"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color w:val="auto"/>
        </w:rPr>
        <w:t>In addition, the trend toward managed health care in the United States, the organizations for which could control or significantly influence the purchase of health care services and products, as well as legislative and regulatory proposals to reform health care or address the cost of government insurance programs, may all result in lower prices for or rejection of our products. Adoption of our products by the medical community and patients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157"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The continuing efforts of legislatures, health agencies and third-party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88"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7"/>
          <w:szCs w:val="17"/>
          <w:color w:val="auto"/>
        </w:rPr>
        <w:t>We have licensed to Novartis rights to ruxolitinib outside of the United States and worldwide rights to our MET inhibitor compounds, including TABRECTA, and licensed to Lilly worldwide rights to baricitinib. In addition, we have licensed to CMS, Innovent, InnoCare and Maruho certain Asian rights to some of our drug products and clinical stage compounds.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pacing w:after="0" w:line="186" w:lineRule="exact"/>
        <w:rPr>
          <w:sz w:val="20"/>
          <w:szCs w:val="20"/>
          <w:color w:val="auto"/>
        </w:rPr>
      </w:pPr>
    </w:p>
    <w:p>
      <w:pPr>
        <w:jc w:val="both"/>
        <w:ind w:firstLine="636"/>
        <w:spacing w:after="0" w:line="303" w:lineRule="auto"/>
        <w:rPr>
          <w:sz w:val="20"/>
          <w:szCs w:val="20"/>
          <w:color w:val="auto"/>
        </w:rPr>
      </w:pPr>
      <w:r>
        <w:rPr>
          <w:rFonts w:ascii="Arial" w:cs="Arial" w:eastAsia="Arial" w:hAnsi="Arial"/>
          <w:sz w:val="15"/>
          <w:szCs w:val="15"/>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have from time to time occurred, and may in the future arise, relating to, among other things, disputes about the achievement and payment of milestone amounts and royalties owed, the ownership of intellectual property that is developed during the course of a collaborative relationship or the operation or interpretation of other provisions in our collaboration agreements. These disputes have led and could in the future lead to litigation or arbitration, which could be costly and divert the efforts of our management and scientific staff, and could diminish the expected effectiveness of the collaboration.</w:t>
      </w:r>
    </w:p>
    <w:p>
      <w:pPr>
        <w:spacing w:after="0" w:line="160"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financial condition and future revenue prospects.</w:t>
      </w:r>
    </w:p>
    <w:p>
      <w:pPr>
        <w:spacing w:after="0" w:line="191" w:lineRule="exact"/>
        <w:rPr>
          <w:sz w:val="20"/>
          <w:szCs w:val="20"/>
          <w:color w:val="auto"/>
        </w:rPr>
      </w:pPr>
    </w:p>
    <w:p>
      <w:pPr>
        <w:jc w:val="both"/>
        <w:ind w:firstLine="636"/>
        <w:spacing w:after="0" w:line="303" w:lineRule="auto"/>
        <w:rPr>
          <w:sz w:val="20"/>
          <w:szCs w:val="20"/>
          <w:color w:val="auto"/>
        </w:rPr>
      </w:pPr>
      <w:r>
        <w:rPr>
          <w:rFonts w:ascii="Arial" w:cs="Arial" w:eastAsia="Arial" w:hAnsi="Arial"/>
          <w:sz w:val="15"/>
          <w:szCs w:val="15"/>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Innovent, InnoCare, Maruho and CMS collaborations, we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our revenues and our future revenue prospects.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or future collaborations. If a business combination involving a collaborator or licensee and a third-party were to occur, the effect could be to terminate or cause delays in development of a drug candidate.</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enter into additional licensing agreements or if these arrangements are unsuccessful, our business and operations might be adversely affected.</w:t>
      </w:r>
    </w:p>
    <w:p>
      <w:pPr>
        <w:spacing w:after="0" w:line="252" w:lineRule="exact"/>
        <w:rPr>
          <w:sz w:val="20"/>
          <w:szCs w:val="20"/>
          <w:color w:val="auto"/>
        </w:rPr>
      </w:pPr>
    </w:p>
    <w:p>
      <w:pPr>
        <w:jc w:val="both"/>
        <w:ind w:firstLine="636"/>
        <w:spacing w:after="0" w:line="298" w:lineRule="auto"/>
        <w:rPr>
          <w:sz w:val="20"/>
          <w:szCs w:val="20"/>
          <w:color w:val="auto"/>
        </w:rPr>
      </w:pPr>
      <w:r>
        <w:rPr>
          <w:rFonts w:ascii="Arial" w:cs="Arial" w:eastAsia="Arial" w:hAnsi="Arial"/>
          <w:sz w:val="15"/>
          <w:szCs w:val="15"/>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Inc., MacroGenics, Inc., Merus N.V., MorphoSys, and Syndax Pharmaceuticals, Inc.,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For example, in January 2022, we decided to opt-out of the continued development with Merus of MCLA-145, which was the most advanced compound under our collaboration with Merus, and in September 2022, we decided to terminate our collaboration with Calithera Biosciences, Inc. If we make or incur contractual obligations to make significant upfront payments in connection with licenses for late-stage drug candidates, as we did in March 2020 in connection with the effectiveness of our collaboration agreement with MorphoSys, and if any of those drug candidates do not receive marketing approval or commercial sales as anticipated or we have to fund additional clinical trials before marketing approval can be obtained, we will have expended significant funds that might otherwise be applied for other uses or have to expend funds that were not otherwise budgeted or anticipated in connection with the collaboration, and such developments could have a material adverse effect on our stock price and our ability to pursue other transactions. As discussed above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 and we may be unable to increase our number of successfully marketed products and our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81"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color w:val="auto"/>
        </w:rPr>
        <w:t>Even if any of our drug candidates receives regulatory approval, it could be subject to post-regulatory surveillance, and may have to be withdrawn from the market or subject to restrictions if previously unknown problems occur. Regulatory agencies may also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will not cover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Any approved drug product that we bring to the market may not gain market acceptance by physicians, patients, healthcare payors and others in the medical community.</w:t>
      </w:r>
    </w:p>
    <w:p>
      <w:pPr>
        <w:spacing w:after="0" w:line="181"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Even if we or our collaborators are successful in gaining regulatory approval of any of our or our collaborators’ drug candidates in addition to JAKAFI, OLUMIANT, PEMAZYRE, MONJUVI/MINJUVI, OPZELURA and ZYNYZ or acquire rights to approved drug products in addition to ICLUSIG, we may not generate significant product revenues if these drug products do not achieve an adequate level of acceptance. Physicians may not recommend our or our collaborators’ drug products until longer-term clinical data or other factors demonstrate the safety and efficacy of our or our collaborators’ drug products as compared to other alternative treatments. Even if the clinical safety and efficacy of our or our collaborators’ drug products is established, physicians may elect not to prescribe these drug products for a variety of reasons, including the reimbursement policies of government and other third-party payors and the effectiveness of our or our collaborators’ competitors in marketing their products.</w:t>
      </w:r>
    </w:p>
    <w:p>
      <w:pPr>
        <w:spacing w:after="0" w:line="18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Market acceptance of our drug products, if approved for commercial sale, will depend on a number of factors, including the following, and market acceptance of our collaborators’ drug products will depend on similar factors:</w:t>
      </w:r>
    </w:p>
    <w:p>
      <w:pPr>
        <w:spacing w:after="0" w:line="181" w:lineRule="exact"/>
        <w:rPr>
          <w:sz w:val="20"/>
          <w:szCs w:val="20"/>
          <w:color w:val="auto"/>
        </w:rPr>
      </w:pPr>
    </w:p>
    <w:p>
      <w:pPr>
        <w:ind w:left="960" w:hanging="31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and ability of patients and the healthcare community to use our drug products;</w:t>
      </w:r>
    </w:p>
    <w:p>
      <w:pPr>
        <w:spacing w:after="0" w:line="217"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manufacture our drug products in sufficient quantities that meet all applicable quality standards and to offer our drug products for sale at competitive prices;</w:t>
      </w:r>
    </w:p>
    <w:p>
      <w:pPr>
        <w:spacing w:after="0" w:line="180" w:lineRule="exact"/>
        <w:rPr>
          <w:rFonts w:ascii="Arial" w:cs="Arial" w:eastAsia="Arial" w:hAnsi="Arial"/>
          <w:sz w:val="18"/>
          <w:szCs w:val="18"/>
          <w:color w:val="auto"/>
        </w:rPr>
      </w:pPr>
    </w:p>
    <w:p>
      <w:pPr>
        <w:ind w:left="960" w:right="380" w:hanging="318"/>
        <w:spacing w:after="0" w:line="264" w:lineRule="auto"/>
        <w:tabs>
          <w:tab w:leader="none" w:pos="9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perception of patients and the healthcare community, including third-party payors, regarding the safety, efficacy and benefits of our drug products compared to those of competing products or therapies;</w:t>
      </w:r>
    </w:p>
    <w:p>
      <w:pPr>
        <w:spacing w:after="0" w:line="180" w:lineRule="exact"/>
        <w:rPr>
          <w:rFonts w:ascii="Arial" w:cs="Arial" w:eastAsia="Arial" w:hAnsi="Arial"/>
          <w:sz w:val="18"/>
          <w:szCs w:val="18"/>
          <w:color w:val="auto"/>
        </w:rPr>
      </w:pPr>
    </w:p>
    <w:p>
      <w:pPr>
        <w:ind w:left="960" w:hanging="31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pricing and reimbursement of our drug products relative to existing treatments; and</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marketing and distribution support for our drug products.</w:t>
      </w:r>
    </w:p>
    <w:p>
      <w:pPr>
        <w:spacing w:after="0" w:line="217"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In September 2021, the FDA updated labeling for JAKAFI and other JAK-inhibitor drugs to include warnings of increased risk of major adverse cardiovascular events, thrombosis, and secondary malignancies related to another JAK-inhibitor treating rheumatoid arthritis, a condition for which JAKAFI is not indicated. The label for OPZELURA contains similar warnings seen with JAK inhibitors for inflammatory conditions. We cannot predict the effects on sales of JAKAFI as a result of the labeling change or OPZELURA as a result of warning included in its label, but it is possible that future sales of JAKAFI and the commercial success of OPZELURA can be negatively affected by the updated labeling, which could have a material and adverse effect on our business, results of operations and prospects.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81"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We have limited internal resources and capacity to perform preclinical testing and clinical trials. As part of our development strategy, we often hire contract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face significant competition for our drug discovery and development efforts, and if we do not compete effectively, our commercial opportunities will be reduced or eliminated.</w:t>
      </w:r>
    </w:p>
    <w:p>
      <w:pPr>
        <w:spacing w:after="0" w:line="181"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7"/>
          <w:szCs w:val="17"/>
          <w:color w:val="auto"/>
        </w:rPr>
        <w:t>The biotechnology and pharmaceutical industries are intensely competitive and subject to rapid and significant technological change. Our drug discovery and development efforts may target diseases and conditions that are already subject to existing therapies or that are being developed by our competitors, many of which have substantially greater resources, larger research and development staffs and facilities, more experience in completing preclinical testing and clinical trials, and formulation, marketing and manufacturing capabilities. As a result of these resources, our competitors may develop drug products that render our products obsolete or noncompetitive by developing more effective drugs, developing their products more efficiently or pricing their products more competitively. Our ability to develop competitive products would be limited if our competitors succeeded in obtaining regulatory approvals for drug candidates more rapidly than we were able to or in obtaining patent protection or other intellectual property rights that limited our drug development efforts. Any drug products resulting from our research and development efforts, or from our joint efforts with collaborators or licensees, might not be able to compete successfully with our competitors’ existing and future products, or obtain regulatory approval in the United States or elsewhere. The development of products or processes by our competitors with significant advantages over those that we are developing could harm our future revenues and profitability.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81" w:lineRule="exact"/>
        <w:rPr>
          <w:sz w:val="20"/>
          <w:szCs w:val="20"/>
          <w:color w:val="auto"/>
        </w:rPr>
      </w:pPr>
    </w:p>
    <w:p>
      <w:pPr>
        <w:jc w:val="both"/>
        <w:ind w:firstLine="636"/>
        <w:spacing w:after="0" w:line="262" w:lineRule="auto"/>
        <w:rPr>
          <w:sz w:val="20"/>
          <w:szCs w:val="20"/>
          <w:color w:val="auto"/>
        </w:rPr>
      </w:pPr>
      <w:r>
        <w:rPr>
          <w:rFonts w:ascii="Arial" w:cs="Arial" w:eastAsia="Arial" w:hAnsi="Arial"/>
          <w:sz w:val="17"/>
          <w:szCs w:val="17"/>
          <w:color w:val="auto"/>
        </w:rPr>
        <w:t>We do not currently operate manufacturing facilities for clinical or commercial production of JAKAFI, PEMAZYRE, ICLUSIG, OPZELURA or for most of our drug candidates. Our current manufacturing strategy for these products and drug candidates is to contract with third parties to manufacture the related raw materials, active pharmaceutical ingredient, or API, and finished drug product. For MONJUVI/MINJUVI, our collaborator MorphoSys currently is responsible for sourcing and manufacturing MONJUVI for the US market, while we are responsible for the sourcing and manufacturing of MINJUVI for ex-US markets. We are also in the process of having our own bioplant manufacturing site in Switzerland registered for the MONJUVI/MINJUVI API manufacturing. For ZYNYZ, together with our collaborator MacroGenics, we are responsible for the sourcing and manufacturing of ZYNYZ. While continuing to increase our own manufacturing capacity through our Swiss bioplant site, we expect to continue to rely on third parties for the manufacture of commercial supplies of raw materials, API and finished drug product for any drugs that we successfully develop. We also contract with third parties to package and label our products. The FDA requires that the raw materials, API and finished product for drug products such as JAKAFI, PEMAZYRE and OPZELURA and our drug candidates be manufactured according to its current Good Manufacturing Practices regulations, and regulatory authorities in other countries have similar requirements. Failure to comply with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initiating product recalls or taking other enforcement actions, which could have a material adverse effect on our business.</w:t>
      </w:r>
    </w:p>
    <w:p>
      <w:pPr>
        <w:spacing w:after="0" w:line="193"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to commercial quantities from clinical quantities. These problems include difficulties with production costs and yields, quality control and assurance and shortages of qualified personnel. To the extent problems such as these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are experienced, we could encounter difficulties in supplying sufficient product to meet demand or incur additional costs to remedy the problems or to recall defective products. Any such recall could also harm our sales efforts and our reputation. Our suppliers, which operate in multiple countries around the world, could also experience disruptions in their operations resulting from various factors, including equipment malfunction or failure, regulatory requirements or actions, labor disputes or shortages, including from the effects of public health pandemics, cyberattacks, natural and other disasters, and wars or other geopolitical events. While our strategy is to maintain at a minimum 24 months stock of ruxolitinib phosphate API, inclusive of finished product, ruxolitinib phosphate might be used by us either to make JAKAFI or OPZELURA or for ruxolitinib drug candidates in clinical trials.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our drug products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w:t>
      </w:r>
    </w:p>
    <w:p>
      <w:pPr>
        <w:spacing w:after="0" w:line="37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188"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7"/>
          <w:szCs w:val="17"/>
          <w:color w:val="auto"/>
        </w:rPr>
        <w:t>A number of our collaborations involve the manufacture of antibodies. Either we or our collaborators have primary responsibility for manufacturing activities, and we intend to continue to use third-party contract manufacturing organizations for the manufacture of antibodies in conjunction with our manufacturing facility in Switzerland, which became accredited by the Swiss Health Authority in June 2022.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may encounter delays and difficulties in scaling up production at our new facility.</w:t>
      </w:r>
    </w:p>
    <w:p>
      <w:pPr>
        <w:spacing w:after="0" w:line="18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81" w:lineRule="exact"/>
        <w:rPr>
          <w:sz w:val="20"/>
          <w:szCs w:val="20"/>
          <w:color w:val="auto"/>
        </w:rPr>
      </w:pPr>
    </w:p>
    <w:p>
      <w:pPr>
        <w:jc w:val="both"/>
        <w:ind w:firstLine="636"/>
        <w:spacing w:after="0" w:line="300" w:lineRule="auto"/>
        <w:rPr>
          <w:sz w:val="20"/>
          <w:szCs w:val="20"/>
          <w:color w:val="auto"/>
        </w:rPr>
      </w:pPr>
      <w:r>
        <w:rPr>
          <w:rFonts w:ascii="Arial" w:cs="Arial" w:eastAsia="Arial" w:hAnsi="Arial"/>
          <w:sz w:val="15"/>
          <w:szCs w:val="15"/>
          <w:color w:val="auto"/>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pharmaceuticals.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or DOJ, for documents and information relating to our speaker programs and patient assistance programs, including our support of non-profit organizations that provide financial assistance to eligible patients and in November 2019, the qui tam complaint underlying the DOJ inquiry was unsealed, at which time we learned that a former employee whom we had terminated had made certain allegations relating to the programs described above. While we deny that any improper claims were submitted to</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government payers, we agreed in May 2021 to settle the matter with the DOJ Civil Division for $12.6 million, plus certain statutory fees.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and any settlement of these proceedings could result in significant payments by us.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illegal distribution and sale by third parties of counterfeit or unfit versions of our or our collaborators’ products or stolen products could harm our business and reputation.</w:t>
      </w:r>
    </w:p>
    <w:p>
      <w:pPr>
        <w:spacing w:after="0" w:line="181"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As most of our drug discovery and development operations are conducted at our headquarters in Wilmington, Delaware, the loss of access to this facility would negatively impact our business.</w:t>
      </w:r>
    </w:p>
    <w:p>
      <w:pPr>
        <w:spacing w:after="0" w:line="181"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Our facility in Wilmington, Delaware is our headquarters and is also where we conduct most of our drug discovery, research, development and marketing activities. In addition, natural disasters, the effects of or measures taken to limit the effects of health epidemics such as the COVID-19 pandemic,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94"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11"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ability to develop and commercialize products could suffer.</w:t>
      </w:r>
    </w:p>
    <w:p>
      <w:pPr>
        <w:spacing w:after="0" w:line="217"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81"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As part of our business strategy, we may pursue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in June 2016, we completed the acquisition of the European operations of ARIAD.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These strategic transactions are complex, time consuming and expensive and entail numerous risks, including:</w:t>
      </w:r>
    </w:p>
    <w:p>
      <w:pPr>
        <w:spacing w:after="0" w:line="179" w:lineRule="exact"/>
        <w:rPr>
          <w:sz w:val="20"/>
          <w:szCs w:val="20"/>
          <w:color w:val="auto"/>
        </w:rPr>
      </w:pPr>
    </w:p>
    <w:p>
      <w:pPr>
        <w:ind w:left="960" w:hanging="318"/>
        <w:spacing w:after="0" w:line="264" w:lineRule="auto"/>
        <w:tabs>
          <w:tab w:leader="none" w:pos="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costs, delays or other operational or financial problems related to integrating the products, product candidates, technologies, business operations, systems, controls and personnel of an acquired company or asset with our company;</w:t>
      </w:r>
    </w:p>
    <w:p>
      <w:pPr>
        <w:spacing w:after="0" w:line="180" w:lineRule="exact"/>
        <w:rPr>
          <w:rFonts w:ascii="Arial" w:cs="Arial" w:eastAsia="Arial" w:hAnsi="Arial"/>
          <w:sz w:val="18"/>
          <w:szCs w:val="18"/>
          <w:color w:val="auto"/>
        </w:rPr>
      </w:pPr>
    </w:p>
    <w:p>
      <w:pPr>
        <w:ind w:left="960" w:hanging="318"/>
        <w:spacing w:after="0"/>
        <w:tabs>
          <w:tab w:leader="none" w:pos="9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failure to successfully develop and commercialize acquired products, product candidates or technologies or to achieve other strategic objectives;</w:t>
      </w:r>
    </w:p>
    <w:p>
      <w:pPr>
        <w:spacing w:after="0" w:line="251" w:lineRule="exact"/>
        <w:rPr>
          <w:rFonts w:ascii="Arial" w:cs="Arial" w:eastAsia="Arial" w:hAnsi="Arial"/>
          <w:sz w:val="15"/>
          <w:szCs w:val="15"/>
          <w:color w:val="auto"/>
        </w:rPr>
      </w:pPr>
    </w:p>
    <w:p>
      <w:pPr>
        <w:ind w:left="960" w:hanging="318"/>
        <w:spacing w:after="0" w:line="264" w:lineRule="auto"/>
        <w:tabs>
          <w:tab w:leader="none" w:pos="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or inability to progress preclinical programs into clinical development or unfavorable data from clinical trials evaluating acquired or licensed products or product candidates;</w:t>
      </w:r>
    </w:p>
    <w:p>
      <w:pPr>
        <w:spacing w:after="0" w:line="180"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disruption of our ongoing business and diversion of our management’s and employees’ attention from ongoing development of our existing business and other opportunities and challenges;</w:t>
      </w:r>
    </w:p>
    <w:p>
      <w:pPr>
        <w:spacing w:after="0" w:line="180" w:lineRule="exact"/>
        <w:rPr>
          <w:rFonts w:ascii="Arial" w:cs="Arial" w:eastAsia="Arial" w:hAnsi="Arial"/>
          <w:sz w:val="18"/>
          <w:szCs w:val="18"/>
          <w:color w:val="auto"/>
        </w:rPr>
      </w:pPr>
    </w:p>
    <w:p>
      <w:pPr>
        <w:ind w:left="960" w:hanging="318"/>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achieve planned synergies or cost savings;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loss of key employees of an acquired company;</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entry into markets in which we have no or limited direct prior experience or where competitors in such markets have stronger market positions;</w:t>
      </w:r>
    </w:p>
    <w:p>
      <w:pPr>
        <w:spacing w:after="0" w:line="251" w:lineRule="exact"/>
        <w:rPr>
          <w:rFonts w:ascii="Arial" w:cs="Arial" w:eastAsia="Arial" w:hAnsi="Arial"/>
          <w:sz w:val="15"/>
          <w:szCs w:val="15"/>
          <w:color w:val="auto"/>
        </w:rPr>
      </w:pPr>
    </w:p>
    <w:p>
      <w:pPr>
        <w:ind w:left="960" w:hanging="318"/>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uncertainties in our ability to maintain key business relationships of business we acquire;</w:t>
      </w:r>
    </w:p>
    <w:p>
      <w:pPr>
        <w:spacing w:after="0" w:line="217" w:lineRule="exact"/>
        <w:rPr>
          <w:rFonts w:ascii="Arial" w:cs="Arial" w:eastAsia="Arial" w:hAnsi="Arial"/>
          <w:sz w:val="18"/>
          <w:szCs w:val="18"/>
          <w:color w:val="auto"/>
        </w:rPr>
      </w:pPr>
    </w:p>
    <w:p>
      <w:pPr>
        <w:jc w:val="both"/>
        <w:ind w:left="960" w:hanging="318"/>
        <w:spacing w:after="0" w:line="255" w:lineRule="auto"/>
        <w:tabs>
          <w:tab w:leader="none" w:pos="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exposure to unknown or contingent liabilities or the incurrence of unanticipated expenses, including those with respect to intellectual property, pre-clinical or clinical data, safety, compliance or internal controls, and including as a result of the failure of the due diligence processes to identify significant problems, liabilities or challenges of an acquired company or asset; and</w:t>
      </w:r>
    </w:p>
    <w:p>
      <w:pPr>
        <w:spacing w:after="0" w:line="188"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the strategic transaction, including claims from terminated employees, customers, former equity holders or other third parties.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302" w:lineRule="auto"/>
        <w:rPr>
          <w:sz w:val="20"/>
          <w:szCs w:val="20"/>
          <w:color w:val="auto"/>
        </w:rPr>
      </w:pPr>
      <w:r>
        <w:rPr>
          <w:rFonts w:ascii="Arial" w:cs="Arial" w:eastAsia="Arial" w:hAnsi="Arial"/>
          <w:sz w:val="15"/>
          <w:szCs w:val="15"/>
          <w:color w:val="auto"/>
        </w:rPr>
        <w:t>As a result of these or other problems and risks, businesses, products or technologies we acquire or invest in or obtain licenses to may not produce the revenues, earnings, business synergies or other benefits that we anticipated, within the expected timeframe or at all. As a result, we may incur higher costs and realize lower revenues than we had anticipated. We cannot assure you that any acquisitions or investments we may make in the future will be completed or that, if completed, the acquired business, licenses, investments, products, or technologies will generate sufficient revenue to offset the costs or other negative effects on our business. Other pharmaceutical companies, many of which may have substantially greater resources, compete with us for these opportunities., and we may be unable to effectively advance our business strategy through strategic transactions, which could impair our ability to grow or obtain access to products or technology that could be important to the development of our business. Any acquisitions or investments made by us also could result in significant write-offs or the incurrence of debt and contingent liabilities, any of which could harm our operating results. For example, in each of the fiscal quarters in 2022 we recorded unrealized losses related to our investments in our collaboration partners, and we may experience additional losses related to our investments in future period. In addition, if we choose to issue equity securities as consideration for any acquisition, dilution to our stockholders could result.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17"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Our acquisition of ARIAD’s European operations significantly expanded our operations in Europe, and we plan to continue to expand our operations and conduct certain development activities outside of the United States. For example, as part of our plans to expand our activities outside of the United States, we now conduct some of our operations in Canada, commercial and clinical development activities in Japan and have opened an office in China. International operations and business expansion plans are subject to numerous additional risks, including:</w:t>
      </w:r>
    </w:p>
    <w:p>
      <w:pPr>
        <w:spacing w:after="0" w:line="177" w:lineRule="exact"/>
        <w:rPr>
          <w:sz w:val="20"/>
          <w:szCs w:val="20"/>
          <w:color w:val="auto"/>
        </w:rPr>
      </w:pPr>
    </w:p>
    <w:p>
      <w:pPr>
        <w:jc w:val="both"/>
        <w:ind w:left="960" w:hanging="318"/>
        <w:spacing w:after="0" w:line="255" w:lineRule="auto"/>
        <w:tabs>
          <w:tab w:leader="none" w:pos="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as we enter into additional jurisdictions;</w:t>
      </w:r>
    </w:p>
    <w:p>
      <w:pPr>
        <w:spacing w:after="0" w:line="188"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staffing and managing operations in diverse countries and difficulties in connection with assimilating and integrating any operations and personnel we might acquire into our company;</w:t>
      </w:r>
    </w:p>
    <w:p>
      <w:pPr>
        <w:spacing w:after="0" w:line="180"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associated with obtaining and maintaining, or the failure to obtain or maintain, regulatory approvals for the sale or use of our products in various countries;</w:t>
      </w:r>
    </w:p>
    <w:p>
      <w:pPr>
        <w:spacing w:after="0" w:line="180" w:lineRule="exact"/>
        <w:rPr>
          <w:rFonts w:ascii="Arial" w:cs="Arial" w:eastAsia="Arial" w:hAnsi="Arial"/>
          <w:sz w:val="18"/>
          <w:szCs w:val="18"/>
          <w:color w:val="auto"/>
        </w:rPr>
      </w:pPr>
    </w:p>
    <w:p>
      <w:pPr>
        <w:ind w:left="960" w:hanging="318"/>
        <w:spacing w:after="0"/>
        <w:tabs>
          <w:tab w:leader="none" w:pos="9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complexities associated with managing government payor systems, multiple payor-reimbursement regimes or patient self-pay systems;</w:t>
      </w:r>
    </w:p>
    <w:p>
      <w:pPr>
        <w:spacing w:after="0" w:line="228" w:lineRule="exact"/>
        <w:rPr>
          <w:rFonts w:ascii="Arial" w:cs="Arial" w:eastAsia="Arial" w:hAnsi="Arial"/>
          <w:sz w:val="17"/>
          <w:szCs w:val="17"/>
          <w:color w:val="auto"/>
        </w:rPr>
      </w:pPr>
    </w:p>
    <w:p>
      <w:pPr>
        <w:ind w:left="960" w:hanging="318"/>
        <w:spacing w:after="0" w:line="264" w:lineRule="auto"/>
        <w:tabs>
          <w:tab w:leader="none" w:pos="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180" w:lineRule="exact"/>
        <w:rPr>
          <w:rFonts w:ascii="Arial" w:cs="Arial" w:eastAsia="Arial" w:hAnsi="Arial"/>
          <w:sz w:val="18"/>
          <w:szCs w:val="18"/>
          <w:color w:val="auto"/>
        </w:rPr>
      </w:pPr>
    </w:p>
    <w:p>
      <w:pPr>
        <w:jc w:val="both"/>
        <w:ind w:left="960" w:hanging="318"/>
        <w:spacing w:after="0" w:line="252" w:lineRule="auto"/>
        <w:tabs>
          <w:tab w:leader="none" w:pos="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political and economic conditions in the countries in which we operate, including inflation, political or economic instability, terrorism and political unrest, geopolitical events such as the Russian invasion of Ukraine and the Israel-Hamas conflict, curtailment of trade and other business restrictions, and uncertainties associated with the implementation of the relationship between the United Kingdom and the European Union;</w:t>
      </w:r>
    </w:p>
    <w:p>
      <w:pPr>
        <w:spacing w:after="0" w:line="190"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 health risks, including epidemics and pandemics, and related effects on new patient starts, clinical trial activity, regulatory agency response times, supply chain, travel and employee health and availability; and</w:t>
      </w:r>
    </w:p>
    <w:p>
      <w:pPr>
        <w:spacing w:after="0" w:line="180" w:lineRule="exact"/>
        <w:rPr>
          <w:rFonts w:ascii="Arial" w:cs="Arial" w:eastAsia="Arial" w:hAnsi="Arial"/>
          <w:sz w:val="18"/>
          <w:szCs w:val="18"/>
          <w:color w:val="auto"/>
        </w:rPr>
      </w:pPr>
    </w:p>
    <w:p>
      <w:pPr>
        <w:jc w:val="both"/>
        <w:ind w:left="960" w:hanging="318"/>
        <w:spacing w:after="0" w:line="252" w:lineRule="auto"/>
        <w:tabs>
          <w:tab w:leader="none" w:pos="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In addition, our revenues are subject to foreign currency exchange rate fluctuations due to the global nature of our operations and unfavorable changes in foreign currency exchange rates may adversely affect our revenues and net income. To the extent that our non-U.S. source revenues represent a more significant portion of our total revenues, these fluctuations could materially affect our operating results. 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81"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5"/>
          <w:szCs w:val="15"/>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154"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Since December 30, 2017, we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8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7"/>
          <w:szCs w:val="17"/>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Business disruptions could seriously harm our operations, future revenues and financial condition and increase our costs and expenses.</w:t>
      </w:r>
    </w:p>
    <w:p>
      <w:pPr>
        <w:spacing w:after="0" w:line="252" w:lineRule="exact"/>
        <w:rPr>
          <w:sz w:val="20"/>
          <w:szCs w:val="20"/>
          <w:color w:val="auto"/>
        </w:rPr>
      </w:pPr>
    </w:p>
    <w:p>
      <w:pPr>
        <w:jc w:val="both"/>
        <w:ind w:firstLine="636"/>
        <w:spacing w:after="0" w:line="301" w:lineRule="auto"/>
        <w:rPr>
          <w:sz w:val="20"/>
          <w:szCs w:val="20"/>
          <w:color w:val="auto"/>
        </w:rPr>
      </w:pPr>
      <w:r>
        <w:rPr>
          <w:rFonts w:ascii="Arial" w:cs="Arial" w:eastAsia="Arial" w:hAnsi="Arial"/>
          <w:sz w:val="15"/>
          <w:szCs w:val="15"/>
          <w:color w:val="auto"/>
        </w:rPr>
        <w:t>Our operations, and those of our CROs, suppliers, and other contractors and consultants, could be subject to geopolitical events, natural disasters, power and other infrastructure failures or shortages, public health pandemics or epidemics, and other natural or man-made disasters or business interruptions. In addition, geopolitical and other events, such as the Russian invasion of Ukraine or the Israel-Hamas conflict,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 The occurrence of any of these business disruptions could seriously harm our operations, future revenues and financial condition and increase our costs and expenses. We have engaged CROs to conduct clinical trials outside the United States, including a limited number of trials in Ukraine and Russia. We may not be able to complete any additional dosing or follow-up visits of patients in Ukraine and Russia who are participating in these clinical trials. We may also be unable to ship additional clinical drug and other supplies necessary to complete the clinical trials in Ukraine and Russia. Although the impact of Russia’s invasion is highly unpredictable, certain clinical trial activities have already been changed or suspended, and may continue to be changed, suspended or terminated, which could potentially increase our costs, slow down our product candidate development and approval process and jeopardize our ability to commence product sales and generate revenues.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FINANCIAL RESULTS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81"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color w:val="auto"/>
        </w:rPr>
        <w:t>Due to historical net losses, we had an accumulated deficit of approximately $41 million as of September 30, 2023. We intend to continue to spend significant amounts on our efforts to discover and develop drugs. As a result, we may incur losses in future periods as well.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w:t>
      </w:r>
    </w:p>
    <w:p>
      <w:pPr>
        <w:spacing w:after="0" w:line="18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8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we cannot assure you that we will generate substantial revenues from the drug candidates that we license or develop, including ICLUSIG, PEMAZYRE, MONJUVI/MINJUVI, OPZELURA and ZYNYZ, for several years, if ever.</w:t>
      </w:r>
    </w:p>
    <w:p>
      <w:pPr>
        <w:spacing w:after="0" w:line="191"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We cannot be certain whether or when we will achieve sustained or increased profitability on a quarterly or annual basis because of the factors discussed under “Risks Relating to Commercialization of our Products” and in the above paragraphs and the significant uncertainties relating to our ability to generate commercially successful drug products. Even if we are successful in obtaining regulatory approvals for manufacturing and commercializing drug products in addition to JAKAFI, ICLUSIG, PEMAZYRE, MONJUVI/MINJUVI, OPZELURA and ZYNYZ, we may incur losses if our drug products do not generate significant revenues.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88"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Our future funding requirements will depend on many factors and we anticipate that we may need to raise additional capital to fund our business plan and research and development efforts going-forward.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Additional factors that may affect our future funding requirements include:</w:t>
      </w:r>
    </w:p>
    <w:p>
      <w:pPr>
        <w:spacing w:after="0" w:line="217" w:lineRule="exact"/>
        <w:rPr>
          <w:sz w:val="20"/>
          <w:szCs w:val="20"/>
          <w:color w:val="auto"/>
        </w:rPr>
      </w:pPr>
    </w:p>
    <w:p>
      <w:pPr>
        <w:ind w:left="960" w:hanging="31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acquisition of businesses, technologies, or drug candidates, or the licensing of technologies or drug candidates, if any;</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of revenues generated from our business activities;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changes in the breadth of our research and development programs;</w:t>
      </w:r>
    </w:p>
    <w:p>
      <w:pPr>
        <w:spacing w:after="0" w:line="217"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results of research and development, preclinical testing and clinical trials conducted by us or our current or future collaborators or licensees, if any;</w:t>
      </w:r>
    </w:p>
    <w:p>
      <w:pPr>
        <w:spacing w:after="0" w:line="180" w:lineRule="exact"/>
        <w:rPr>
          <w:rFonts w:ascii="Arial" w:cs="Arial" w:eastAsia="Arial" w:hAnsi="Arial"/>
          <w:sz w:val="18"/>
          <w:szCs w:val="18"/>
          <w:color w:val="auto"/>
        </w:rPr>
      </w:pPr>
    </w:p>
    <w:p>
      <w:pPr>
        <w:ind w:left="960" w:hanging="31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exercise of any co-development options with collaborators that may require us to fund future development;</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for future facility requirements;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and establish new corporate relationships and research collaborations;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time and costs involved in filing, prosecuting, defending and enforcing patent and intellectual property claims;</w:t>
      </w:r>
    </w:p>
    <w:p>
      <w:pPr>
        <w:spacing w:after="0" w:line="217"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receipt or payment of contingent licensing or milestone fees or royalties on product sales from our current or future collaborative and license arrangements, if established; and</w:t>
      </w:r>
    </w:p>
    <w:p>
      <w:pPr>
        <w:spacing w:after="0" w:line="180" w:lineRule="exact"/>
        <w:rPr>
          <w:rFonts w:ascii="Arial" w:cs="Arial" w:eastAsia="Arial" w:hAnsi="Arial"/>
          <w:sz w:val="18"/>
          <w:szCs w:val="18"/>
          <w:color w:val="auto"/>
        </w:rPr>
      </w:pPr>
    </w:p>
    <w:p>
      <w:pPr>
        <w:ind w:left="960" w:hanging="31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regulatory approvals, if any.</w:t>
      </w:r>
    </w:p>
    <w:p>
      <w:pPr>
        <w:spacing w:after="0" w:line="217"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5"/>
          <w:szCs w:val="15"/>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equity-linked securities in the future may be dilutive to our stockholders and may provide for rights, preferences or privileges senior to those of our holders of common stock, and debt financing arrangements could result in increased financing costs due to higher interest rates and may require us to pledge certain assets or enter into covenants that could restrict our operations or our ability to pay dividends or other distributions on our common stock or incur further indebtedness.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marketable securities and long term investments are subject to risks that could adversely affect our overall financial position.</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invest our cash in accordance with an established internal policy and customarily in short-term instruments, money market funds, U.S.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government backed-funds and Treasury securities, which are investment grade and historically have been highly liquid and carried relatively low risk.</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88"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such as Agenus, Merus and MorphoSys,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Any loss in value of our long term investments could adversely affect our financial position on the consolidated balance sheets and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regulations could adversely affect our results of operations, business and financial condition.</w:t>
      </w:r>
    </w:p>
    <w:p>
      <w:pPr>
        <w:spacing w:after="0" w:line="217" w:lineRule="exact"/>
        <w:rPr>
          <w:sz w:val="20"/>
          <w:szCs w:val="20"/>
          <w:color w:val="auto"/>
        </w:rPr>
      </w:pPr>
    </w:p>
    <w:p>
      <w:pPr>
        <w:jc w:val="both"/>
        <w:ind w:firstLine="636"/>
        <w:spacing w:after="0" w:line="299" w:lineRule="auto"/>
        <w:rPr>
          <w:sz w:val="20"/>
          <w:szCs w:val="20"/>
          <w:color w:val="auto"/>
        </w:rPr>
      </w:pPr>
      <w:r>
        <w:rPr>
          <w:rFonts w:ascii="Arial" w:cs="Arial" w:eastAsia="Arial" w:hAnsi="Arial"/>
          <w:sz w:val="15"/>
          <w:szCs w:val="15"/>
          <w:color w:val="auto"/>
        </w:rPr>
        <w:t xml:space="preserve">New tax laws or regulations could be enacted at any time, and existing tax laws or regulations could be interpreted, modified or applied in a manner that is adverse to us or our customers, which could adversely affect our results of operations, business and financial condition. For example, beginning in 2022, the Tax Cuts and Jobs Act of 2017 eliminated the option to deduct research and development expenditures for tax purposes in the year incurred and instead requires taxpayers to capitalize and subsequently amortize such expenditures over five years for research activities conducted in the United States and over 15 years for research activities conducted outside the United States. If the requirement to amortize research and development expenditures is not repealed or otherwise modified, it will continue to have an adverse effect on our tax liability, and the amount of that effect could be material. As another example, in August 2022, the Inflation Reduction Act of 2022 was enacted, which, among other things, includes a new 15% alternative minimum tax on the adjusted financial statement income of certain large corporations for tax years beginning after December 31, 2022. Furthermore, the enactment of some or all of the recommendations set forth or that may be forthcoming in the Organization for Economic Co-Operation and Development (OECD) project on “Base Erosion and Profit Shifting” (commonly known as BEPS 2.0) by tax authorities and economic blocs in the countries in which we operate, could unfavorably impact our effective tax rate. Broadly speaking, BEPS 2.0 would make fundamental changes to the international tax system, including with respect to the entitlement to tax global corporate profits and minimum global tax rates. For example, in December 2022, </w:t>
      </w:r>
      <w:r>
        <w:rPr>
          <w:rFonts w:ascii="Arial" w:cs="Arial" w:eastAsia="Arial" w:hAnsi="Arial"/>
          <w:sz w:val="15"/>
          <w:szCs w:val="15"/>
          <w:color w:val="222222"/>
        </w:rPr>
        <w:t>the EU member states agreed to implement in their domestic</w:t>
      </w:r>
      <w:r>
        <w:rPr>
          <w:rFonts w:ascii="Arial" w:cs="Arial" w:eastAsia="Arial" w:hAnsi="Arial"/>
          <w:sz w:val="15"/>
          <w:szCs w:val="15"/>
          <w:color w:val="auto"/>
        </w:rPr>
        <w:t xml:space="preserve"> </w:t>
      </w:r>
      <w:r>
        <w:rPr>
          <w:rFonts w:ascii="Arial" w:cs="Arial" w:eastAsia="Arial" w:hAnsi="Arial"/>
          <w:sz w:val="15"/>
          <w:szCs w:val="15"/>
          <w:color w:val="222222"/>
        </w:rPr>
        <w:t xml:space="preserve">tax laws a 15% global minimum tax on the profits of large multinational enterprises with a target effective date for fiscal years beginning on or after December 31, 2023. Although </w:t>
      </w:r>
      <w:r>
        <w:rPr>
          <w:rFonts w:ascii="Arial" w:cs="Arial" w:eastAsia="Arial" w:hAnsi="Arial"/>
          <w:sz w:val="15"/>
          <w:szCs w:val="15"/>
          <w:color w:val="000000"/>
        </w:rPr>
        <w:t>we continue to evaluate and assess the potential impact of the recent U.S. legislation and BEPS 2.0 on us, the minimum tax rules could</w:t>
      </w:r>
      <w:r>
        <w:rPr>
          <w:rFonts w:ascii="Arial" w:cs="Arial" w:eastAsia="Arial" w:hAnsi="Arial"/>
          <w:sz w:val="15"/>
          <w:szCs w:val="15"/>
          <w:color w:val="222222"/>
        </w:rPr>
        <w:t xml:space="preserve"> </w:t>
      </w:r>
      <w:r>
        <w:rPr>
          <w:rFonts w:ascii="Arial" w:cs="Arial" w:eastAsia="Arial" w:hAnsi="Arial"/>
          <w:sz w:val="15"/>
          <w:szCs w:val="15"/>
          <w:color w:val="000000"/>
        </w:rPr>
        <w:t>result in tax increases in both the United States and many foreign jurisdictions where we operate or have a presence. Any new tax legislation or initiatives could not only significantly increase our tax provision, cash tax liabilities, and effective tax rate, but could also significantly increase tax uncertainty due to differing interpretations and increased audit scrutiny.</w:t>
      </w:r>
    </w:p>
    <w:p>
      <w:pPr>
        <w:spacing w:after="0" w:line="378" w:lineRule="exact"/>
        <w:rPr>
          <w:sz w:val="20"/>
          <w:szCs w:val="20"/>
          <w:color w:val="auto"/>
        </w:rPr>
      </w:pPr>
    </w:p>
    <w:p>
      <w:pPr>
        <w:jc w:val="both"/>
        <w:spacing w:after="0" w:line="330" w:lineRule="auto"/>
        <w:rPr>
          <w:sz w:val="20"/>
          <w:szCs w:val="20"/>
          <w:color w:val="auto"/>
        </w:rPr>
      </w:pPr>
      <w:r>
        <w:rPr>
          <w:rFonts w:ascii="Arial" w:cs="Arial" w:eastAsia="Arial" w:hAnsi="Arial"/>
          <w:sz w:val="15"/>
          <w:szCs w:val="15"/>
          <w:b w:val="1"/>
          <w:bCs w:val="1"/>
          <w:i w:val="1"/>
          <w:iCs w:val="1"/>
          <w:color w:val="auto"/>
        </w:rPr>
        <w:t>We derive a substantial portion of our revenues from royalties, milestone payments and other payments under our collaboration agreements. 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spacing w:after="0" w:line="137" w:lineRule="exact"/>
        <w:rPr>
          <w:sz w:val="20"/>
          <w:szCs w:val="20"/>
          <w:color w:val="auto"/>
        </w:rPr>
      </w:pPr>
    </w:p>
    <w:p>
      <w:pPr>
        <w:jc w:val="both"/>
        <w:ind w:firstLine="636"/>
        <w:spacing w:after="0" w:line="303" w:lineRule="auto"/>
        <w:rPr>
          <w:sz w:val="20"/>
          <w:szCs w:val="20"/>
          <w:color w:val="auto"/>
        </w:rPr>
      </w:pPr>
      <w:r>
        <w:rPr>
          <w:rFonts w:ascii="Arial" w:cs="Arial" w:eastAsia="Arial" w:hAnsi="Arial"/>
          <w:sz w:val="15"/>
          <w:szCs w:val="15"/>
          <w:color w:val="auto"/>
        </w:rPr>
        <w:t>We derived a substantial portion of our revenues for the year ended December 31, 2022 and the three and nine months ended September 30, 2023 from JAKAVI and OLUMIANT product royalties and from milestone payments under our collaboration agreements.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a first line therapy, as discussed under “—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could affect potential future royalty and milestone and contract revenue.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INTELLECTUAL PROPERTY AND LEGAL MATTERS</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subject to arbitration, litigation and infringement claims, they could be costly and disrupt our drug discovery and development efforts.</w:t>
      </w:r>
    </w:p>
    <w:p>
      <w:pPr>
        <w:spacing w:after="0" w:line="252"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15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9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81" w:lineRule="exact"/>
        <w:rPr>
          <w:sz w:val="20"/>
          <w:szCs w:val="20"/>
          <w:color w:val="auto"/>
        </w:rPr>
      </w:pPr>
    </w:p>
    <w:p>
      <w:pPr>
        <w:ind w:left="960" w:hanging="318"/>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assert claims of infringement;</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enforce our patents or trademarks;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protect our trade secrets or know-how; or</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determine the enforceability, scope and validity of the proprietary rights of others.</w:t>
      </w:r>
    </w:p>
    <w:p>
      <w:pPr>
        <w:spacing w:after="0" w:line="217"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non-infringing technology or license technology on a timely basis or on reasonable terms, our business could be harmed.</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88" w:lineRule="exact"/>
        <w:rPr>
          <w:sz w:val="20"/>
          <w:szCs w:val="20"/>
          <w:color w:val="auto"/>
        </w:rPr>
      </w:pPr>
    </w:p>
    <w:p>
      <w:pPr>
        <w:jc w:val="both"/>
        <w:ind w:firstLine="636"/>
        <w:spacing w:after="0" w:line="302" w:lineRule="auto"/>
        <w:rPr>
          <w:sz w:val="20"/>
          <w:szCs w:val="20"/>
          <w:color w:val="auto"/>
        </w:rPr>
      </w:pPr>
      <w:r>
        <w:rPr>
          <w:rFonts w:ascii="Arial" w:cs="Arial" w:eastAsia="Arial" w:hAnsi="Arial"/>
          <w:sz w:val="15"/>
          <w:szCs w:val="15"/>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Products—Competition for our products could potentially harm our business and result in a decrease in our revenue,” a potential generic drug company competitor has challenged certain patents relating to JAKAFI.</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Additionally, when we do not control the prosecution, maintenance and enforcement of certain important intellectual property, such as a drug candidate in-licensed to us or subject to a collaboration with a third-party, the protection of the intellectual property rights may not be in our hands. If we do not control the intellectual property rights in-licensed to us with respect to a drug candidate and the entity that controls the intellectual property rights does not adequately protect those rights, our rights may be impaired, which may impact our ability to develop, market and commercialize the in-licensed drug candidate.</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means of protecting our proprietary rights may not be adequate, and our competitors may:</w:t>
      </w:r>
    </w:p>
    <w:p>
      <w:pPr>
        <w:spacing w:after="0" w:line="217" w:lineRule="exact"/>
        <w:rPr>
          <w:sz w:val="20"/>
          <w:szCs w:val="20"/>
          <w:color w:val="auto"/>
        </w:rPr>
      </w:pPr>
    </w:p>
    <w:p>
      <w:pPr>
        <w:ind w:left="960" w:hanging="318"/>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independently develop substantially equivalent proprietary information, products and techniques;</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otherwise gain access to our proprietary information; or</w:t>
      </w:r>
    </w:p>
    <w:p>
      <w:pPr>
        <w:spacing w:after="0" w:line="217" w:lineRule="exact"/>
        <w:rPr>
          <w:rFonts w:ascii="Arial" w:cs="Arial" w:eastAsia="Arial" w:hAnsi="Arial"/>
          <w:sz w:val="18"/>
          <w:szCs w:val="18"/>
          <w:color w:val="auto"/>
        </w:rPr>
      </w:pPr>
    </w:p>
    <w:p>
      <w:pPr>
        <w:ind w:left="960" w:hanging="318"/>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 around patents issued to us or our other intellectual property.</w:t>
      </w:r>
    </w:p>
    <w:p>
      <w:pPr>
        <w:spacing w:after="0" w:line="217"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7"/>
          <w:szCs w:val="17"/>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81"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The value of our patents depends, in part, on their duration. A shorter period of patent protection could lessen the value of our rights under any patents that we obtain and may decrease the revenues we derive from our patents. The United States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spacing w:after="0" w:line="146"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85" w:lineRule="exact"/>
        <w:rPr>
          <w:sz w:val="20"/>
          <w:szCs w:val="20"/>
          <w:color w:val="auto"/>
        </w:rPr>
      </w:pPr>
    </w:p>
    <w:p>
      <w:pPr>
        <w:jc w:val="both"/>
        <w:ind w:firstLine="636"/>
        <w:spacing w:after="0" w:line="309" w:lineRule="auto"/>
        <w:rPr>
          <w:sz w:val="20"/>
          <w:szCs w:val="20"/>
          <w:color w:val="auto"/>
        </w:rPr>
      </w:pPr>
      <w:r>
        <w:rPr>
          <w:rFonts w:ascii="Arial" w:cs="Arial" w:eastAsia="Arial" w:hAnsi="Arial"/>
          <w:sz w:val="15"/>
          <w:szCs w:val="15"/>
          <w:color w:val="auto"/>
        </w:rPr>
        <w:t>Other changes in the United States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81"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5"/>
          <w:szCs w:val="15"/>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INFORMATION TECHNOLOGY AND DATA PRIVACY</w:t>
      </w:r>
    </w:p>
    <w:p>
      <w:pPr>
        <w:spacing w:after="0" w:line="223"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Significant disruptions of information technology systems, breaches of data security, or unauthorized disclosures of personal information (including sensitive personal information) could adversely affect our business, and could subject us to liability or reputational damage.</w:t>
      </w:r>
    </w:p>
    <w:p>
      <w:pPr>
        <w:spacing w:after="0" w:line="157"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us potentially vulnerable to IT system breakdowns, malicious intrusion, and computer viruses, which may result in the impairment of our ability to operate our business effectively. In addition, having a portion of our employees work remotely can strain our information technology infrastructure, which may affect our ability to operate effectively, may make us more susceptible to communications disruptions, and expose us to greater cybersecurity risks.</w:t>
      </w:r>
    </w:p>
    <w:p>
      <w:pPr>
        <w:spacing w:after="0" w:line="196"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We are continuously evaluating and, where appropriate, enhancing our IT systems to address our planned growth, including to support our planned manufacturing operations. In particular, we are currently in the process of implementing a new enterprise resource planning system.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w:t>
      </w:r>
    </w:p>
    <w:p>
      <w:pPr>
        <w:spacing w:after="0" w:line="185" w:lineRule="exact"/>
        <w:rPr>
          <w:sz w:val="20"/>
          <w:szCs w:val="20"/>
          <w:color w:val="auto"/>
        </w:rPr>
      </w:pPr>
    </w:p>
    <w:p>
      <w:pPr>
        <w:jc w:val="both"/>
        <w:ind w:firstLine="636"/>
        <w:spacing w:after="0" w:line="309" w:lineRule="auto"/>
        <w:rPr>
          <w:sz w:val="20"/>
          <w:szCs w:val="20"/>
          <w:color w:val="auto"/>
        </w:rPr>
      </w:pPr>
      <w:r>
        <w:rPr>
          <w:rFonts w:ascii="Arial" w:cs="Arial" w:eastAsia="Arial" w:hAnsi="Arial"/>
          <w:sz w:val="15"/>
          <w:szCs w:val="15"/>
          <w:color w:val="auto"/>
        </w:rPr>
        <w:t>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of our employees, clinical trial patients, customers, business partners, and others, could lead to potential identity theft, or could lead to reputational harm. Data security breaches could also result in loss of clinical trial data or damage to the integrity of that data.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152"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HIPAA,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7"/>
          <w:szCs w:val="17"/>
          <w:color w:val="auto"/>
        </w:rPr>
        <w:t>In addition, many countries and jurisdictions in which we work globally have enacted and/or are proposing privacy and data protection laws and regulations which govern the collection and use of personal information and these may impose large fines and penalties for noncompliance (for example in the European Union, under the General Data Protection Regulation, potential fines for noncompliance are up to €20 million or 4% of the annual global revenue, whichever is greater). Further, some jurisdictions provide for private rights of action if data breaches result in the loss or theft of personal data. These laws and regulations may also require, as applicable, that we ensure individuals to whom personal information relates are informed about how their personal information is collected and processed; keep personal information confidential and secure; transfer personal information in a compliant manner; respond to requests from individuals about their personal information; and inform authorities and individuals as may be applicable about any data breaches. These obligations may increase our costs of doing business and the varying requirements among all countries and jurisdictions in which we work can complicate our compliance efforts.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use of social media and new technology could give rise to liability, breaches of data security, or reputational damage.</w:t>
      </w:r>
    </w:p>
    <w:p>
      <w:pPr>
        <w:spacing w:after="0" w:line="217"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color w:val="auto"/>
        </w:rPr>
        <w:t>We and our employees are increasingly utilizing social media tools as a means of communication both internally and externally. We are also leveraging new technology to enhance how we work daily. Despite our efforts to monitor evolving social media communication, our internal guidelines regarding the appropriate use of new technology and applicable and emerging rules, there is risk that the use of these tools by us or our employees may cause us to be found in violation of applicable requirements. In addition, our employees may knowingly or inadvertently make use of these tools in ways that may not comply with our policies or other legal or contractual requirements, which may give rise to liability, lead to the loss of trade secrets or other intellectual property, or result in public exposure of personal information of our employees, patients, customers, and others. Furthermore, negative posts or comments about us or our products in social media could seriously damage our reputation, brand image, and goodwill.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3" w:lineRule="exact"/>
        <w:rPr>
          <w:sz w:val="20"/>
          <w:szCs w:val="20"/>
          <w:color w:val="auto"/>
        </w:rPr>
      </w:pPr>
    </w:p>
    <w:p>
      <w:pPr>
        <w:jc w:val="both"/>
        <w:ind w:firstLine="642"/>
        <w:spacing w:after="0" w:line="255" w:lineRule="auto"/>
        <w:tabs>
          <w:tab w:leader="none" w:pos="8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the three months ended September 30, 2023, the following officers (as defined in Rule 16a-1(f) under the Securities Exchange Act of 1934) of our Company adopted a prearranged trading plan relating to our common stock and intended to satisfy the affirmative defense of Rule 10b5–1(c) under the Securities Exchange Act of 1934:</w:t>
      </w:r>
    </w:p>
    <w:p>
      <w:pPr>
        <w:spacing w:after="0" w:line="188"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Vijay Iyengar, our Executive Vice President, Global Medical Affairs, Product, and Partnership Strategy, adopted a trading plan on September 15, 2023 providing for the sale of up to an aggregate of 50,672 shares of our common stock until July 31, 2024.</w:t>
      </w:r>
    </w:p>
    <w:p>
      <w:pPr>
        <w:spacing w:after="0" w:line="18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Thomas Tray, our Vice President, Chief Accounting Officer, adopted a trading plan on September 12, 2023 providing for the sale of up to an aggregate of 1,277 shares of our common stock until September 12, 2024.</w:t>
      </w:r>
    </w:p>
    <w:p>
      <w:pPr>
        <w:spacing w:after="0" w:line="18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During the three months ended September 30, 2023, no director or officer (as defined in Rule 16a-1(f) under the Securities Exchange Act of 1934) of our Company adopted or terminated any contract, instruction or written plan for the purchase or sale of our securities, whether or not intended to satisfy the affirmative defense conditions of Rule 10b5-1(c), other than as set forth above.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716026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3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9"/>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3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60" w:type="dxa"/>
            <w:vAlign w:val="bottom"/>
            <w:tcBorders>
              <w:top w:val="single" w:sz="8" w:color="auto"/>
            </w:tcBorders>
          </w:tcPr>
          <w:p>
            <w:pPr>
              <w:ind w:left="20"/>
              <w:spacing w:after="0" w:line="198"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7"/>
                <w:szCs w:val="17"/>
                <w:color w:val="auto"/>
              </w:rPr>
            </w:pPr>
          </w:p>
        </w:tc>
        <w:tc>
          <w:tcPr>
            <w:tcW w:w="9780" w:type="dxa"/>
            <w:vAlign w:val="bottom"/>
            <w:tcBorders>
              <w:top w:val="single" w:sz="8" w:color="auto"/>
            </w:tcBorders>
            <w:gridSpan w:val="5"/>
          </w:tcPr>
          <w:p>
            <w:pPr>
              <w:spacing w:after="0" w:line="198" w:lineRule="exact"/>
              <w:rPr>
                <w:sz w:val="20"/>
                <w:szCs w:val="20"/>
                <w:color w:val="auto"/>
              </w:rPr>
            </w:pPr>
            <w:r>
              <w:rPr>
                <w:rFonts w:ascii="Arial" w:cs="Arial" w:eastAsia="Arial" w:hAnsi="Arial"/>
                <w:sz w:val="18"/>
                <w:szCs w:val="18"/>
                <w:color w:val="0000EE"/>
              </w:rPr>
              <w:t>Rule 13a-14(a) Certification of Chief Executive Officer.</w:t>
            </w:r>
          </w:p>
        </w:tc>
        <w:tc>
          <w:tcPr>
            <w:tcW w:w="0" w:type="dxa"/>
            <w:vAlign w:val="bottom"/>
          </w:tcPr>
          <w:p>
            <w:pPr>
              <w:spacing w:after="0"/>
              <w:rPr>
                <w:sz w:val="1"/>
                <w:szCs w:val="1"/>
                <w:color w:val="auto"/>
              </w:rPr>
            </w:pPr>
          </w:p>
        </w:tc>
      </w:tr>
      <w:tr>
        <w:trPr>
          <w:trHeight w:val="391"/>
        </w:trPr>
        <w:tc>
          <w:tcPr>
            <w:tcW w:w="136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39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w w:val="91"/>
              </w:rPr>
              <w:t>Rule 13a-14(a) Certification of Chief Financial Officer.</w:t>
            </w:r>
          </w:p>
        </w:tc>
        <w:tc>
          <w:tcPr>
            <w:tcW w:w="58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136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9780" w:type="dxa"/>
            <w:vAlign w:val="bottom"/>
            <w:gridSpan w:val="5"/>
          </w:tcPr>
          <w:p>
            <w:pPr>
              <w:spacing w:after="0"/>
              <w:rPr>
                <w:sz w:val="20"/>
                <w:szCs w:val="20"/>
                <w:color w:val="auto"/>
              </w:rPr>
            </w:pPr>
            <w:r>
              <w:rPr>
                <w:rFonts w:ascii="Arial" w:cs="Arial" w:eastAsia="Arial" w:hAnsi="Arial"/>
                <w:sz w:val="18"/>
                <w:szCs w:val="18"/>
                <w:color w:val="0000EE"/>
              </w:rPr>
              <w:t>Statement of the Chief Executive Officer under Section 906 of the Sarbanes-Oxley Act of 2002 (18 U.S.C. Section 1350).</w:t>
            </w:r>
          </w:p>
        </w:tc>
        <w:tc>
          <w:tcPr>
            <w:tcW w:w="0" w:type="dxa"/>
            <w:vAlign w:val="bottom"/>
          </w:tcPr>
          <w:p>
            <w:pPr>
              <w:spacing w:after="0"/>
              <w:rPr>
                <w:sz w:val="1"/>
                <w:szCs w:val="1"/>
                <w:color w:val="auto"/>
              </w:rPr>
            </w:pPr>
          </w:p>
        </w:tc>
      </w:tr>
      <w:tr>
        <w:trPr>
          <w:trHeight w:val="391"/>
        </w:trPr>
        <w:tc>
          <w:tcPr>
            <w:tcW w:w="136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858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EE"/>
                <w:w w:val="89"/>
              </w:rPr>
              <w:t>Statement of the Chief Financial Officer under Section 906 of the Sarbanes-Oxley Act of 2002 (18 U.S.C. Section 1350).</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8520" w:type="dxa"/>
            <w:vAlign w:val="bottom"/>
            <w:gridSpan w:val="3"/>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9780" w:type="dxa"/>
            <w:vAlign w:val="bottom"/>
            <w:gridSpan w:val="5"/>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8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978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978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978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9780" w:type="dxa"/>
            <w:vAlign w:val="bottom"/>
            <w:gridSpan w:val="5"/>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9780" w:type="dxa"/>
            <w:vAlign w:val="bottom"/>
            <w:gridSpan w:val="5"/>
          </w:tcPr>
          <w:p>
            <w:pPr>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460" w:hanging="1436"/>
        <w:spacing w:after="0"/>
        <w:tabs>
          <w:tab w:leader="none" w:pos="14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w:t>
      </w:r>
    </w:p>
    <w:p>
      <w:pPr>
        <w:spacing w:after="0" w:line="1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11" w:lineRule="exact"/>
        <w:rPr>
          <w:rFonts w:ascii="Arial" w:cs="Arial" w:eastAsia="Arial" w:hAnsi="Arial"/>
          <w:sz w:val="18"/>
          <w:szCs w:val="18"/>
          <w:color w:val="auto"/>
        </w:rPr>
      </w:pPr>
    </w:p>
    <w:p>
      <w:pPr>
        <w:jc w:val="both"/>
        <w:ind w:left="320" w:hanging="314"/>
        <w:spacing w:after="0" w:line="255" w:lineRule="auto"/>
        <w:tabs>
          <w:tab w:leader="none" w:pos="391"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640" w:type="dxa"/>
            <w:vAlign w:val="bottom"/>
          </w:tcPr>
          <w:p>
            <w:pPr>
              <w:spacing w:after="0"/>
              <w:rPr>
                <w:sz w:val="19"/>
                <w:szCs w:val="19"/>
                <w:color w:val="auto"/>
              </w:rPr>
            </w:pPr>
          </w:p>
        </w:tc>
        <w:tc>
          <w:tcPr>
            <w:tcW w:w="7580" w:type="dxa"/>
            <w:vAlign w:val="bottom"/>
            <w:gridSpan w:val="2"/>
          </w:tcPr>
          <w:p>
            <w:pPr>
              <w:ind w:left="2020"/>
              <w:spacing w:after="0"/>
              <w:rPr>
                <w:sz w:val="20"/>
                <w:szCs w:val="20"/>
                <w:color w:val="auto"/>
              </w:rPr>
            </w:pPr>
            <w:r>
              <w:rPr>
                <w:rFonts w:ascii="Arial" w:cs="Arial" w:eastAsia="Arial" w:hAnsi="Arial"/>
                <w:sz w:val="18"/>
                <w:szCs w:val="18"/>
                <w:color w:val="auto"/>
              </w:rPr>
              <w:t>INCYTE CORPORATION</w:t>
            </w:r>
          </w:p>
        </w:tc>
      </w:tr>
      <w:tr>
        <w:trPr>
          <w:trHeight w:val="418"/>
        </w:trPr>
        <w:tc>
          <w:tcPr>
            <w:tcW w:w="3640" w:type="dxa"/>
            <w:vAlign w:val="bottom"/>
          </w:tcPr>
          <w:p>
            <w:pPr>
              <w:spacing w:after="0"/>
              <w:rPr>
                <w:sz w:val="20"/>
                <w:szCs w:val="20"/>
                <w:color w:val="auto"/>
              </w:rPr>
            </w:pPr>
            <w:r>
              <w:rPr>
                <w:rFonts w:ascii="Arial" w:cs="Arial" w:eastAsia="Arial" w:hAnsi="Arial"/>
                <w:sz w:val="18"/>
                <w:szCs w:val="18"/>
                <w:color w:val="auto"/>
              </w:rPr>
              <w:t>Dated: October 31, 2023</w:t>
            </w:r>
          </w:p>
        </w:tc>
        <w:tc>
          <w:tcPr>
            <w:tcW w:w="2460" w:type="dxa"/>
            <w:vAlign w:val="bottom"/>
          </w:tcPr>
          <w:p>
            <w:pPr>
              <w:ind w:left="202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HERVÉ HOPPENOT</w:t>
            </w:r>
          </w:p>
        </w:tc>
      </w:tr>
      <w:tr>
        <w:trPr>
          <w:trHeight w:val="237"/>
        </w:trPr>
        <w:tc>
          <w:tcPr>
            <w:tcW w:w="36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Hervé Hoppenot</w:t>
            </w:r>
          </w:p>
        </w:tc>
      </w:tr>
      <w:tr>
        <w:trPr>
          <w:trHeight w:val="252"/>
        </w:trPr>
        <w:tc>
          <w:tcPr>
            <w:tcW w:w="36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52"/>
        </w:trPr>
        <w:tc>
          <w:tcPr>
            <w:tcW w:w="36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18"/>
        </w:trPr>
        <w:tc>
          <w:tcPr>
            <w:tcW w:w="3640" w:type="dxa"/>
            <w:vAlign w:val="bottom"/>
          </w:tcPr>
          <w:p>
            <w:pPr>
              <w:spacing w:after="0"/>
              <w:rPr>
                <w:sz w:val="20"/>
                <w:szCs w:val="20"/>
                <w:color w:val="auto"/>
              </w:rPr>
            </w:pPr>
            <w:r>
              <w:rPr>
                <w:rFonts w:ascii="Arial" w:cs="Arial" w:eastAsia="Arial" w:hAnsi="Arial"/>
                <w:sz w:val="18"/>
                <w:szCs w:val="18"/>
                <w:color w:val="auto"/>
              </w:rPr>
              <w:t>Dated: October 31, 2023</w:t>
            </w:r>
          </w:p>
        </w:tc>
        <w:tc>
          <w:tcPr>
            <w:tcW w:w="2460" w:type="dxa"/>
            <w:vAlign w:val="bottom"/>
          </w:tcPr>
          <w:p>
            <w:pPr>
              <w:ind w:left="202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CHRISTIANA STAMOULIS</w:t>
            </w:r>
          </w:p>
        </w:tc>
      </w:tr>
      <w:tr>
        <w:trPr>
          <w:trHeight w:val="238"/>
        </w:trPr>
        <w:tc>
          <w:tcPr>
            <w:tcW w:w="36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Christiana Stamoulis</w:t>
            </w:r>
          </w:p>
        </w:tc>
      </w:tr>
      <w:tr>
        <w:trPr>
          <w:trHeight w:val="252"/>
        </w:trPr>
        <w:tc>
          <w:tcPr>
            <w:tcW w:w="36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52"/>
        </w:trPr>
        <w:tc>
          <w:tcPr>
            <w:tcW w:w="36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901"/>
        </w:trPr>
        <w:tc>
          <w:tcPr>
            <w:tcW w:w="3640" w:type="dxa"/>
            <w:vAlign w:val="bottom"/>
          </w:tcPr>
          <w:p>
            <w:pPr>
              <w:spacing w:after="0"/>
              <w:rPr>
                <w:sz w:val="24"/>
                <w:szCs w:val="24"/>
                <w:color w:val="auto"/>
              </w:rPr>
            </w:pPr>
          </w:p>
        </w:tc>
        <w:tc>
          <w:tcPr>
            <w:tcW w:w="2460" w:type="dxa"/>
            <w:vAlign w:val="bottom"/>
          </w:tcPr>
          <w:p>
            <w:pPr>
              <w:jc w:val="right"/>
              <w:ind w:right="312"/>
              <w:spacing w:after="0"/>
              <w:rPr>
                <w:sz w:val="20"/>
                <w:szCs w:val="20"/>
                <w:color w:val="auto"/>
              </w:rPr>
            </w:pPr>
            <w:r>
              <w:rPr>
                <w:rFonts w:ascii="Arial" w:cs="Arial" w:eastAsia="Arial" w:hAnsi="Arial"/>
                <w:sz w:val="18"/>
                <w:szCs w:val="18"/>
                <w:color w:val="auto"/>
              </w:rPr>
              <w:t>84</w:t>
            </w:r>
          </w:p>
        </w:tc>
        <w:tc>
          <w:tcPr>
            <w:tcW w:w="5120" w:type="dxa"/>
            <w:vAlign w:val="bottom"/>
          </w:tcPr>
          <w:p>
            <w:pPr>
              <w:spacing w:after="0"/>
              <w:rPr>
                <w:sz w:val="24"/>
                <w:szCs w:val="24"/>
                <w:color w:val="auto"/>
              </w:rPr>
            </w:pPr>
          </w:p>
        </w:tc>
      </w:tr>
    </w:tbl>
    <w:p>
      <w:pPr>
        <w:sectPr>
          <w:pgSz w:w="11900" w:h="16838" w:orient="portrait"/>
          <w:cols w:equalWidth="0" w:num="1">
            <w:col w:w="11240"/>
          </w:cols>
          <w:pgMar w:left="320" w:top="127"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Hervé Hoppenot, certify that:</w:t>
      </w:r>
    </w:p>
    <w:p>
      <w:pPr>
        <w:spacing w:after="0" w:line="217" w:lineRule="exact"/>
        <w:rPr>
          <w:sz w:val="20"/>
          <w:szCs w:val="20"/>
          <w:color w:val="auto"/>
        </w:rPr>
      </w:pPr>
    </w:p>
    <w:p>
      <w:pPr>
        <w:ind w:left="640" w:hanging="634"/>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Incyte Corporation;</w:t>
      </w:r>
    </w:p>
    <w:p>
      <w:pPr>
        <w:spacing w:after="0" w:line="217" w:lineRule="exact"/>
        <w:rPr>
          <w:rFonts w:ascii="Arial" w:cs="Arial" w:eastAsia="Arial" w:hAnsi="Arial"/>
          <w:sz w:val="18"/>
          <w:szCs w:val="18"/>
          <w:color w:val="auto"/>
        </w:rPr>
      </w:pPr>
    </w:p>
    <w:p>
      <w:pPr>
        <w:jc w:val="both"/>
        <w:ind w:left="640" w:right="320" w:hanging="634"/>
        <w:spacing w:after="0" w:line="255"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640" w:right="280" w:hanging="634"/>
        <w:spacing w:after="0" w:line="294"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jc w:val="both"/>
        <w:ind w:left="640" w:right="320" w:hanging="634"/>
        <w:spacing w:after="0" w:line="255"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ind w:left="1280" w:right="140" w:hanging="638"/>
        <w:spacing w:after="0" w:line="255" w:lineRule="auto"/>
        <w:tabs>
          <w:tab w:leader="none" w:pos="1271"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left="1280" w:right="260" w:hanging="638"/>
        <w:spacing w:after="0" w:line="255" w:lineRule="auto"/>
        <w:tabs>
          <w:tab w:leader="none" w:pos="126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jc w:val="both"/>
        <w:ind w:left="1280" w:right="420" w:hanging="638"/>
        <w:spacing w:after="0" w:line="365" w:lineRule="auto"/>
        <w:tabs>
          <w:tab w:leader="none" w:pos="1271" w:val="left"/>
        </w:tabs>
        <w:numPr>
          <w:ilvl w:val="1"/>
          <w:numId w:val="3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5"/>
          <w:szCs w:val="15"/>
          <w:color w:val="auto"/>
        </w:rPr>
      </w:pPr>
    </w:p>
    <w:p>
      <w:pPr>
        <w:ind w:left="1280" w:right="120" w:hanging="638"/>
        <w:spacing w:after="0" w:line="255" w:lineRule="auto"/>
        <w:tabs>
          <w:tab w:leader="none" w:pos="126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640" w:right="20" w:hanging="634"/>
        <w:spacing w:after="0" w:line="365" w:lineRule="auto"/>
        <w:tabs>
          <w:tab w:leader="none" w:pos="6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5"/>
          <w:szCs w:val="15"/>
          <w:color w:val="auto"/>
        </w:rPr>
      </w:pPr>
    </w:p>
    <w:p>
      <w:pPr>
        <w:ind w:left="1280" w:right="660" w:hanging="638"/>
        <w:spacing w:after="0" w:line="365" w:lineRule="auto"/>
        <w:tabs>
          <w:tab w:leader="none" w:pos="1271" w:val="left"/>
        </w:tabs>
        <w:numPr>
          <w:ilvl w:val="1"/>
          <w:numId w:val="3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Arial" w:cs="Arial" w:eastAsia="Arial" w:hAnsi="Arial"/>
          <w:sz w:val="15"/>
          <w:szCs w:val="15"/>
          <w:color w:val="auto"/>
        </w:rPr>
      </w:pPr>
    </w:p>
    <w:p>
      <w:pPr>
        <w:ind w:left="1280" w:right="360" w:hanging="638"/>
        <w:spacing w:after="0" w:line="264" w:lineRule="auto"/>
        <w:tabs>
          <w:tab w:leader="none" w:pos="126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74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2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Hervé Hoppenot</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24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October 31, 2023</w:t>
      </w:r>
    </w:p>
    <w:p>
      <w:pPr>
        <w:sectPr>
          <w:pgSz w:w="11900" w:h="16838" w:orient="portrait"/>
          <w:cols w:equalWidth="0" w:num="1">
            <w:col w:w="11240"/>
          </w:cols>
          <w:pgMar w:left="320" w:top="1128"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Christiana Stamoulis, certify that:</w:t>
      </w:r>
    </w:p>
    <w:p>
      <w:pPr>
        <w:spacing w:after="0" w:line="217" w:lineRule="exact"/>
        <w:rPr>
          <w:sz w:val="20"/>
          <w:szCs w:val="20"/>
          <w:color w:val="auto"/>
        </w:rPr>
      </w:pPr>
    </w:p>
    <w:p>
      <w:pPr>
        <w:ind w:left="640" w:hanging="634"/>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Incyte Corporation;</w:t>
      </w:r>
    </w:p>
    <w:p>
      <w:pPr>
        <w:spacing w:after="0" w:line="217" w:lineRule="exact"/>
        <w:rPr>
          <w:rFonts w:ascii="Arial" w:cs="Arial" w:eastAsia="Arial" w:hAnsi="Arial"/>
          <w:sz w:val="18"/>
          <w:szCs w:val="18"/>
          <w:color w:val="auto"/>
        </w:rPr>
      </w:pPr>
    </w:p>
    <w:p>
      <w:pPr>
        <w:jc w:val="both"/>
        <w:ind w:left="640" w:right="320" w:hanging="634"/>
        <w:spacing w:after="0" w:line="255"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640" w:right="280" w:hanging="634"/>
        <w:spacing w:after="0" w:line="294"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jc w:val="both"/>
        <w:ind w:left="640" w:right="320" w:hanging="634"/>
        <w:spacing w:after="0" w:line="255"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ind w:left="1280" w:right="140" w:hanging="638"/>
        <w:spacing w:after="0" w:line="255" w:lineRule="auto"/>
        <w:tabs>
          <w:tab w:leader="none" w:pos="1271"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left="1280" w:right="260" w:hanging="638"/>
        <w:spacing w:after="0" w:line="255" w:lineRule="auto"/>
        <w:tabs>
          <w:tab w:leader="none" w:pos="12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jc w:val="both"/>
        <w:ind w:left="1280" w:right="420" w:hanging="638"/>
        <w:spacing w:after="0" w:line="365" w:lineRule="auto"/>
        <w:tabs>
          <w:tab w:leader="none" w:pos="1271" w:val="left"/>
        </w:tabs>
        <w:numPr>
          <w:ilvl w:val="1"/>
          <w:numId w:val="3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5"/>
          <w:szCs w:val="15"/>
          <w:color w:val="auto"/>
        </w:rPr>
      </w:pPr>
    </w:p>
    <w:p>
      <w:pPr>
        <w:ind w:left="1280" w:right="120" w:hanging="638"/>
        <w:spacing w:after="0" w:line="255" w:lineRule="auto"/>
        <w:tabs>
          <w:tab w:leader="none" w:pos="12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640" w:right="20" w:hanging="634"/>
        <w:spacing w:after="0" w:line="365" w:lineRule="auto"/>
        <w:tabs>
          <w:tab w:leader="none" w:pos="6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5"/>
          <w:szCs w:val="15"/>
          <w:color w:val="auto"/>
        </w:rPr>
      </w:pPr>
    </w:p>
    <w:p>
      <w:pPr>
        <w:ind w:left="1280" w:right="660" w:hanging="638"/>
        <w:spacing w:after="0" w:line="365" w:lineRule="auto"/>
        <w:tabs>
          <w:tab w:leader="none" w:pos="1271" w:val="left"/>
        </w:tabs>
        <w:numPr>
          <w:ilvl w:val="1"/>
          <w:numId w:val="3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Arial" w:cs="Arial" w:eastAsia="Arial" w:hAnsi="Arial"/>
          <w:sz w:val="15"/>
          <w:szCs w:val="15"/>
          <w:color w:val="auto"/>
        </w:rPr>
      </w:pPr>
    </w:p>
    <w:p>
      <w:pPr>
        <w:ind w:left="1280" w:right="360" w:hanging="638"/>
        <w:spacing w:after="0" w:line="264" w:lineRule="auto"/>
        <w:tabs>
          <w:tab w:leader="none" w:pos="12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10795</wp:posOffset>
            </wp:positionV>
            <wp:extent cx="33737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73755" cy="8255"/>
                    </a:xfrm>
                    <a:prstGeom prst="rect">
                      <a:avLst/>
                    </a:prstGeom>
                    <a:noFill/>
                  </pic:spPr>
                </pic:pic>
              </a:graphicData>
            </a:graphic>
          </wp:anchor>
        </w:drawing>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Christiana Stamoulis</w:t>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October 31, 2023</w:t>
      </w:r>
    </w:p>
    <w:p>
      <w:pPr>
        <w:sectPr>
          <w:pgSz w:w="11900" w:h="16838" w:orient="portrait"/>
          <w:cols w:equalWidth="0" w:num="1">
            <w:col w:w="11240"/>
          </w:cols>
          <w:pgMar w:left="320" w:top="1128"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06" w:lineRule="exact"/>
        <w:rPr>
          <w:sz w:val="20"/>
          <w:szCs w:val="20"/>
          <w:color w:val="auto"/>
        </w:rPr>
      </w:pPr>
    </w:p>
    <w:p>
      <w:pPr>
        <w:ind w:right="20" w:firstLine="636"/>
        <w:spacing w:after="0" w:line="277" w:lineRule="auto"/>
        <w:rPr>
          <w:sz w:val="20"/>
          <w:szCs w:val="20"/>
          <w:color w:val="auto"/>
        </w:rPr>
      </w:pPr>
      <w:r>
        <w:rPr>
          <w:rFonts w:ascii="Arial" w:cs="Arial" w:eastAsia="Arial" w:hAnsi="Arial"/>
          <w:sz w:val="17"/>
          <w:szCs w:val="17"/>
          <w:color w:val="auto"/>
        </w:rPr>
        <w:t>With reference to the Quarterly Report of Incyte Corporation (the “Company”) on Form 10-Q for the quarter ended September 30, 2023, as filed with the Securities and Exchange Commission on the date hereof (the “Report”), I, Hervé Hoppenot, Chief Executive Officer of the Company, certify, for the purposes of 18 U.S.C. § 1350, as adopted pursuant to § 906 of the Sarbanes-Oxley Act of 2002, that, to my knowledge:</w:t>
      </w:r>
    </w:p>
    <w:p>
      <w:pPr>
        <w:spacing w:after="0" w:line="171" w:lineRule="exact"/>
        <w:rPr>
          <w:sz w:val="20"/>
          <w:szCs w:val="20"/>
          <w:color w:val="auto"/>
        </w:rPr>
      </w:pPr>
    </w:p>
    <w:p>
      <w:pPr>
        <w:ind w:left="320" w:hanging="314"/>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7" w:lineRule="exact"/>
        <w:rPr>
          <w:rFonts w:ascii="Arial" w:cs="Arial" w:eastAsia="Arial" w:hAnsi="Arial"/>
          <w:sz w:val="18"/>
          <w:szCs w:val="18"/>
          <w:color w:val="auto"/>
        </w:rPr>
      </w:pPr>
    </w:p>
    <w:p>
      <w:pPr>
        <w:ind w:left="5640" w:right="740" w:hanging="5634"/>
        <w:spacing w:after="0" w:line="572" w:lineRule="auto"/>
        <w:tabs>
          <w:tab w:leader="none" w:pos="31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-163830</wp:posOffset>
            </wp:positionV>
            <wp:extent cx="35674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Hervé Hoppenot</w:t>
      </w:r>
    </w:p>
    <w:p>
      <w:pPr>
        <w:spacing w:after="0" w:line="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October 31, 2023</w:t>
      </w:r>
    </w:p>
    <w:p>
      <w:pPr>
        <w:sectPr>
          <w:pgSz w:w="11900" w:h="16838" w:orient="portrait"/>
          <w:cols w:equalWidth="0" w:num="1">
            <w:col w:w="11240"/>
          </w:cols>
          <w:pgMar w:left="320" w:top="1128"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06" w:lineRule="exact"/>
        <w:rPr>
          <w:sz w:val="20"/>
          <w:szCs w:val="20"/>
          <w:color w:val="auto"/>
        </w:rPr>
      </w:pPr>
    </w:p>
    <w:p>
      <w:pPr>
        <w:ind w:right="20" w:firstLine="636"/>
        <w:spacing w:after="0" w:line="277" w:lineRule="auto"/>
        <w:rPr>
          <w:sz w:val="20"/>
          <w:szCs w:val="20"/>
          <w:color w:val="auto"/>
        </w:rPr>
      </w:pPr>
      <w:r>
        <w:rPr>
          <w:rFonts w:ascii="Arial" w:cs="Arial" w:eastAsia="Arial" w:hAnsi="Arial"/>
          <w:sz w:val="17"/>
          <w:szCs w:val="17"/>
          <w:color w:val="auto"/>
        </w:rPr>
        <w:t>With reference to the Quarterly Report of Incyte Corporation (the “Company”) on Form 10-Q for the quarter ended September 30, 2023, as filed with the Securities and Exchange Commission on the date hereof (the “Report”), I, Christiana Stamoulis, Chief Financial Officer of the Company, certify, for the purposes of 18 U.S.C. § 1350, as adopted pursuant to § 906 of the Sarbanes-Oxley Act of 2002, that, to my knowledge:</w:t>
      </w:r>
    </w:p>
    <w:p>
      <w:pPr>
        <w:spacing w:after="0" w:line="171" w:lineRule="exact"/>
        <w:rPr>
          <w:sz w:val="20"/>
          <w:szCs w:val="20"/>
          <w:color w:val="auto"/>
        </w:rPr>
      </w:pPr>
    </w:p>
    <w:p>
      <w:pPr>
        <w:ind w:left="320" w:hanging="314"/>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7" w:lineRule="exact"/>
        <w:rPr>
          <w:rFonts w:ascii="Arial" w:cs="Arial" w:eastAsia="Arial" w:hAnsi="Arial"/>
          <w:sz w:val="18"/>
          <w:szCs w:val="18"/>
          <w:color w:val="auto"/>
        </w:rPr>
      </w:pPr>
    </w:p>
    <w:p>
      <w:pPr>
        <w:ind w:left="5640" w:right="740" w:hanging="5634"/>
        <w:spacing w:after="0" w:line="572" w:lineRule="auto"/>
        <w:tabs>
          <w:tab w:leader="none" w:pos="31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-163830</wp:posOffset>
            </wp:positionV>
            <wp:extent cx="35674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Christiana Stamoulis</w:t>
      </w:r>
    </w:p>
    <w:p>
      <w:pPr>
        <w:spacing w:after="0" w:line="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October 31, 2023</w:t>
      </w:r>
    </w:p>
    <w:sectPr>
      <w:pgSz w:w="11900" w:h="16838" w:orient="portrait"/>
      <w:cols w:equalWidth="0" w:num="1">
        <w:col w:w="11240"/>
      </w:cols>
      <w:pgMar w:left="320" w:top="11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o"/>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2"/>
    </w:lvl>
  </w:abstractNum>
  <w:abstractNum w:abstractNumId="11">
    <w:nsid w:val="8EDBDAB"/>
    <w:multiLevelType w:val="hybridMultilevel"/>
    <w:lvl w:ilvl="0">
      <w:lvlJc w:val="left"/>
      <w:lvlText w:val="%1)"/>
      <w:numFmt w:val="decimal"/>
      <w:start w:val="2"/>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lowerLetter"/>
      <w:start w:val="3"/>
    </w:lvl>
  </w:abstractNum>
  <w:abstractNum w:abstractNumId="31">
    <w:nsid w:val="419AC241"/>
    <w:multiLevelType w:val="hybridMultilevel"/>
    <w:lvl w:ilvl="0">
      <w:lvlJc w:val="left"/>
      <w:lvlText w:val="*"/>
      <w:numFmt w:val="bullet"/>
      <w:start w:val="1"/>
    </w:lvl>
    <w:lvl w:ilvl="1">
      <w:lvlJc w:val="left"/>
      <w:lvlText w:val="%2"/>
      <w:numFmt w:val="decimal"/>
      <w:start w:val="104"/>
    </w:lvl>
  </w:abstractNum>
  <w:abstractNum w:abstractNumId="32">
    <w:nsid w:val="5577F8E1"/>
    <w:multiLevelType w:val="hybridMultilevel"/>
    <w:lvl w:ilvl="0">
      <w:lvlJc w:val="left"/>
      <w:lvlText w:val="**"/>
      <w:numFmt w:val="bullet"/>
      <w:start w:val="1"/>
    </w:lvl>
    <w:lvl w:ilvl="1">
      <w:lvlJc w:val="left"/>
      <w:lvlText w:val="%2"/>
      <w:numFmt w:val="decimal"/>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2023-10-31T15:20:26Z</dcterms:created>
  <dcterms:modified xsi:type="dcterms:W3CDTF">2023-10-31T15:20:26Z</dcterms:modified>
</cp:coreProperties>
</file>