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379730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422275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left="340"/>
        <w:spacing w:after="0"/>
        <w:rPr>
          <w:sz w:val="20"/>
          <w:szCs w:val="20"/>
          <w:color w:val="auto"/>
        </w:rPr>
      </w:pPr>
      <w:r>
        <w:rPr>
          <w:rFonts w:ascii="Arial" w:cs="Arial" w:eastAsia="Arial" w:hAnsi="Arial"/>
          <w:sz w:val="13"/>
          <w:szCs w:val="13"/>
          <w:b w:val="1"/>
          <w:bCs w:val="1"/>
          <w:color w:val="auto"/>
        </w:rPr>
        <w:t>(mark one)</w:t>
      </w:r>
    </w:p>
    <w:p>
      <w:pPr>
        <w:spacing w:after="0" w:line="23" w:lineRule="exact"/>
        <w:rPr>
          <w:sz w:val="24"/>
          <w:szCs w:val="24"/>
          <w:color w:val="auto"/>
        </w:rPr>
      </w:pPr>
    </w:p>
    <w:p>
      <w:pPr>
        <w:jc w:val="center"/>
        <w:ind w:left="3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33" w:lineRule="exact"/>
        <w:rPr>
          <w:sz w:val="24"/>
          <w:szCs w:val="24"/>
          <w:color w:val="auto"/>
        </w:rPr>
      </w:pPr>
    </w:p>
    <w:p>
      <w:pPr>
        <w:jc w:val="center"/>
        <w:ind w:left="3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440"/>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1440"/>
        <w:spacing w:after="0"/>
        <w:rPr>
          <w:sz w:val="20"/>
          <w:szCs w:val="20"/>
          <w:color w:val="auto"/>
        </w:rPr>
      </w:pPr>
      <w:r>
        <w:rPr>
          <w:rFonts w:ascii="Arial" w:cs="Arial" w:eastAsia="Arial" w:hAnsi="Arial"/>
          <w:sz w:val="25"/>
          <w:szCs w:val="25"/>
          <w:b w:val="1"/>
          <w:bCs w:val="1"/>
          <w:color w:val="auto"/>
        </w:rPr>
        <w:t>SECURITIES AND EXCHANGE COMMISSION</w:t>
      </w:r>
    </w:p>
    <w:p>
      <w:pPr>
        <w:ind w:left="2940"/>
        <w:spacing w:after="0"/>
        <w:rPr>
          <w:sz w:val="20"/>
          <w:szCs w:val="20"/>
          <w:color w:val="auto"/>
        </w:rPr>
      </w:pPr>
      <w:r>
        <w:rPr>
          <w:rFonts w:ascii="Arial" w:cs="Arial" w:eastAsia="Arial" w:hAnsi="Arial"/>
          <w:sz w:val="14"/>
          <w:szCs w:val="14"/>
          <w:b w:val="1"/>
          <w:bCs w:val="1"/>
          <w:color w:val="auto"/>
        </w:rPr>
        <w:t>Washington, D.C. 20549</w:t>
      </w:r>
    </w:p>
    <w:p>
      <w:pPr>
        <w:spacing w:after="0" w:line="79"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FORM 10-K</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36"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4"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jc w:val="center"/>
        <w:ind w:right="14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3" w:lineRule="exact"/>
        <w:rPr>
          <w:sz w:val="24"/>
          <w:szCs w:val="24"/>
          <w:color w:val="auto"/>
        </w:rPr>
      </w:pPr>
    </w:p>
    <w:p>
      <w:pPr>
        <w:ind w:left="1840"/>
        <w:spacing w:after="0"/>
        <w:tabs>
          <w:tab w:leader="none" w:pos="46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Commission File Number: 001-12400</w:t>
      </w:r>
    </w:p>
    <w:p>
      <w:pPr>
        <w:spacing w:after="0" w:line="82" w:lineRule="exact"/>
        <w:rPr>
          <w:sz w:val="24"/>
          <w:szCs w:val="24"/>
          <w:color w:val="auto"/>
        </w:rPr>
      </w:pPr>
    </w:p>
    <w:p>
      <w:pPr>
        <w:sectPr>
          <w:pgSz w:w="11900" w:h="16838" w:orient="portrait"/>
          <w:cols w:equalWidth="0" w:num="2">
            <w:col w:w="1020" w:space="400"/>
            <w:col w:w="8800"/>
          </w:cols>
          <w:pgMar w:left="840" w:top="665" w:right="839" w:bottom="1440" w:gutter="0" w:footer="0" w:header="0"/>
          <w:type w:val="continuous"/>
        </w:sectPr>
      </w:pPr>
    </w:p>
    <w:tbl>
      <w:tblPr>
        <w:tblLayout w:type="fixed"/>
        <w:tblInd w:w="1480" w:type="dxa"/>
        <w:tblCellMar>
          <w:top w:w="0" w:type="dxa"/>
          <w:left w:w="0" w:type="dxa"/>
          <w:bottom w:w="0" w:type="dxa"/>
          <w:right w:w="0" w:type="dxa"/>
        </w:tblCellMar>
      </w:tblPr>
      <w:tr>
        <w:trPr>
          <w:trHeight w:val="301"/>
        </w:trPr>
        <w:tc>
          <w:tcPr>
            <w:tcW w:w="5380" w:type="dxa"/>
            <w:vAlign w:val="bottom"/>
          </w:tcPr>
          <w:p>
            <w:pPr>
              <w:ind w:left="2160"/>
              <w:spacing w:after="0"/>
              <w:rPr>
                <w:sz w:val="20"/>
                <w:szCs w:val="20"/>
                <w:color w:val="auto"/>
              </w:rPr>
            </w:pPr>
            <w:r>
              <w:rPr>
                <w:rFonts w:ascii="Arial" w:cs="Arial" w:eastAsia="Arial" w:hAnsi="Arial"/>
                <w:sz w:val="25"/>
                <w:szCs w:val="25"/>
                <w:b w:val="1"/>
                <w:bCs w:val="1"/>
                <w:color w:val="auto"/>
              </w:rPr>
              <w:t>INCYTE CORPORATION</w:t>
            </w:r>
          </w:p>
        </w:tc>
        <w:tc>
          <w:tcPr>
            <w:tcW w:w="1340" w:type="dxa"/>
            <w:vAlign w:val="bottom"/>
          </w:tcPr>
          <w:p>
            <w:pPr>
              <w:spacing w:after="0"/>
              <w:rPr>
                <w:sz w:val="24"/>
                <w:szCs w:val="24"/>
                <w:color w:val="auto"/>
              </w:rPr>
            </w:pPr>
          </w:p>
        </w:tc>
      </w:tr>
      <w:tr>
        <w:trPr>
          <w:trHeight w:val="182"/>
        </w:trPr>
        <w:tc>
          <w:tcPr>
            <w:tcW w:w="5380" w:type="dxa"/>
            <w:vAlign w:val="bottom"/>
          </w:tcPr>
          <w:p>
            <w:pPr>
              <w:ind w:left="2140"/>
              <w:spacing w:after="0"/>
              <w:rPr>
                <w:sz w:val="20"/>
                <w:szCs w:val="20"/>
                <w:color w:val="auto"/>
              </w:rPr>
            </w:pPr>
            <w:r>
              <w:rPr>
                <w:rFonts w:ascii="Arial" w:cs="Arial" w:eastAsia="Arial" w:hAnsi="Arial"/>
                <w:sz w:val="14"/>
                <w:szCs w:val="14"/>
                <w:color w:val="auto"/>
              </w:rPr>
              <w:t>(Exact name of registrant as specified in its charter)</w:t>
            </w:r>
          </w:p>
        </w:tc>
        <w:tc>
          <w:tcPr>
            <w:tcW w:w="1340" w:type="dxa"/>
            <w:vAlign w:val="bottom"/>
          </w:tcPr>
          <w:p>
            <w:pPr>
              <w:spacing w:after="0"/>
              <w:rPr>
                <w:sz w:val="15"/>
                <w:szCs w:val="15"/>
                <w:color w:val="auto"/>
              </w:rPr>
            </w:pPr>
          </w:p>
        </w:tc>
      </w:tr>
      <w:tr>
        <w:trPr>
          <w:trHeight w:val="209"/>
        </w:trPr>
        <w:tc>
          <w:tcPr>
            <w:tcW w:w="5380" w:type="dxa"/>
            <w:vAlign w:val="bottom"/>
          </w:tcPr>
          <w:p>
            <w:pPr>
              <w:jc w:val="center"/>
              <w:ind w:right="3161"/>
              <w:spacing w:after="0"/>
              <w:rPr>
                <w:sz w:val="20"/>
                <w:szCs w:val="20"/>
                <w:color w:val="auto"/>
              </w:rPr>
            </w:pPr>
            <w:r>
              <w:rPr>
                <w:rFonts w:ascii="Arial" w:cs="Arial" w:eastAsia="Arial" w:hAnsi="Arial"/>
                <w:sz w:val="14"/>
                <w:szCs w:val="14"/>
                <w:b w:val="1"/>
                <w:bCs w:val="1"/>
                <w:color w:val="auto"/>
                <w:w w:val="94"/>
              </w:rPr>
              <w:t>Delaware</w:t>
            </w:r>
          </w:p>
        </w:tc>
        <w:tc>
          <w:tcPr>
            <w:tcW w:w="13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94-3136539</w:t>
            </w:r>
          </w:p>
        </w:tc>
      </w:tr>
      <w:tr>
        <w:trPr>
          <w:trHeight w:val="149"/>
        </w:trPr>
        <w:tc>
          <w:tcPr>
            <w:tcW w:w="5380" w:type="dxa"/>
            <w:vAlign w:val="bottom"/>
          </w:tcPr>
          <w:p>
            <w:pPr>
              <w:jc w:val="center"/>
              <w:ind w:right="2981"/>
              <w:spacing w:after="0" w:line="149" w:lineRule="exact"/>
              <w:rPr>
                <w:sz w:val="20"/>
                <w:szCs w:val="20"/>
                <w:color w:val="auto"/>
              </w:rPr>
            </w:pPr>
            <w:r>
              <w:rPr>
                <w:rFonts w:ascii="Arial" w:cs="Arial" w:eastAsia="Arial" w:hAnsi="Arial"/>
                <w:sz w:val="14"/>
                <w:szCs w:val="14"/>
                <w:color w:val="auto"/>
                <w:w w:val="95"/>
              </w:rPr>
              <w:t>(State of other jurisdiction</w:t>
            </w: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color w:val="auto"/>
                <w:w w:val="96"/>
              </w:rPr>
              <w:t>(IRS Employer</w:t>
            </w:r>
          </w:p>
        </w:tc>
      </w:tr>
      <w:tr>
        <w:trPr>
          <w:trHeight w:val="144"/>
        </w:trPr>
        <w:tc>
          <w:tcPr>
            <w:tcW w:w="5380" w:type="dxa"/>
            <w:vAlign w:val="bottom"/>
          </w:tcPr>
          <w:p>
            <w:pPr>
              <w:jc w:val="center"/>
              <w:ind w:right="2981"/>
              <w:spacing w:after="0" w:line="145" w:lineRule="exact"/>
              <w:rPr>
                <w:sz w:val="20"/>
                <w:szCs w:val="20"/>
                <w:color w:val="auto"/>
              </w:rPr>
            </w:pPr>
            <w:r>
              <w:rPr>
                <w:rFonts w:ascii="Arial" w:cs="Arial" w:eastAsia="Arial" w:hAnsi="Arial"/>
                <w:sz w:val="14"/>
                <w:szCs w:val="14"/>
                <w:color w:val="auto"/>
                <w:w w:val="95"/>
              </w:rPr>
              <w:t>of incorporation or organization)</w:t>
            </w:r>
          </w:p>
        </w:tc>
        <w:tc>
          <w:tcPr>
            <w:tcW w:w="1340" w:type="dxa"/>
            <w:vAlign w:val="bottom"/>
          </w:tcPr>
          <w:p>
            <w:pPr>
              <w:jc w:val="center"/>
              <w:ind w:left="188"/>
              <w:spacing w:after="0" w:line="145" w:lineRule="exact"/>
              <w:rPr>
                <w:sz w:val="20"/>
                <w:szCs w:val="20"/>
                <w:color w:val="auto"/>
              </w:rPr>
            </w:pPr>
            <w:r>
              <w:rPr>
                <w:rFonts w:ascii="Arial" w:cs="Arial" w:eastAsia="Arial" w:hAnsi="Arial"/>
                <w:sz w:val="14"/>
                <w:szCs w:val="14"/>
                <w:color w:val="auto"/>
                <w:w w:val="99"/>
              </w:rPr>
              <w:t>Identification No.)</w:t>
            </w:r>
          </w:p>
        </w:tc>
      </w:tr>
      <w:tr>
        <w:trPr>
          <w:trHeight w:val="148"/>
        </w:trPr>
        <w:tc>
          <w:tcPr>
            <w:tcW w:w="5380" w:type="dxa"/>
            <w:vAlign w:val="bottom"/>
          </w:tcPr>
          <w:p>
            <w:pPr>
              <w:jc w:val="center"/>
              <w:ind w:right="3161"/>
              <w:spacing w:after="0" w:line="149" w:lineRule="exact"/>
              <w:rPr>
                <w:sz w:val="20"/>
                <w:szCs w:val="20"/>
                <w:color w:val="auto"/>
              </w:rPr>
            </w:pPr>
            <w:r>
              <w:rPr>
                <w:rFonts w:ascii="Arial" w:cs="Arial" w:eastAsia="Arial" w:hAnsi="Arial"/>
                <w:sz w:val="14"/>
                <w:szCs w:val="14"/>
                <w:b w:val="1"/>
                <w:bCs w:val="1"/>
                <w:color w:val="auto"/>
                <w:w w:val="93"/>
              </w:rPr>
              <w:t>1801 Augustine Cut-Off</w:t>
            </w: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19803</w:t>
            </w:r>
          </w:p>
        </w:tc>
      </w:tr>
      <w:tr>
        <w:trPr>
          <w:trHeight w:val="148"/>
        </w:trPr>
        <w:tc>
          <w:tcPr>
            <w:tcW w:w="5380" w:type="dxa"/>
            <w:vAlign w:val="bottom"/>
          </w:tcPr>
          <w:p>
            <w:pPr>
              <w:jc w:val="center"/>
              <w:ind w:right="2941"/>
              <w:spacing w:after="0" w:line="149" w:lineRule="exact"/>
              <w:rPr>
                <w:sz w:val="20"/>
                <w:szCs w:val="20"/>
                <w:color w:val="auto"/>
              </w:rPr>
            </w:pPr>
            <w:r>
              <w:rPr>
                <w:rFonts w:ascii="Arial" w:cs="Arial" w:eastAsia="Arial" w:hAnsi="Arial"/>
                <w:sz w:val="14"/>
                <w:szCs w:val="14"/>
                <w:b w:val="1"/>
                <w:bCs w:val="1"/>
                <w:color w:val="auto"/>
                <w:w w:val="96"/>
              </w:rPr>
              <w:t>Wilmington, DE</w:t>
            </w:r>
          </w:p>
        </w:tc>
        <w:tc>
          <w:tcPr>
            <w:tcW w:w="134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4"/>
              </w:rPr>
              <w:t>(zip code)</w:t>
            </w:r>
          </w:p>
        </w:tc>
      </w:tr>
      <w:tr>
        <w:trPr>
          <w:trHeight w:val="164"/>
        </w:trPr>
        <w:tc>
          <w:tcPr>
            <w:tcW w:w="5380" w:type="dxa"/>
            <w:vAlign w:val="bottom"/>
          </w:tcPr>
          <w:p>
            <w:pPr>
              <w:jc w:val="center"/>
              <w:ind w:right="2961"/>
              <w:spacing w:after="0"/>
              <w:rPr>
                <w:sz w:val="20"/>
                <w:szCs w:val="20"/>
                <w:color w:val="auto"/>
              </w:rPr>
            </w:pPr>
            <w:r>
              <w:rPr>
                <w:rFonts w:ascii="Arial" w:cs="Arial" w:eastAsia="Arial" w:hAnsi="Arial"/>
                <w:sz w:val="14"/>
                <w:szCs w:val="14"/>
                <w:color w:val="auto"/>
                <w:w w:val="94"/>
              </w:rPr>
              <w:t>(Address of principal executives offices)</w:t>
            </w:r>
          </w:p>
        </w:tc>
        <w:tc>
          <w:tcPr>
            <w:tcW w:w="13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(302) 498-6700</w:t>
            </w:r>
          </w:p>
        </w:tc>
      </w:tr>
    </w:tbl>
    <w:p>
      <w:pPr>
        <w:ind w:left="6140"/>
        <w:spacing w:after="0"/>
        <w:rPr>
          <w:sz w:val="20"/>
          <w:szCs w:val="20"/>
          <w:color w:val="auto"/>
        </w:rPr>
      </w:pPr>
      <w:r>
        <w:rPr>
          <w:rFonts w:ascii="Arial" w:cs="Arial" w:eastAsia="Arial" w:hAnsi="Arial"/>
          <w:sz w:val="14"/>
          <w:szCs w:val="14"/>
          <w:color w:val="auto"/>
        </w:rPr>
        <w:t>(Registrant’s telephone number, including area code)</w:t>
      </w:r>
    </w:p>
    <w:p>
      <w:pPr>
        <w:spacing w:after="0" w:line="84"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8"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9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298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$.001 par value per share</w:t>
            </w:r>
          </w:p>
        </w:tc>
        <w:tc>
          <w:tcPr>
            <w:tcW w:w="580" w:type="dxa"/>
            <w:vAlign w:val="bottom"/>
          </w:tcPr>
          <w:p>
            <w:pPr>
              <w:spacing w:after="0"/>
              <w:rPr>
                <w:sz w:val="15"/>
                <w:szCs w:val="15"/>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color w:val="auto"/>
              </w:rPr>
              <w:t>INCY</w:t>
            </w:r>
          </w:p>
        </w:tc>
        <w:tc>
          <w:tcPr>
            <w:tcW w:w="60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78"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None</w:t>
      </w:r>
    </w:p>
    <w:p>
      <w:pPr>
        <w:spacing w:after="0" w:line="12"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640"/>
        <w:spacing w:after="0" w:line="150" w:lineRule="exact"/>
        <w:tabs>
          <w:tab w:leader="none" w:pos="806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 (d)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21" w:lineRule="exact"/>
        <w:rPr>
          <w:sz w:val="24"/>
          <w:szCs w:val="24"/>
          <w:color w:val="auto"/>
        </w:rPr>
      </w:pPr>
    </w:p>
    <w:p>
      <w:pPr>
        <w:jc w:val="both"/>
        <w:ind w:firstLine="648"/>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8" w:lineRule="exact"/>
        <w:rPr>
          <w:sz w:val="24"/>
          <w:szCs w:val="24"/>
          <w:color w:val="auto"/>
        </w:rPr>
      </w:pPr>
    </w:p>
    <w:p>
      <w:pPr>
        <w:ind w:left="600"/>
        <w:spacing w:after="0" w:line="161" w:lineRule="exact"/>
        <w:tabs>
          <w:tab w:leader="none" w:pos="3180" w:val="left"/>
          <w:tab w:leader="none" w:pos="5400" w:val="left"/>
          <w:tab w:leader="none" w:pos="7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79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12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40" w:firstLine="648"/>
        <w:spacing w:after="0" w:line="180"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1"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firstLine="648"/>
        <w:spacing w:after="0" w:line="253" w:lineRule="auto"/>
        <w:rPr>
          <w:sz w:val="20"/>
          <w:szCs w:val="20"/>
          <w:color w:val="auto"/>
        </w:rPr>
      </w:pPr>
      <w:r>
        <w:rPr>
          <w:rFonts w:ascii="Arial" w:cs="Arial" w:eastAsia="Arial" w:hAnsi="Arial"/>
          <w:sz w:val="14"/>
          <w:szCs w:val="14"/>
          <w:color w:val="auto"/>
        </w:rPr>
        <w:t>The aggregate market value of Common Stock held by non-affiliates (based on the closing sale price on The Nasdaq Global Select Market on June 30, 2020) was approximately $19.1 billion.</w:t>
      </w:r>
    </w:p>
    <w:p>
      <w:pPr>
        <w:spacing w:after="0" w:line="39" w:lineRule="exact"/>
        <w:rPr>
          <w:sz w:val="24"/>
          <w:szCs w:val="24"/>
          <w:color w:val="auto"/>
        </w:rPr>
      </w:pPr>
    </w:p>
    <w:p>
      <w:pPr>
        <w:ind w:left="640"/>
        <w:spacing w:after="0"/>
        <w:rPr>
          <w:sz w:val="20"/>
          <w:szCs w:val="20"/>
          <w:color w:val="auto"/>
        </w:rPr>
      </w:pPr>
      <w:r>
        <w:rPr>
          <w:rFonts w:ascii="Arial" w:cs="Arial" w:eastAsia="Arial" w:hAnsi="Arial"/>
          <w:sz w:val="14"/>
          <w:szCs w:val="14"/>
          <w:color w:val="auto"/>
        </w:rPr>
        <w:t>As of February 2, 2021 there were 219,843,497 shares of Common Stock, $.001 par value per share, outstanding.</w:t>
      </w:r>
    </w:p>
    <w:p>
      <w:pPr>
        <w:spacing w:after="0" w:line="78"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firstLine="648"/>
        <w:spacing w:after="0" w:line="256" w:lineRule="auto"/>
        <w:rPr>
          <w:sz w:val="20"/>
          <w:szCs w:val="20"/>
          <w:color w:val="auto"/>
        </w:rPr>
      </w:pPr>
      <w:r>
        <w:rPr>
          <w:rFonts w:ascii="Arial" w:cs="Arial" w:eastAsia="Arial" w:hAnsi="Arial"/>
          <w:sz w:val="13"/>
          <w:szCs w:val="13"/>
          <w:color w:val="auto"/>
        </w:rPr>
        <w:t>Items 10 (as to directors and Delinquent Section 16(a) Reports), 11, 12, 13 and 14 of Part III incorporate by reference information from the registrant’s proxy statement to be filed with the Securities and Exchange Commission in connection with the solicitation of proxies for the registrant’s 2021 Annual Meeting of Stockholders to be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held on May 26, 2021</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900430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980" w:type="dxa"/>
            <w:vAlign w:val="bottom"/>
          </w:tcPr>
          <w:p>
            <w:pPr>
              <w:spacing w:after="0"/>
              <w:rPr>
                <w:sz w:val="24"/>
                <w:szCs w:val="24"/>
                <w:color w:val="auto"/>
              </w:rPr>
            </w:pPr>
          </w:p>
        </w:tc>
        <w:tc>
          <w:tcPr>
            <w:tcW w:w="75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50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 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9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Business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color w:val="0000EE"/>
              </w:rPr>
            </w:pPr>
            <w:hyperlink w:anchor="page3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1B.</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Unresolved Staff Comments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2.</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Properties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3.</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4.</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980" w:type="dxa"/>
            <w:vAlign w:val="bottom"/>
            <w:vMerge w:val="restart"/>
          </w:tcPr>
          <w:p>
            <w:pPr>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PART II</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Information about our Executive Officers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9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5.</w:t>
              </w:r>
            </w:hyperlink>
          </w:p>
        </w:tc>
        <w:tc>
          <w:tcPr>
            <w:tcW w:w="732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Market for Registrant’s Common Equity, Related Stockholder Matters and Issuer Purchases of Equity</w:t>
              </w:r>
            </w:hyperlink>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Securities</w:t>
              </w:r>
            </w:hyperlink>
          </w:p>
        </w:tc>
        <w:tc>
          <w:tcPr>
            <w:tcW w:w="67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9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6.</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Selected Financial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7.</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color w:val="0000EE"/>
              </w:rPr>
            </w:pPr>
            <w:hyperlink w:anchor="page75">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8.</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Financial Statements and Supplementary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Item 9.</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color w:val="0000EE"/>
              </w:rPr>
            </w:pPr>
            <w:hyperlink w:anchor="page121">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2"/>
        </w:trPr>
        <w:tc>
          <w:tcPr>
            <w:tcW w:w="98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Item 9B.</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0"/>
        </w:trPr>
        <w:tc>
          <w:tcPr>
            <w:tcW w:w="980" w:type="dxa"/>
            <w:vAlign w:val="bottom"/>
          </w:tcPr>
          <w:p>
            <w:pPr>
              <w:spacing w:after="0"/>
              <w:rPr>
                <w:rFonts w:ascii="Arial" w:cs="Arial" w:eastAsia="Arial" w:hAnsi="Arial"/>
                <w:sz w:val="18"/>
                <w:szCs w:val="18"/>
                <w:b w:val="1"/>
                <w:bCs w:val="1"/>
                <w:u w:val="single" w:color="auto"/>
                <w:color w:val="0000EE"/>
              </w:rPr>
            </w:pPr>
            <w:hyperlink w:anchor="page123">
              <w:r>
                <w:rPr>
                  <w:rFonts w:ascii="Arial" w:cs="Arial" w:eastAsia="Arial" w:hAnsi="Arial"/>
                  <w:sz w:val="18"/>
                  <w:szCs w:val="18"/>
                  <w:b w:val="1"/>
                  <w:bCs w:val="1"/>
                  <w:u w:val="single" w:color="auto"/>
                  <w:color w:val="0000EE"/>
                </w:rPr>
                <w:t>PART III</w:t>
              </w:r>
            </w:hyperlink>
          </w:p>
        </w:tc>
        <w:tc>
          <w:tcPr>
            <w:tcW w:w="7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color w:val="0000EE"/>
              </w:rPr>
            </w:pPr>
            <w:hyperlink w:anchor="page123">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Item 11.</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Executive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color w:val="0000EE"/>
              </w:rPr>
            </w:pPr>
            <w:hyperlink w:anchor="page123">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w w:val="93"/>
              </w:rPr>
            </w:pPr>
            <w:hyperlink w:anchor="page123">
              <w:r>
                <w:rPr>
                  <w:rFonts w:ascii="Arial" w:cs="Arial" w:eastAsia="Arial" w:hAnsi="Arial"/>
                  <w:sz w:val="18"/>
                  <w:szCs w:val="18"/>
                  <w:u w:val="single" w:color="auto"/>
                  <w:color w:val="0000EE"/>
                  <w:w w:val="93"/>
                </w:rPr>
                <w:t>Security Ownership of Certain Beneficial Owners and Management and Related Stockholder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color w:val="0000EE"/>
              </w:rPr>
            </w:pPr>
            <w:hyperlink w:anchor="page124">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Certain Relationships and Related Transactions, and Director Independence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2"/>
        </w:trPr>
        <w:tc>
          <w:tcPr>
            <w:tcW w:w="980" w:type="dxa"/>
            <w:vAlign w:val="bottom"/>
          </w:tcPr>
          <w:p>
            <w:pPr>
              <w:spacing w:after="0"/>
              <w:rPr>
                <w:rFonts w:ascii="Arial" w:cs="Arial" w:eastAsia="Arial" w:hAnsi="Arial"/>
                <w:sz w:val="18"/>
                <w:szCs w:val="18"/>
                <w:color w:val="0000EE"/>
              </w:rPr>
            </w:pPr>
            <w:hyperlink w:anchor="page124">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Principal Accountant Fees and Services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0"/>
        </w:trPr>
        <w:tc>
          <w:tcPr>
            <w:tcW w:w="980" w:type="dxa"/>
            <w:vAlign w:val="bottom"/>
          </w:tcPr>
          <w:p>
            <w:pPr>
              <w:spacing w:after="0"/>
              <w:rPr>
                <w:rFonts w:ascii="Arial" w:cs="Arial" w:eastAsia="Arial" w:hAnsi="Arial"/>
                <w:sz w:val="18"/>
                <w:szCs w:val="18"/>
                <w:b w:val="1"/>
                <w:bCs w:val="1"/>
                <w:u w:val="single" w:color="auto"/>
                <w:color w:val="0000EE"/>
              </w:rPr>
            </w:pPr>
            <w:hyperlink w:anchor="page124">
              <w:r>
                <w:rPr>
                  <w:rFonts w:ascii="Arial" w:cs="Arial" w:eastAsia="Arial" w:hAnsi="Arial"/>
                  <w:sz w:val="18"/>
                  <w:szCs w:val="18"/>
                  <w:b w:val="1"/>
                  <w:bCs w:val="1"/>
                  <w:u w:val="single" w:color="auto"/>
                  <w:color w:val="0000EE"/>
                </w:rPr>
                <w:t>PART IV</w:t>
              </w:r>
            </w:hyperlink>
          </w:p>
        </w:tc>
        <w:tc>
          <w:tcPr>
            <w:tcW w:w="7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color w:val="0000EE"/>
              </w:rPr>
            </w:pPr>
            <w:hyperlink w:anchor="page124">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Exhibits,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980" w:type="dxa"/>
            <w:vAlign w:val="bottom"/>
          </w:tcPr>
          <w:p>
            <w:pPr>
              <w:spacing w:after="0"/>
              <w:rPr>
                <w:rFonts w:ascii="Arial" w:cs="Arial" w:eastAsia="Arial" w:hAnsi="Arial"/>
                <w:sz w:val="18"/>
                <w:szCs w:val="18"/>
                <w:color w:val="0000EE"/>
              </w:rPr>
            </w:pPr>
            <w:hyperlink w:anchor="page127">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7500" w:type="dxa"/>
            <w:vAlign w:val="bottom"/>
            <w:gridSpan w:val="3"/>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Form 10-K 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8480" w:type="dxa"/>
            <w:vAlign w:val="bottom"/>
            <w:gridSpan w:val="4"/>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190"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/JAKAVI</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 xml:space="preserve"> (ruxolitinib), PEMAZYRE </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(pemigatinib), ICLUSIG</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 xml:space="preserve"> (ponatinib) and MONJUVI® (tafasitamab-cxix);</w:t>
      </w:r>
    </w:p>
    <w:p>
      <w:pPr>
        <w:spacing w:after="0" w:line="55"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JAKAFI, PEMAZYRE, ICLUSIG and MONJUVI;</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expectations relating to our new European headquarters and the anticipated completion date for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117"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JAKAFI, ICLUSIG, PEMAZYRE and MONJUVI;</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67"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128"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relating to our new European headquarters and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history of operating losses;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and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We also refer to trademarks of other corporations and organizations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87" w:lineRule="exact"/>
        <w:rPr>
          <w:sz w:val="20"/>
          <w:szCs w:val="20"/>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62" w:lineRule="exact"/>
        <w:rPr>
          <w:rFonts w:ascii="Arial" w:cs="Arial" w:eastAsia="Arial" w:hAnsi="Arial"/>
          <w:sz w:val="18"/>
          <w:szCs w:val="18"/>
          <w:color w:val="auto"/>
        </w:rPr>
      </w:pPr>
    </w:p>
    <w:p>
      <w:pPr>
        <w:jc w:val="both"/>
        <w:ind w:left="720" w:right="79" w:hanging="325"/>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reimbursement for JAKAFI/JAKAVI or our other products from government and other third-party payors, our results of operations and financial condition could be harmed.</w:t>
      </w:r>
    </w:p>
    <w:p>
      <w:pPr>
        <w:spacing w:after="0" w:line="75"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the loss of, or significant reduction in sales to, any one of these specialty pharmacies or wholesalers could harm our operations and financial condition.</w:t>
      </w:r>
    </w:p>
    <w:p>
      <w:pPr>
        <w:spacing w:after="0" w:line="75"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for our products, in particular JAKAFI/JAKAVI, could harm our business and result in a decrease in our revenue.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have adversely affected and can in the future adversely affect our business and results of operations.</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or our collaborators may be unsuccessful in discovering and developing drug candidates, and we may spend significant time and money attempting to do so, in particular with our later stage drug candidates.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62"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collaborations to fully exploit our drug discovery and development capabilities or if future collaborations are unsuccessful, our future revenue prospects could be diminished.</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one of our drug candidates receives regulatory approval, we may determine that commercialization would not be worth the investment.</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others to manufacture our drug products and drug candidates could result in drug supply constraints, delays in clinical trials, increased costs, and withdrawal or denial of regulatory approvals.</w:t>
      </w:r>
    </w:p>
    <w:p>
      <w:pPr>
        <w:spacing w:after="0" w:line="38" w:lineRule="exact"/>
        <w:rPr>
          <w:rFonts w:ascii="Arial" w:cs="Arial" w:eastAsia="Arial" w:hAnsi="Arial"/>
          <w:sz w:val="17"/>
          <w:szCs w:val="17"/>
          <w:color w:val="auto"/>
        </w:rPr>
      </w:pPr>
    </w:p>
    <w:p>
      <w:pPr>
        <w:ind w:left="720" w:right="5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manage our growth effectively, our ability to develop and commercialize products could suffer.</w:t>
      </w:r>
    </w:p>
    <w:p>
      <w:pPr>
        <w:spacing w:after="0" w:line="128" w:lineRule="exact"/>
        <w:rPr>
          <w:rFonts w:ascii="Arial" w:cs="Arial" w:eastAsia="Arial" w:hAnsi="Arial"/>
          <w:sz w:val="17"/>
          <w:szCs w:val="17"/>
          <w:color w:val="auto"/>
        </w:rPr>
      </w:pPr>
    </w:p>
    <w:p>
      <w:pPr>
        <w:ind w:left="720" w:right="79" w:hanging="325"/>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acquire businesses or assets, form joint ventures or make investments in other companies that may be unsuccessful, divert our management’s attention and harm our operating results and prospects.</w:t>
      </w:r>
    </w:p>
    <w:p>
      <w:pPr>
        <w:spacing w:after="0" w:line="38" w:lineRule="exact"/>
        <w:rPr>
          <w:rFonts w:ascii="Arial" w:cs="Arial" w:eastAsia="Arial" w:hAnsi="Arial"/>
          <w:sz w:val="17"/>
          <w:szCs w:val="17"/>
          <w:color w:val="auto"/>
        </w:rPr>
      </w:pPr>
    </w:p>
    <w:p>
      <w:pPr>
        <w:ind w:left="720" w:hanging="32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marketable securities and long term investments are subject to risks that could adversely affect our overall financial position.</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achieve milestones, develop product candidates to license or renew or enter into new collaborations, our royalty and milestone revenues and future prospects for those revenues may decrease.</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Incyte is a biopharmaceutical company focused on the discovery, development and commercialization of proprietary therapeutics. Our global headquarters is located in Wilmington, Delaware, where we conduct global commercial and clinical development operations. We also conduct commercial and clinical development operations from our European headquarters in Morges, Switzerland and clinical development operations from our Japanese office in Tokyo.</w:t>
      </w:r>
    </w:p>
    <w:p>
      <w:pPr>
        <w:spacing w:after="0" w:line="15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described in more detail below, our business is composed of three franchises that are defined by the indications of our approved medicines and the diseases for which our clinical candidates are being developed.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hematology and oncology franchise is comprised of four approved products, which are JAKAFI (ruxolitinib), MONJUVI (tafasitamab-cxix), PEMAZYRE (pemigatinib) and ICLUSIG (ponatinib), as well as numerous clinical development programs.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and in May 2019 for the treatment of steroid-refractory acute graft-versus-host disease (GVHD)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5"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and was the first FDA-approved product in all three of its current indications. JAKAFI remains the first-line standard of care in MF and remains the only FDA-approved product for PV and steroid-refractory acute GVHD. The FDA has granted JAKAFI orphan drug status for MF, PV, ET, acute lymphoblastic leukemia (ALL) and GVHD.</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To help ensure that all eligible patients have access to JAKAFI, we have established a patient assistance program called IncyteCARES (CARES stands for Connecting to Access, Reimbursement, Education and Support). IncyteCARES helps ensure that any patient with intermediate or high-risk MF, uncontrolled PV or steroid-refractory acute GVHD who meets certain eligibility criteria and is prescribed JAKAFI has access to the product regardless of ability to pay and has access to ongoing support and educational resources during treatment.</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Myelofibrosis is a rare, life-threatening condition. MF, considered the most serious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June 2016, we announced that the FDA granted Breakthrough Therapy designation for ruxolitinib in patients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with acute GVHD. In May 2019, the FDA approved JAKAFI for the treatment of steroid-refractory acute GVHD in adult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pediatric patients 12 years and older. The approval was based on data from REACH1, an open-label, single-arm,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late 2027.</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MONJUVI (tafasitamab-cxix)</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16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eligible for autologous stem cell transplant (ASCT). MONJUVI was approved under accelerated approval based on overall response rate.</w:t>
      </w:r>
    </w:p>
    <w:p>
      <w:pPr>
        <w:spacing w:after="0" w:line="17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relapsed or refractory diffuse large B-cell lymphoma (r/r DLBCL) who are not eligible for ASCT.</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approval of MONJUVI was based on data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and only FDA-approved treatment for this indication, which was approved under accelerated approval based on overall response rate and duration of response (DOR).</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4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61"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retained all rights to PEMAZYRE globally, other than those granted to Innovent Biologics, Inc. to develop and commercialize pemigatinib in hematology and oncology in mainland China, Hong Kong, Macau and Taiwan.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Ruxolitinib and itacitinib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part of our development efforts to evaluate JAK inhibition in GVHD, the REACH clinical program is evaluating ruxolitinib in patients with steroid-refractory GVHD and includes REACH2, a Novartis-sponsored Phase III trial in steroid-refractory acute GVHD, and REACH3, a Phase III trial in steroid-refractory chronic GVHD that is co-sponsored by Incyte and Novartis.</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October 2019, we and Novartis announced that REACH2 met its primary endpoint of superior ORR at Day 28 with ruxolitinib treatment compared to best available therapy. No new safety signals were observed, and the ruxolitinib safety profile in REACH2 was consistent with that seen in previously reported studies in steroid-refractory acute GVHD. In April 2020, we and Novartis announced that data from REACH2 were published in the New England Journal of Medicine.</w:t>
      </w:r>
    </w:p>
    <w:p>
      <w:pPr>
        <w:spacing w:after="0" w:line="15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July 2020, we and Novartis announced that REACH3 met its primary endpoint of superior ORR at Month 6 with ruxolitinib treatment compared to best available therapy (BAT), as well as both key secondary endpoints, significantly improving patient-reported symptoms and failure-free survival. No new safety signals were observed, and the ruxolitinib safety profile in REACH3 was consistent with that seen in previously reported studies in steroid-refractory chronic GVHD. Additional data announced in December 2020 showed that best overall response (BOR) rate, defined as any response up to week 24, was achieved in a significantly higher percentage of patients with ruxolitinib therapy compared to BAT. An sNDA seeking FDA approval of ruxolitinib in steroid-refractory chronic GVHD has been submitted.</w:t>
      </w:r>
    </w:p>
    <w:p>
      <w:pPr>
        <w:spacing w:after="0" w:line="16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 second JAK inhibitor in development is itacitinib, which is a selective JAK1 inhibitor. Itacitinib is being evaluated in GRAVITAS-309, a pivotal Phase III trial of itacitinib in patients with steroid-naïve chronic GVHD. The FDA has granted itacitinib orphan drug status for GVHD.</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w:t>
      </w:r>
    </w:p>
    <w:p>
      <w:pPr>
        <w:spacing w:after="0" w:line="187"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Based on positive Phase II data, we have opened two pivotal trials of ruxolitinib in combination with parsaclisib (PI3Kδ) in first-line MF (LIMBER-313) and in MF patients with a suboptimal response to ruxolitinib monotherapy (LIMBER-304), respectively. Additional Phase II trials combining ruxolitinib with investigational agents from our portfolio such as INCB57643 (BET) and INCB00928 (ALK2) in patients with MF are in preparation, and additional discovery and development initiatives are also ongoing within the LIMBER program, which are evaluating both internally-discovered compounds, including itacitinib (JAK1), and candidates from collaboration partners.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planned to begin in 2021.</w:t>
      </w:r>
    </w:p>
    <w:p>
      <w:pPr>
        <w:spacing w:after="0" w:line="182"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6"/>
          <w:szCs w:val="16"/>
          <w:color w:val="auto"/>
        </w:rPr>
        <w:t>A placebo-controlled Phase III trial (inMIND) of tafasitamab added to lenalidomide plus rituximab (R</w:t>
      </w:r>
      <w:r>
        <w:rPr>
          <w:rFonts w:ascii="Arial" w:cs="Arial" w:eastAsia="Arial" w:hAnsi="Arial"/>
          <w:sz w:val="23"/>
          <w:szCs w:val="23"/>
          <w:color w:val="auto"/>
          <w:vertAlign w:val="superscript"/>
        </w:rPr>
        <w:t>2</w:t>
      </w:r>
      <w:r>
        <w:rPr>
          <w:rFonts w:ascii="Arial" w:cs="Arial" w:eastAsia="Arial" w:hAnsi="Arial"/>
          <w:sz w:val="16"/>
          <w:szCs w:val="16"/>
          <w:color w:val="auto"/>
        </w:rPr>
        <w:t>) in patients with relapsed or refractory follicular or marginal zone lymphomas is now recruiting patients, and we are preparing to initiate both a proof-of-concept study of tafasitamab in combination with parsaclisib (PI3Kδ) in patients with relapsed or refractory B-cell malignancies and a proof-of-concept study of tafasitamab, lenalidomide and plamotamab in patients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with r/r DLBCL.</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May 2020, we announced the validation of the European Marketing Authorization Application (MAA) for tafasitamab seeking approval of tafasitamab in combination with lenalidomide, followed by tafasitamab monotherapy, for the treatment of adult patients with r/r DLBCL; the validation of the MAA by the European Medicines Agency (EMA) confirms that the submission is ready to enter the formal review process. In January 2021, we announced that Health Canada accepted the New Drug Submission (NDS) for tafasitamab in combination with lenalidomide, followed by tafasitamab monotherapy, as a treatment for adults with r/r DLBCL.</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8p11 myeloproliferative syndrome (8p11 MPN). Based on data generated from these ongoing trials, we have initiated additional trials, including FIGHT-207, which is a solid tumor-agnostic trial evaluating pemigatinib in patients with driver-alterations of FGF/FGFR.</w:t>
      </w:r>
    </w:p>
    <w:p>
      <w:pPr>
        <w:spacing w:after="0" w:line="16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April 2020, we announced the FDA approval of pemigatinib as PEMAZYRE for the treatment of adults with previously treated, unresectable locally advanced or metastatic cholangiocarcinoma with an FGFR2 fusion or other rearrangement as detected by an FDA-approved test. Pemigatinib was previously granted Breakthrough Therapy designation by the FDA as a treatment for patients with previously treated, advanced/metastatic or unresectable FGFR2 translocated cholangiocarcinoma and has Breakthrough Therapy designation as a treatment for patients with myeloid/lymphoid neoplasms with FGFR1 rearrangement (8p11 MPN) who have relapsed or are refractory to initial chemotherapy.</w:t>
      </w:r>
    </w:p>
    <w:p>
      <w:pPr>
        <w:spacing w:after="0" w:line="19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January 2021, we announced that the EMA’s Committee for Medicinal Products for Human Use (CHMP) issued a positive opinion recommending the conditional marketing authorization of pemigatinib for the treatment of adults with unresectable locally advanced or metastatic cholangiocarcinoma with an FGFR2 fusion or rearrangement that is relapsed or refractory, after at least one line of systemic therapy. In September 2020, we submitted a J-NDA seeking approval for pemigatinib as a treatment for CCA in Japan. In October 2020, we announced that Health Canada accepted the New Drug Submission (NDS) for pemigatinib as a treatment for adults with previously treated, locally advanced or metastatic cholangiocarcinoma with FGFR2 fusion or other rearrangement.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 The FDA has granted orphan drug designation and Fast Track designation to parsaclisib as a treatment for patients with follicular lymphoma, marginal zone lymphoma and mantle cell lymphoma.</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squamous cell carcinoma of the anal canal (SCAC), microsatellite instability-high (MSI-H) endometrial cancer and Merkel cell carcinoma are ongoing.</w:t>
      </w:r>
    </w:p>
    <w:p>
      <w:pPr>
        <w:spacing w:after="0" w:line="17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January 2021, we announced that the FDA had accepted for Priority Review the Biologics License Application (BLA) for retifanlimab as a treatment for previously treated patients with advanced squamous cell carcinoma of the anal canal (SCAC) who have progressed following standard platinum-based chemotherapy. The BLA submission was based on data from the Phase II POD1UM-202 trial of retifanlimab in patients with advanced SCAC who have progressed following standard platinum-based chemotherapy, preliminary results of which were presented at ESMO in September 2020. The Phase III POD1UM-303 trial of retifanlimab in combination with platinum-based chemotherapy as a first-line treatment for patients with SCAC is underway.</w:t>
      </w:r>
    </w:p>
    <w:p>
      <w:pPr>
        <w:spacing w:after="0" w:line="19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 and in October 2020, our collaboration partner Zai Lab announced dosing of the first patient in China.</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300" w:type="dxa"/>
            <w:vAlign w:val="bottom"/>
            <w:tcBorders>
              <w:top w:val="single" w:sz="8" w:color="auto"/>
            </w:tcBorders>
          </w:tcPr>
          <w:p>
            <w:pPr>
              <w:spacing w:after="0"/>
              <w:rPr>
                <w:sz w:val="21"/>
                <w:szCs w:val="21"/>
                <w:color w:val="auto"/>
              </w:rPr>
            </w:pPr>
          </w:p>
        </w:tc>
        <w:tc>
          <w:tcPr>
            <w:tcW w:w="66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300" w:type="dxa"/>
            <w:vAlign w:val="bottom"/>
            <w:tcBorders>
              <w:bottom w:val="single" w:sz="8" w:color="auto"/>
            </w:tcBorders>
          </w:tcPr>
          <w:p>
            <w:pPr>
              <w:spacing w:after="0"/>
              <w:rPr>
                <w:sz w:val="4"/>
                <w:szCs w:val="4"/>
                <w:color w:val="auto"/>
              </w:rPr>
            </w:pPr>
          </w:p>
        </w:tc>
        <w:tc>
          <w:tcPr>
            <w:tcW w:w="6620" w:type="dxa"/>
            <w:vAlign w:val="bottom"/>
            <w:tcBorders>
              <w:bottom w:val="single" w:sz="8" w:color="auto"/>
            </w:tcBorders>
          </w:tcPr>
          <w:p>
            <w:pPr>
              <w:spacing w:after="0"/>
              <w:rPr>
                <w:sz w:val="4"/>
                <w:szCs w:val="4"/>
                <w:color w:val="auto"/>
              </w:rPr>
            </w:pPr>
          </w:p>
        </w:tc>
      </w:tr>
      <w:tr>
        <w:trPr>
          <w:trHeight w:val="346"/>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ruxolitinib (JAK1/JAK2)</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Steroid-refractory chronic GVHD</w:t>
            </w:r>
            <w:r>
              <w:rPr>
                <w:rFonts w:ascii="Arial" w:cs="Arial" w:eastAsia="Arial" w:hAnsi="Arial"/>
                <w:sz w:val="26"/>
                <w:szCs w:val="26"/>
                <w:color w:val="auto"/>
                <w:vertAlign w:val="superscript"/>
              </w:rPr>
              <w:t>1</w:t>
            </w:r>
            <w:r>
              <w:rPr>
                <w:rFonts w:ascii="Arial" w:cs="Arial" w:eastAsia="Arial" w:hAnsi="Arial"/>
                <w:sz w:val="18"/>
                <w:szCs w:val="18"/>
                <w:color w:val="auto"/>
              </w:rPr>
              <w:t>: sNDA submitted</w:t>
            </w:r>
          </w:p>
        </w:tc>
      </w:tr>
      <w:tr>
        <w:trPr>
          <w:trHeight w:val="66"/>
        </w:trPr>
        <w:tc>
          <w:tcPr>
            <w:tcW w:w="2300" w:type="dxa"/>
            <w:vAlign w:val="bottom"/>
            <w:shd w:val="clear" w:color="auto" w:fill="CCEEFF"/>
          </w:tcPr>
          <w:p>
            <w:pPr>
              <w:spacing w:after="0"/>
              <w:rPr>
                <w:sz w:val="5"/>
                <w:szCs w:val="5"/>
                <w:color w:val="auto"/>
              </w:rPr>
            </w:pPr>
          </w:p>
        </w:tc>
        <w:tc>
          <w:tcPr>
            <w:tcW w:w="6620" w:type="dxa"/>
            <w:vAlign w:val="bottom"/>
            <w:shd w:val="clear" w:color="auto" w:fill="CCEEFF"/>
          </w:tcPr>
          <w:p>
            <w:pPr>
              <w:spacing w:after="0"/>
              <w:rPr>
                <w:sz w:val="5"/>
                <w:szCs w:val="5"/>
                <w:color w:val="auto"/>
              </w:rPr>
            </w:pP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itacitinib (JAK1)</w:t>
            </w:r>
          </w:p>
        </w:tc>
        <w:tc>
          <w:tcPr>
            <w:tcW w:w="6620" w:type="dxa"/>
            <w:vAlign w:val="bottom"/>
          </w:tcPr>
          <w:p>
            <w:pPr>
              <w:ind w:left="200"/>
              <w:spacing w:after="0"/>
              <w:rPr>
                <w:sz w:val="20"/>
                <w:szCs w:val="20"/>
                <w:color w:val="auto"/>
              </w:rPr>
            </w:pPr>
            <w:r>
              <w:rPr>
                <w:rFonts w:ascii="Arial" w:cs="Arial" w:eastAsia="Arial" w:hAnsi="Arial"/>
                <w:sz w:val="18"/>
                <w:szCs w:val="18"/>
                <w:color w:val="auto"/>
              </w:rPr>
              <w:t>Treatment-naïve chronic GVHD: Phase III (GRAVITAS-309)</w:t>
            </w:r>
          </w:p>
        </w:tc>
      </w:tr>
      <w:tr>
        <w:trPr>
          <w:trHeight w:val="171"/>
        </w:trPr>
        <w:tc>
          <w:tcPr>
            <w:tcW w:w="230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Once-a-day ruxolitinib</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Myelofibrosis, polycythemia vera and GVHD: clinical pharmacology studies</w:t>
            </w: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620" w:type="dxa"/>
            <w:vAlign w:val="bottom"/>
            <w:shd w:val="clear" w:color="auto" w:fill="CCEEFF"/>
          </w:tcPr>
          <w:p>
            <w:pPr>
              <w:spacing w:after="0"/>
              <w:rPr>
                <w:sz w:val="20"/>
                <w:szCs w:val="20"/>
                <w:color w:val="auto"/>
              </w:rPr>
            </w:pPr>
          </w:p>
        </w:tc>
      </w:tr>
      <w:tr>
        <w:trPr>
          <w:trHeight w:val="130"/>
        </w:trPr>
        <w:tc>
          <w:tcPr>
            <w:tcW w:w="2300" w:type="dxa"/>
            <w:vAlign w:val="bottom"/>
            <w:shd w:val="clear" w:color="auto" w:fill="CCEEFF"/>
          </w:tcPr>
          <w:p>
            <w:pPr>
              <w:spacing w:after="0"/>
              <w:rPr>
                <w:sz w:val="11"/>
                <w:szCs w:val="11"/>
                <w:color w:val="auto"/>
              </w:rPr>
            </w:pPr>
          </w:p>
        </w:tc>
        <w:tc>
          <w:tcPr>
            <w:tcW w:w="6620" w:type="dxa"/>
            <w:vAlign w:val="bottom"/>
            <w:shd w:val="clear" w:color="auto" w:fill="CCEEFF"/>
          </w:tcPr>
          <w:p>
            <w:pPr>
              <w:spacing w:after="0"/>
              <w:rPr>
                <w:sz w:val="11"/>
                <w:szCs w:val="11"/>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parsaclisib</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Myelofibrosis: Phase III (first-line therapy)</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PI3Kδ)</w:t>
            </w:r>
          </w:p>
        </w:tc>
        <w:tc>
          <w:tcPr>
            <w:tcW w:w="6620" w:type="dxa"/>
            <w:vAlign w:val="bottom"/>
          </w:tcPr>
          <w:p>
            <w:pPr>
              <w:ind w:left="200"/>
              <w:spacing w:after="0"/>
              <w:rPr>
                <w:sz w:val="20"/>
                <w:szCs w:val="20"/>
                <w:color w:val="auto"/>
              </w:rPr>
            </w:pPr>
            <w:r>
              <w:rPr>
                <w:rFonts w:ascii="Arial" w:cs="Arial" w:eastAsia="Arial" w:hAnsi="Arial"/>
                <w:sz w:val="18"/>
                <w:szCs w:val="18"/>
                <w:color w:val="auto"/>
              </w:rPr>
              <w:t>Myelofibrosis: Phase III (suboptimal responders to ruxolitinib)</w:t>
            </w: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ruxolitinib + INCB57643</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BET)</w:t>
            </w:r>
          </w:p>
        </w:tc>
        <w:tc>
          <w:tcPr>
            <w:tcW w:w="6620" w:type="dxa"/>
            <w:vAlign w:val="bottom"/>
            <w:shd w:val="clear" w:color="auto" w:fill="CCEEFF"/>
          </w:tcPr>
          <w:p>
            <w:pPr>
              <w:spacing w:after="0"/>
              <w:rPr>
                <w:sz w:val="20"/>
                <w:szCs w:val="20"/>
                <w:color w:val="auto"/>
              </w:rPr>
            </w:pPr>
          </w:p>
        </w:tc>
      </w:tr>
      <w:tr>
        <w:trPr>
          <w:trHeight w:val="130"/>
        </w:trPr>
        <w:tc>
          <w:tcPr>
            <w:tcW w:w="2300" w:type="dxa"/>
            <w:vAlign w:val="bottom"/>
            <w:shd w:val="clear" w:color="auto" w:fill="CCEEFF"/>
          </w:tcPr>
          <w:p>
            <w:pPr>
              <w:spacing w:after="0"/>
              <w:rPr>
                <w:sz w:val="11"/>
                <w:szCs w:val="11"/>
                <w:color w:val="auto"/>
              </w:rPr>
            </w:pPr>
          </w:p>
        </w:tc>
        <w:tc>
          <w:tcPr>
            <w:tcW w:w="6620" w:type="dxa"/>
            <w:vAlign w:val="bottom"/>
            <w:shd w:val="clear" w:color="auto" w:fill="CCEEFF"/>
          </w:tcPr>
          <w:p>
            <w:pPr>
              <w:spacing w:after="0"/>
              <w:rPr>
                <w:sz w:val="11"/>
                <w:szCs w:val="11"/>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INCB00928</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ALK2)</w:t>
            </w:r>
          </w:p>
        </w:tc>
        <w:tc>
          <w:tcPr>
            <w:tcW w:w="6620" w:type="dxa"/>
            <w:vAlign w:val="bottom"/>
          </w:tcPr>
          <w:p>
            <w:pPr>
              <w:spacing w:after="0"/>
              <w:rPr>
                <w:sz w:val="20"/>
                <w:szCs w:val="20"/>
                <w:color w:val="auto"/>
              </w:rPr>
            </w:pP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itacitinib (JAK1)</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Myelofibrosis: Phase II (low platelets)</w:t>
            </w:r>
          </w:p>
        </w:tc>
      </w:tr>
      <w:tr>
        <w:trPr>
          <w:trHeight w:val="157"/>
        </w:trPr>
        <w:tc>
          <w:tcPr>
            <w:tcW w:w="2300" w:type="dxa"/>
            <w:vAlign w:val="bottom"/>
            <w:shd w:val="clear" w:color="auto" w:fill="CCEEFF"/>
          </w:tcPr>
          <w:p>
            <w:pPr>
              <w:spacing w:after="0"/>
              <w:rPr>
                <w:sz w:val="13"/>
                <w:szCs w:val="13"/>
                <w:color w:val="auto"/>
              </w:rPr>
            </w:pPr>
          </w:p>
        </w:tc>
        <w:tc>
          <w:tcPr>
            <w:tcW w:w="6620" w:type="dxa"/>
            <w:vAlign w:val="bottom"/>
            <w:shd w:val="clear" w:color="auto" w:fill="CCEEFF"/>
          </w:tcPr>
          <w:p>
            <w:pPr>
              <w:spacing w:after="0"/>
              <w:rPr>
                <w:sz w:val="13"/>
                <w:szCs w:val="13"/>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3"/>
                <w:szCs w:val="13"/>
                <w:b w:val="1"/>
                <w:bCs w:val="1"/>
                <w:color w:val="auto"/>
              </w:rPr>
              <w:t>ruxolitinib + CK0804</w:t>
            </w:r>
            <w:r>
              <w:rPr>
                <w:rFonts w:ascii="Arial" w:cs="Arial" w:eastAsia="Arial" w:hAnsi="Arial"/>
                <w:sz w:val="17"/>
                <w:szCs w:val="17"/>
                <w:b w:val="1"/>
                <w:bCs w:val="1"/>
                <w:color w:val="auto"/>
                <w:vertAlign w:val="superscript"/>
              </w:rPr>
              <w:t>2</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Myelofibrosis: PoC in preparation</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CB-Tregs)</w:t>
            </w:r>
          </w:p>
        </w:tc>
        <w:tc>
          <w:tcPr>
            <w:tcW w:w="6620" w:type="dxa"/>
            <w:vAlign w:val="bottom"/>
          </w:tcPr>
          <w:p>
            <w:pPr>
              <w:spacing w:after="0"/>
              <w:rPr>
                <w:sz w:val="20"/>
                <w:szCs w:val="20"/>
                <w:color w:val="auto"/>
              </w:rPr>
            </w:pP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tafasitamab</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r/r DLBCL: Phase II (L-MIND); Phase III (B-MIND); MAA and NDS under review</w:t>
            </w:r>
          </w:p>
        </w:tc>
      </w:tr>
      <w:tr>
        <w:trPr>
          <w:trHeight w:val="216"/>
        </w:trPr>
        <w:tc>
          <w:tcPr>
            <w:tcW w:w="23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b w:val="1"/>
                <w:bCs w:val="1"/>
                <w:color w:val="auto"/>
              </w:rPr>
              <w:t>(CD19)</w:t>
            </w:r>
            <w:r>
              <w:rPr>
                <w:rFonts w:ascii="Arial" w:cs="Arial" w:eastAsia="Arial" w:hAnsi="Arial"/>
                <w:sz w:val="25"/>
                <w:szCs w:val="25"/>
                <w:b w:val="1"/>
                <w:bCs w:val="1"/>
                <w:color w:val="auto"/>
                <w:vertAlign w:val="superscript"/>
              </w:rPr>
              <w:t>3</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1L DLBCL: Phase Ib (firstMIND); Phase III (frontMIND) in preparation</w:t>
            </w:r>
          </w:p>
        </w:tc>
      </w:tr>
      <w:tr>
        <w:trPr>
          <w:trHeight w:val="175"/>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r/r follicular &amp; marginal zone lymphomas: Phase III (inMIND) in preparation</w:t>
            </w:r>
          </w:p>
        </w:tc>
      </w:tr>
      <w:tr>
        <w:trPr>
          <w:trHeight w:val="176"/>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r/r B-cell malignancies: PoC with parsaclisib (PI3Kδ) in preparation</w:t>
            </w:r>
          </w:p>
        </w:tc>
      </w:tr>
      <w:tr>
        <w:trPr>
          <w:trHeight w:val="355"/>
        </w:trPr>
        <w:tc>
          <w:tcPr>
            <w:tcW w:w="2300" w:type="dxa"/>
            <w:vAlign w:val="bottom"/>
            <w:shd w:val="clear" w:color="auto" w:fill="CCEEFF"/>
          </w:tcPr>
          <w:p>
            <w:pPr>
              <w:spacing w:after="0"/>
              <w:rPr>
                <w:sz w:val="24"/>
                <w:szCs w:val="24"/>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r/r B-cell malignancies: PoC with lenalidomide and plamotamab in preparation</w:t>
            </w:r>
            <w:r>
              <w:rPr>
                <w:rFonts w:ascii="Arial" w:cs="Arial" w:eastAsia="Arial" w:hAnsi="Arial"/>
                <w:sz w:val="26"/>
                <w:szCs w:val="26"/>
                <w:color w:val="auto"/>
                <w:vertAlign w:val="superscript"/>
              </w:rPr>
              <w:t>4</w:t>
            </w:r>
          </w:p>
        </w:tc>
      </w:tr>
      <w:tr>
        <w:trPr>
          <w:trHeight w:val="90"/>
        </w:trPr>
        <w:tc>
          <w:tcPr>
            <w:tcW w:w="2300" w:type="dxa"/>
            <w:vAlign w:val="bottom"/>
            <w:shd w:val="clear" w:color="auto" w:fill="CCEEFF"/>
          </w:tcPr>
          <w:p>
            <w:pPr>
              <w:spacing w:after="0"/>
              <w:rPr>
                <w:sz w:val="7"/>
                <w:szCs w:val="7"/>
                <w:color w:val="auto"/>
              </w:rPr>
            </w:pPr>
          </w:p>
        </w:tc>
        <w:tc>
          <w:tcPr>
            <w:tcW w:w="662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pemigatinib</w:t>
      </w:r>
    </w:p>
    <w:p>
      <w:pPr>
        <w:ind w:left="140"/>
        <w:spacing w:after="0"/>
        <w:rPr>
          <w:sz w:val="20"/>
          <w:szCs w:val="20"/>
          <w:color w:val="auto"/>
        </w:rPr>
      </w:pPr>
      <w:r>
        <w:rPr>
          <w:rFonts w:ascii="Arial" w:cs="Arial" w:eastAsia="Arial" w:hAnsi="Arial"/>
          <w:sz w:val="18"/>
          <w:szCs w:val="18"/>
          <w:b w:val="1"/>
          <w:bCs w:val="1"/>
          <w:color w:val="auto"/>
        </w:rPr>
        <w:t>(FGFR)</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parsaclisib</w:t>
      </w:r>
    </w:p>
    <w:p>
      <w:pPr>
        <w:ind w:left="140"/>
        <w:spacing w:after="0"/>
        <w:rPr>
          <w:sz w:val="20"/>
          <w:szCs w:val="20"/>
          <w:color w:val="auto"/>
        </w:rPr>
      </w:pPr>
      <w:r>
        <w:rPr>
          <w:rFonts w:ascii="Arial" w:cs="Arial" w:eastAsia="Arial" w:hAnsi="Arial"/>
          <w:sz w:val="18"/>
          <w:szCs w:val="18"/>
          <w:b w:val="1"/>
          <w:bCs w:val="1"/>
          <w:color w:val="auto"/>
        </w:rPr>
        <w:t>(PI3Kδ)</w:t>
      </w:r>
    </w:p>
    <w:p>
      <w:pPr>
        <w:spacing w:after="0" w:line="39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retifanlimab</w:t>
      </w:r>
    </w:p>
    <w:p>
      <w:pPr>
        <w:ind w:left="140"/>
        <w:spacing w:after="0"/>
        <w:rPr>
          <w:sz w:val="20"/>
          <w:szCs w:val="20"/>
          <w:color w:val="auto"/>
        </w:rPr>
      </w:pPr>
      <w:r>
        <w:rPr>
          <w:rFonts w:ascii="Arial" w:cs="Arial" w:eastAsia="Arial" w:hAnsi="Arial"/>
          <w:sz w:val="18"/>
          <w:szCs w:val="18"/>
          <w:b w:val="1"/>
          <w:bCs w:val="1"/>
          <w:color w:val="auto"/>
        </w:rPr>
        <w:t>(PD-1)</w:t>
      </w:r>
      <w:r>
        <w:rPr>
          <w:rFonts w:ascii="Arial" w:cs="Arial" w:eastAsia="Arial" w:hAnsi="Arial"/>
          <w:sz w:val="26"/>
          <w:szCs w:val="26"/>
          <w:b w:val="1"/>
          <w:bCs w:val="1"/>
          <w:color w:val="auto"/>
          <w:vertAlign w:val="superscript"/>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CCA: Phase II (FIGHT-202), Phase III (FIGHT-302); NDS and J-NDA under review</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8p11 MPN: Phase II (FIGHT-203)</w:t>
      </w:r>
    </w:p>
    <w:p>
      <w:pPr>
        <w:spacing w:after="0" w:line="203" w:lineRule="auto"/>
        <w:rPr>
          <w:sz w:val="20"/>
          <w:szCs w:val="20"/>
          <w:color w:val="auto"/>
        </w:rPr>
      </w:pPr>
      <w:r>
        <w:rPr>
          <w:rFonts w:ascii="Arial" w:cs="Arial" w:eastAsia="Arial" w:hAnsi="Arial"/>
          <w:sz w:val="18"/>
          <w:szCs w:val="18"/>
          <w:color w:val="auto"/>
        </w:rPr>
        <w:t>Tumor agnostic: Phase II (FIGHT-207)</w:t>
      </w:r>
    </w:p>
    <w:p>
      <w:pPr>
        <w:spacing w:after="0"/>
        <w:rPr>
          <w:sz w:val="20"/>
          <w:szCs w:val="20"/>
          <w:color w:val="auto"/>
        </w:rPr>
      </w:pPr>
      <w:r>
        <w:rPr>
          <w:rFonts w:ascii="Arial" w:cs="Arial" w:eastAsia="Arial" w:hAnsi="Arial"/>
          <w:sz w:val="18"/>
          <w:szCs w:val="18"/>
          <w:color w:val="auto"/>
        </w:rPr>
        <w:t>r/r follicular lymphoma: Phase II (CITADEL-203)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-123190</wp:posOffset>
            </wp:positionV>
            <wp:extent cx="565785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r/r marginal zone lymphoma: Phase II (CITADEL-204)</w:t>
      </w:r>
    </w:p>
    <w:p>
      <w:pPr>
        <w:spacing w:after="0"/>
        <w:rPr>
          <w:sz w:val="20"/>
          <w:szCs w:val="20"/>
          <w:color w:val="auto"/>
        </w:rPr>
      </w:pPr>
      <w:r>
        <w:rPr>
          <w:rFonts w:ascii="Arial" w:cs="Arial" w:eastAsia="Arial" w:hAnsi="Arial"/>
          <w:sz w:val="18"/>
          <w:szCs w:val="18"/>
          <w:color w:val="auto"/>
        </w:rPr>
        <w:t>r/r mantle cell lymphoma: Phase II (CITADEL-205)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MSI-high endometrial cancer: Phase II (POD1UM-101, POD1UM-204)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Merkel cell carcinoma: Phase II (POD1UM-201)</w:t>
      </w:r>
    </w:p>
    <w:p>
      <w:pPr>
        <w:spacing w:after="0" w:line="203" w:lineRule="auto"/>
        <w:rPr>
          <w:sz w:val="20"/>
          <w:szCs w:val="20"/>
          <w:color w:val="auto"/>
        </w:rPr>
      </w:pPr>
      <w:r>
        <w:rPr>
          <w:rFonts w:ascii="Arial" w:cs="Arial" w:eastAsia="Arial" w:hAnsi="Arial"/>
          <w:sz w:val="18"/>
          <w:szCs w:val="18"/>
          <w:color w:val="auto"/>
        </w:rPr>
        <w:t>SCAC: Phase II (POD1UM-202); Phase III (PODIUM-303)</w:t>
      </w:r>
    </w:p>
    <w:p>
      <w:pPr>
        <w:spacing w:after="0"/>
        <w:rPr>
          <w:sz w:val="20"/>
          <w:szCs w:val="20"/>
          <w:color w:val="auto"/>
        </w:rPr>
      </w:pPr>
      <w:r>
        <w:rPr>
          <w:rFonts w:ascii="Arial" w:cs="Arial" w:eastAsia="Arial" w:hAnsi="Arial"/>
          <w:sz w:val="18"/>
          <w:szCs w:val="18"/>
          <w:color w:val="auto"/>
        </w:rPr>
        <w:t>NSCLC: Phase III (POD1UM-304)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124460</wp:posOffset>
            </wp:positionV>
            <wp:extent cx="5657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6479"/>
          </w:cols>
          <w:pgMar w:left="1440" w:top="517" w:right="1440" w:bottom="1440" w:gutter="0" w:footer="0" w:header="0"/>
        </w:sectPr>
      </w:pPr>
    </w:p>
    <w:p>
      <w:pPr>
        <w:spacing w:after="0" w:line="23" w:lineRule="exact"/>
        <w:rPr>
          <w:sz w:val="20"/>
          <w:szCs w:val="20"/>
          <w:color w:val="auto"/>
        </w:rPr>
      </w:pPr>
    </w:p>
    <w:p>
      <w:pPr>
        <w:ind w:left="200" w:hanging="156"/>
        <w:spacing w:after="0"/>
        <w:tabs>
          <w:tab w:leader="none" w:pos="20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Clinical development of ruxolitinib in GVHD conducted in collaboration with Novartis.</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Development collaboration with Cellenkos, Inc.</w:t>
      </w:r>
    </w:p>
    <w:p>
      <w:pPr>
        <w:spacing w:after="0" w:line="2" w:lineRule="exact"/>
        <w:rPr>
          <w:rFonts w:ascii="Arial" w:cs="Arial" w:eastAsia="Arial" w:hAnsi="Arial"/>
          <w:sz w:val="24"/>
          <w:szCs w:val="24"/>
          <w:color w:val="auto"/>
          <w:vertAlign w:val="superscript"/>
        </w:rPr>
      </w:pPr>
    </w:p>
    <w:p>
      <w:pPr>
        <w:ind w:left="180" w:hanging="136"/>
        <w:spacing w:after="0" w:line="186" w:lineRule="auto"/>
        <w:tabs>
          <w:tab w:leader="none" w:pos="18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tafasitamab development in collaboration with MorphoSys.</w:t>
      </w:r>
    </w:p>
    <w:p>
      <w:pPr>
        <w:spacing w:after="0" w:line="2" w:lineRule="exact"/>
        <w:rPr>
          <w:rFonts w:ascii="Arial" w:cs="Arial" w:eastAsia="Arial" w:hAnsi="Arial"/>
          <w:sz w:val="24"/>
          <w:szCs w:val="24"/>
          <w:color w:val="auto"/>
          <w:vertAlign w:val="superscript"/>
        </w:rPr>
      </w:pPr>
    </w:p>
    <w:p>
      <w:pPr>
        <w:ind w:left="40" w:right="59" w:firstLine="4"/>
        <w:spacing w:after="0" w:line="208" w:lineRule="auto"/>
        <w:tabs>
          <w:tab w:leader="none" w:pos="192" w:val="left"/>
        </w:tabs>
        <w:numPr>
          <w:ilvl w:val="0"/>
          <w:numId w:val="7"/>
        </w:numPr>
        <w:rPr>
          <w:rFonts w:ascii="Arial" w:cs="Arial" w:eastAsia="Arial" w:hAnsi="Arial"/>
          <w:sz w:val="26"/>
          <w:szCs w:val="26"/>
          <w:color w:val="auto"/>
          <w:vertAlign w:val="superscript"/>
        </w:rPr>
      </w:pPr>
      <w:r>
        <w:rPr>
          <w:rFonts w:ascii="Arial" w:cs="Arial" w:eastAsia="Arial" w:hAnsi="Arial"/>
          <w:sz w:val="17"/>
          <w:szCs w:val="17"/>
          <w:color w:val="auto"/>
        </w:rPr>
        <w:t>Clinical collaboration with MorphoSys and Xencor, Inc. to investigate the combination of tafasitamab plus lenalidomide in combination with Xencor’s CD20xCD3 XmAb bispecific antibody, plamotamab.</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7"/>
          <w:szCs w:val="17"/>
          <w:color w:val="auto"/>
        </w:rPr>
        <w:t>retifanlimab licensed from MacroGenics.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also have a number of other earlier-stage clinical programs in hematology and oncology, as detailed in the table below. We intend to describe these programs more fully if we obtain clinical proof-of-concept and establish that a program warrants further development in a specific indication or group of indications.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4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95"/>
        </w:trPr>
        <w:tc>
          <w:tcPr>
            <w:tcW w:w="224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680" w:type="dxa"/>
            <w:vAlign w:val="bottom"/>
            <w:shd w:val="clear" w:color="auto" w:fill="CCEEFF"/>
          </w:tcPr>
          <w:p>
            <w:pPr>
              <w:ind w:left="320"/>
              <w:spacing w:after="0" w:line="195" w:lineRule="exact"/>
              <w:rPr>
                <w:sz w:val="20"/>
                <w:szCs w:val="20"/>
                <w:color w:val="auto"/>
              </w:rPr>
            </w:pPr>
            <w:r>
              <w:rPr>
                <w:rFonts w:ascii="Arial" w:cs="Arial" w:eastAsia="Arial" w:hAnsi="Arial"/>
                <w:sz w:val="16"/>
                <w:szCs w:val="16"/>
                <w:color w:val="auto"/>
              </w:rPr>
              <w:t>INCB01158 (ARG)</w:t>
            </w:r>
            <w:r>
              <w:rPr>
                <w:rFonts w:ascii="Arial" w:cs="Arial" w:eastAsia="Arial" w:hAnsi="Arial"/>
                <w:sz w:val="22"/>
                <w:szCs w:val="22"/>
                <w:color w:val="auto"/>
                <w:vertAlign w:val="superscript"/>
              </w:rPr>
              <w:t>1</w:t>
            </w:r>
            <w:r>
              <w:rPr>
                <w:rFonts w:ascii="Arial" w:cs="Arial" w:eastAsia="Arial" w:hAnsi="Arial"/>
                <w:sz w:val="16"/>
                <w:szCs w:val="16"/>
                <w:color w:val="auto"/>
              </w:rPr>
              <w:t>, INCB81776 (AXL/MER), epacadostat (IDO1),</w:t>
            </w:r>
          </w:p>
        </w:tc>
      </w:tr>
      <w:tr>
        <w:trPr>
          <w:trHeight w:val="353"/>
        </w:trPr>
        <w:tc>
          <w:tcPr>
            <w:tcW w:w="2240" w:type="dxa"/>
            <w:vAlign w:val="bottom"/>
            <w:shd w:val="clear" w:color="auto" w:fill="CCEEFF"/>
          </w:tcPr>
          <w:p>
            <w:pPr>
              <w:spacing w:after="0"/>
              <w:rPr>
                <w:sz w:val="24"/>
                <w:szCs w:val="24"/>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INCB86550 (PD-L1), INCB106385 (A</w:t>
            </w:r>
            <w:r>
              <w:rPr>
                <w:rFonts w:ascii="Arial" w:cs="Arial" w:eastAsia="Arial" w:hAnsi="Arial"/>
                <w:sz w:val="26"/>
                <w:szCs w:val="26"/>
                <w:color w:val="auto"/>
                <w:vertAlign w:val="subscript"/>
              </w:rPr>
              <w:t>2A</w:t>
            </w:r>
            <w:r>
              <w:rPr>
                <w:rFonts w:ascii="Arial" w:cs="Arial" w:eastAsia="Arial" w:hAnsi="Arial"/>
                <w:sz w:val="18"/>
                <w:szCs w:val="18"/>
                <w:color w:val="auto"/>
              </w:rPr>
              <w:t>/A</w:t>
            </w:r>
            <w:r>
              <w:rPr>
                <w:rFonts w:ascii="Arial" w:cs="Arial" w:eastAsia="Arial" w:hAnsi="Arial"/>
                <w:sz w:val="26"/>
                <w:szCs w:val="26"/>
                <w:color w:val="auto"/>
                <w:vertAlign w:val="subscript"/>
              </w:rPr>
              <w:t>2B</w:t>
            </w:r>
            <w:r>
              <w:rPr>
                <w:rFonts w:ascii="Arial" w:cs="Arial" w:eastAsia="Arial" w:hAnsi="Arial"/>
                <w:sz w:val="18"/>
                <w:szCs w:val="18"/>
                <w:color w:val="auto"/>
              </w:rPr>
              <w:t>)</w:t>
            </w:r>
          </w:p>
        </w:tc>
      </w:tr>
      <w:tr>
        <w:trPr>
          <w:trHeight w:val="107"/>
        </w:trPr>
        <w:tc>
          <w:tcPr>
            <w:tcW w:w="2240" w:type="dxa"/>
            <w:vAlign w:val="bottom"/>
            <w:shd w:val="clear" w:color="auto" w:fill="CCEEFF"/>
          </w:tcPr>
          <w:p>
            <w:pPr>
              <w:spacing w:after="0"/>
              <w:rPr>
                <w:sz w:val="9"/>
                <w:szCs w:val="9"/>
                <w:color w:val="auto"/>
              </w:rPr>
            </w:pPr>
          </w:p>
        </w:tc>
        <w:tc>
          <w:tcPr>
            <w:tcW w:w="6680" w:type="dxa"/>
            <w:vAlign w:val="bottom"/>
            <w:shd w:val="clear" w:color="auto" w:fill="CCEEFF"/>
          </w:tcPr>
          <w:p>
            <w:pPr>
              <w:spacing w:after="0"/>
              <w:rPr>
                <w:sz w:val="9"/>
                <w:szCs w:val="9"/>
                <w:color w:val="auto"/>
              </w:rPr>
            </w:pPr>
          </w:p>
        </w:tc>
      </w:tr>
      <w:tr>
        <w:trPr>
          <w:trHeight w:val="202"/>
        </w:trPr>
        <w:tc>
          <w:tcPr>
            <w:tcW w:w="2240" w:type="dxa"/>
            <w:vAlign w:val="bottom"/>
          </w:tcPr>
          <w:p>
            <w:pPr>
              <w:ind w:left="100"/>
              <w:spacing w:after="0" w:line="201"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2</w:t>
            </w:r>
          </w:p>
        </w:tc>
        <w:tc>
          <w:tcPr>
            <w:tcW w:w="6680" w:type="dxa"/>
            <w:vAlign w:val="bottom"/>
          </w:tcPr>
          <w:p>
            <w:pPr>
              <w:ind w:left="32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w:t>
            </w:r>
          </w:p>
        </w:tc>
      </w:tr>
      <w:tr>
        <w:trPr>
          <w:trHeight w:val="216"/>
        </w:trPr>
        <w:tc>
          <w:tcPr>
            <w:tcW w:w="22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72"/>
        </w:trPr>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Bispecific antibodies</w:t>
            </w: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MCLA-145 (PD-L1xCD137)</w:t>
            </w:r>
            <w:r>
              <w:rPr>
                <w:rFonts w:ascii="Arial" w:cs="Arial" w:eastAsia="Arial" w:hAnsi="Arial"/>
                <w:sz w:val="26"/>
                <w:szCs w:val="26"/>
                <w:color w:val="auto"/>
                <w:vertAlign w:val="superscript"/>
              </w:rPr>
              <w:t>3</w:t>
            </w:r>
          </w:p>
        </w:tc>
      </w:tr>
      <w:tr>
        <w:trPr>
          <w:trHeight w:val="20"/>
        </w:trPr>
        <w:tc>
          <w:tcPr>
            <w:tcW w:w="224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r>
    </w:tbl>
    <w:p>
      <w:pPr>
        <w:spacing w:after="0" w:line="14" w:lineRule="exact"/>
        <w:rPr>
          <w:sz w:val="20"/>
          <w:szCs w:val="20"/>
          <w:color w:val="auto"/>
        </w:rPr>
      </w:pPr>
    </w:p>
    <w:p>
      <w:pPr>
        <w:ind w:left="200" w:hanging="156"/>
        <w:spacing w:after="0"/>
        <w:tabs>
          <w:tab w:leader="none" w:pos="20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INCB01158 licensed from Calithera Biosciences,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Discovery collaboration with Agenus Inc.</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MCLA-145 development in collaboration with Merus N.V.</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do not yet have any approved products in IAI. In anticipation of the potential FDA approval of our most advanced program, ruxolitinib cream for use in mild-to-moderate atopic dermatitis (AD), we recently established Incyte Dermatology as a new commercial franchise in the United States.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Ruxolitinib cream is a potent, selective inhibitor of JAK1 and JAK2 that provides the opportunity to directly target diverse pathogenic pathways that underlie certain dermatologic conditions, including atopic dermatitis and vitiligo.</w:t>
      </w:r>
    </w:p>
    <w:p>
      <w:pPr>
        <w:spacing w:after="0" w:line="12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April 2020, safety and efficacy data from the two Phase III trials in the TRuE-AD program evaluating ruxolitinib cream in mild-to-moderate atopic dermatitis (AD) were presented at the Revolutionizing Atopic Dermatitis (RAD) virtual symposium; both trials met their primary endpoints. The 44-week long-term safety and efficacy portion of both the TRuE-AD1 and TRuE-AD2 trials have been completed.</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September 2020, we purchased a priority review voucher (PRV) from a third party, with the intent to use it in connection with our submission seeking FDA approval of ruxolitinib cream for the treatment of AD. In December 2020, we submitted an NDA along with the PRV, seeking approval for ruxolitinib cream as a treatment for patients with AD.</w:t>
      </w:r>
    </w:p>
    <w:p>
      <w:pPr>
        <w:spacing w:after="0" w:line="14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2019, primary endpoint data after 6 months of therapy from the Phase II trial of ruxolitinib cream in patients with vitiligo showed a significant benefit over vehicle control, and a global, pivotal Phase III program was initiated in September 2019. In October 2019, updated data from the Phase II trial showed, after 12 months of therapy, additional improvement in the repigmentation of vitiligo lesions.</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Vitiligo is a long-term skin condition characterized by patches of the skin losing their pigment. It is estimated that vitiligo affects 0.5-2% of the US population and, therefore, there are at least 1.5 million patients in the United States with this disorder. There are no FDA approved treatments for repigmentation of vitiligo lesions.</w:t>
      </w:r>
    </w:p>
    <w:p>
      <w:pPr>
        <w:spacing w:after="0" w:line="16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are also developing INCB54707, which is an oral small molecule selective JAK1 inhibitor. INCB54707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INCB54707 is underway in patients with HS.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 Phase II trial of parsaclisib in patients with autoimmune hemolytic anemia (AIHA), a rare red blood cell disorder, is also ongoing. The FDA has granted orphan drug designation to parsaclisib as a treatment for patients with AIHA.</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 Phase II trial of INCB00928 is in preparation for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940" w:type="dxa"/>
            <w:vAlign w:val="bottom"/>
            <w:tcBorders>
              <w:top w:val="single" w:sz="8" w:color="auto"/>
            </w:tcBorders>
          </w:tcPr>
          <w:p>
            <w:pPr>
              <w:spacing w:after="0"/>
              <w:rPr>
                <w:sz w:val="21"/>
                <w:szCs w:val="21"/>
                <w:color w:val="auto"/>
              </w:rPr>
            </w:pPr>
          </w:p>
        </w:tc>
        <w:tc>
          <w:tcPr>
            <w:tcW w:w="69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4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r>
      <w:tr>
        <w:trPr>
          <w:trHeight w:val="142"/>
        </w:trPr>
        <w:tc>
          <w:tcPr>
            <w:tcW w:w="1940" w:type="dxa"/>
            <w:vAlign w:val="bottom"/>
            <w:shd w:val="clear" w:color="auto" w:fill="CCEEFF"/>
          </w:tcPr>
          <w:p>
            <w:pPr>
              <w:ind w:left="100"/>
              <w:spacing w:after="0" w:line="142" w:lineRule="exact"/>
              <w:rPr>
                <w:sz w:val="20"/>
                <w:szCs w:val="20"/>
                <w:color w:val="auto"/>
              </w:rPr>
            </w:pPr>
            <w:r>
              <w:rPr>
                <w:rFonts w:ascii="Arial" w:cs="Arial" w:eastAsia="Arial" w:hAnsi="Arial"/>
                <w:sz w:val="12"/>
                <w:szCs w:val="12"/>
                <w:b w:val="1"/>
                <w:bCs w:val="1"/>
                <w:color w:val="auto"/>
              </w:rPr>
              <w:t>ruxolitinib cream</w:t>
            </w:r>
            <w:r>
              <w:rPr>
                <w:rFonts w:ascii="Arial" w:cs="Arial" w:eastAsia="Arial" w:hAnsi="Arial"/>
                <w:sz w:val="16"/>
                <w:szCs w:val="16"/>
                <w:b w:val="1"/>
                <w:bCs w:val="1"/>
                <w:color w:val="auto"/>
                <w:vertAlign w:val="superscript"/>
              </w:rPr>
              <w:t>1</w:t>
            </w:r>
          </w:p>
        </w:tc>
        <w:tc>
          <w:tcPr>
            <w:tcW w:w="6980" w:type="dxa"/>
            <w:vAlign w:val="bottom"/>
            <w:shd w:val="clear" w:color="auto" w:fill="CCEEFF"/>
          </w:tcPr>
          <w:p>
            <w:pPr>
              <w:ind w:left="280"/>
              <w:spacing w:after="0" w:line="142" w:lineRule="exact"/>
              <w:rPr>
                <w:sz w:val="20"/>
                <w:szCs w:val="20"/>
                <w:color w:val="auto"/>
              </w:rPr>
            </w:pPr>
            <w:r>
              <w:rPr>
                <w:rFonts w:ascii="Arial" w:cs="Arial" w:eastAsia="Arial" w:hAnsi="Arial"/>
                <w:sz w:val="16"/>
                <w:szCs w:val="16"/>
                <w:color w:val="auto"/>
              </w:rPr>
              <w:t>Atopic dermatitis: Phase III (TRuE-AD1, TRuE-AD2; primary endpoint met); NDA</w:t>
            </w:r>
          </w:p>
        </w:tc>
      </w:tr>
      <w:tr>
        <w:trPr>
          <w:trHeight w:val="215"/>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submitted</w:t>
            </w:r>
          </w:p>
        </w:tc>
      </w:tr>
      <w:tr>
        <w:trPr>
          <w:trHeight w:val="230"/>
        </w:trPr>
        <w:tc>
          <w:tcPr>
            <w:tcW w:w="1940" w:type="dxa"/>
            <w:vAlign w:val="bottom"/>
            <w:shd w:val="clear" w:color="auto" w:fill="CCEEFF"/>
          </w:tcPr>
          <w:p>
            <w:pPr>
              <w:spacing w:after="0"/>
              <w:rPr>
                <w:sz w:val="20"/>
                <w:szCs w:val="20"/>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Vitiligo: Phase III (TRuE-V1, TRuE-V2; recruitment complete in both trials)</w:t>
            </w:r>
          </w:p>
        </w:tc>
      </w:tr>
      <w:tr>
        <w:trPr>
          <w:trHeight w:val="234"/>
        </w:trPr>
        <w:tc>
          <w:tcPr>
            <w:tcW w:w="1940" w:type="dxa"/>
            <w:vAlign w:val="bottom"/>
          </w:tcPr>
          <w:p>
            <w:pPr>
              <w:ind w:left="100"/>
              <w:spacing w:after="0"/>
              <w:rPr>
                <w:sz w:val="20"/>
                <w:szCs w:val="20"/>
                <w:color w:val="auto"/>
              </w:rPr>
            </w:pPr>
            <w:r>
              <w:rPr>
                <w:rFonts w:ascii="Arial" w:cs="Arial" w:eastAsia="Arial" w:hAnsi="Arial"/>
                <w:sz w:val="18"/>
                <w:szCs w:val="18"/>
                <w:b w:val="1"/>
                <w:bCs w:val="1"/>
                <w:color w:val="auto"/>
              </w:rPr>
              <w:t>INCB54707 (JAK1)</w:t>
            </w:r>
          </w:p>
        </w:tc>
        <w:tc>
          <w:tcPr>
            <w:tcW w:w="6980" w:type="dxa"/>
            <w:vAlign w:val="bottom"/>
          </w:tcPr>
          <w:p>
            <w:pPr>
              <w:ind w:left="280"/>
              <w:spacing w:after="0"/>
              <w:rPr>
                <w:sz w:val="20"/>
                <w:szCs w:val="20"/>
                <w:color w:val="auto"/>
              </w:rPr>
            </w:pPr>
            <w:r>
              <w:rPr>
                <w:rFonts w:ascii="Arial" w:cs="Arial" w:eastAsia="Arial" w:hAnsi="Arial"/>
                <w:sz w:val="18"/>
                <w:szCs w:val="18"/>
                <w:color w:val="auto"/>
              </w:rPr>
              <w:t>Hidradenitis suppurativa: Phase II</w:t>
            </w:r>
          </w:p>
        </w:tc>
      </w:tr>
      <w:tr>
        <w:trPr>
          <w:trHeight w:val="184"/>
        </w:trPr>
        <w:tc>
          <w:tcPr>
            <w:tcW w:w="1940" w:type="dxa"/>
            <w:vAlign w:val="bottom"/>
          </w:tcPr>
          <w:p>
            <w:pPr>
              <w:spacing w:after="0"/>
              <w:rPr>
                <w:sz w:val="16"/>
                <w:szCs w:val="16"/>
                <w:color w:val="auto"/>
              </w:rPr>
            </w:pPr>
          </w:p>
        </w:tc>
        <w:tc>
          <w:tcPr>
            <w:tcW w:w="6980" w:type="dxa"/>
            <w:vAlign w:val="bottom"/>
          </w:tcPr>
          <w:p>
            <w:pPr>
              <w:spacing w:after="0"/>
              <w:rPr>
                <w:sz w:val="16"/>
                <w:szCs w:val="16"/>
                <w:color w:val="auto"/>
              </w:rPr>
            </w:pPr>
          </w:p>
        </w:tc>
      </w:tr>
      <w:tr>
        <w:trPr>
          <w:trHeight w:val="234"/>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parsaclisib (PI3Kδ)</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Autoimmune hemolytic anemia: Phase II</w:t>
            </w:r>
          </w:p>
        </w:tc>
      </w:tr>
      <w:tr>
        <w:trPr>
          <w:trHeight w:val="144"/>
        </w:trPr>
        <w:tc>
          <w:tcPr>
            <w:tcW w:w="194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rPr>
                <w:sz w:val="12"/>
                <w:szCs w:val="12"/>
                <w:color w:val="auto"/>
              </w:rPr>
            </w:pPr>
          </w:p>
        </w:tc>
      </w:tr>
      <w:tr>
        <w:trPr>
          <w:trHeight w:val="234"/>
        </w:trPr>
        <w:tc>
          <w:tcPr>
            <w:tcW w:w="1940" w:type="dxa"/>
            <w:vAlign w:val="bottom"/>
          </w:tcPr>
          <w:p>
            <w:pPr>
              <w:ind w:left="100"/>
              <w:spacing w:after="0"/>
              <w:rPr>
                <w:sz w:val="20"/>
                <w:szCs w:val="20"/>
                <w:color w:val="auto"/>
              </w:rPr>
            </w:pPr>
            <w:r>
              <w:rPr>
                <w:rFonts w:ascii="Arial" w:cs="Arial" w:eastAsia="Arial" w:hAnsi="Arial"/>
                <w:sz w:val="18"/>
                <w:szCs w:val="18"/>
                <w:b w:val="1"/>
                <w:bCs w:val="1"/>
                <w:color w:val="auto"/>
              </w:rPr>
              <w:t>INCB00928 (ALK2)</w:t>
            </w:r>
          </w:p>
        </w:tc>
        <w:tc>
          <w:tcPr>
            <w:tcW w:w="6980" w:type="dxa"/>
            <w:vAlign w:val="bottom"/>
          </w:tcPr>
          <w:p>
            <w:pPr>
              <w:ind w:left="280"/>
              <w:spacing w:after="0"/>
              <w:rPr>
                <w:sz w:val="20"/>
                <w:szCs w:val="20"/>
                <w:color w:val="auto"/>
              </w:rPr>
            </w:pPr>
            <w:r>
              <w:rPr>
                <w:rFonts w:ascii="Arial" w:cs="Arial" w:eastAsia="Arial" w:hAnsi="Arial"/>
                <w:sz w:val="18"/>
                <w:szCs w:val="18"/>
                <w:color w:val="auto"/>
              </w:rPr>
              <w:t>Fibrodysplasia ossificans progressiva: Phase II in preparation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31" w:lineRule="exact"/>
        <w:rPr>
          <w:sz w:val="20"/>
          <w:szCs w:val="20"/>
          <w:color w:val="auto"/>
        </w:rPr>
      </w:pPr>
    </w:p>
    <w:p>
      <w:pPr>
        <w:ind w:left="40" w:right="59" w:firstLine="4"/>
        <w:spacing w:after="0" w:line="207" w:lineRule="auto"/>
        <w:tabs>
          <w:tab w:leader="none" w:pos="227"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7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Lilly has conducted a Phase IIa trial and a Phase III program to evaluate the safety and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An sNDA for baricitinib has been submitted by Lilly for the treatment of patients with AD.</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Systemic Lupus Erythematosus. </w:t>
      </w:r>
      <w:r>
        <w:rPr>
          <w:rFonts w:ascii="Arial" w:cs="Arial" w:eastAsia="Arial" w:hAnsi="Arial"/>
          <w:sz w:val="16"/>
          <w:szCs w:val="16"/>
          <w:color w:val="auto"/>
        </w:rPr>
        <w:t>Systemic lupus erythematosus (SLE) is a chronic disease that causes</w:t>
      </w:r>
      <w:r>
        <w:rPr>
          <w:rFonts w:ascii="Arial" w:cs="Arial" w:eastAsia="Arial" w:hAnsi="Arial"/>
          <w:sz w:val="16"/>
          <w:szCs w:val="16"/>
          <w:i w:val="1"/>
          <w:iCs w:val="1"/>
          <w:color w:val="auto"/>
        </w:rPr>
        <w:t xml:space="preserve"> </w:t>
      </w:r>
      <w:r>
        <w:rPr>
          <w:rFonts w:ascii="Arial" w:cs="Arial" w:eastAsia="Arial" w:hAnsi="Arial"/>
          <w:sz w:val="16"/>
          <w:szCs w:val="16"/>
          <w:color w:val="auto"/>
        </w:rPr>
        <w:t>inflammation. In addition to affecting the skin and joints, it can affect other organs in the body such as the kidneys, the tissue lining the lungs and heart, and the brain. Lilly has conducted a Phase II trial to evaluate the safety and efficacy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two Phase III trials of baricitinib in patients with SLE, BRAVE I and BRAVE II.</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Alopecia Areata</w:t>
      </w:r>
      <w:r>
        <w:rPr>
          <w:rFonts w:ascii="Arial" w:cs="Arial" w:eastAsia="Arial" w:hAnsi="Arial"/>
          <w:sz w:val="18"/>
          <w:szCs w:val="18"/>
          <w:color w:val="auto"/>
        </w:rPr>
        <w:t>. Alopecia areata is an autoimmune disorder in which the immune system attacks the hair follicles,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hair loss in patches. In March 2020, Lilly announced that baricitinib received Breakthrough Therapy designation for the treatment of alopecia areata, based on the positive Phase II results of Lilly’s adaptive Phase II/III study BRAVE-AA1. The Phase III portion of BRAVE-AA1 is ongoing, as is a second Phase III study, BRAVE-AA2, in adults with severe or very severe alopecia areata.</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20" w:type="dxa"/>
            <w:vAlign w:val="bottom"/>
            <w:tcBorders>
              <w:top w:val="single" w:sz="8" w:color="auto"/>
            </w:tcBorders>
          </w:tcPr>
          <w:p>
            <w:pPr>
              <w:spacing w:after="0"/>
              <w:rPr>
                <w:sz w:val="22"/>
                <w:szCs w:val="22"/>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63"/>
        </w:trPr>
        <w:tc>
          <w:tcPr>
            <w:tcW w:w="172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r>
        <w:trPr>
          <w:trHeight w:val="142"/>
        </w:trPr>
        <w:tc>
          <w:tcPr>
            <w:tcW w:w="17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baricitinib</w:t>
            </w:r>
          </w:p>
        </w:tc>
        <w:tc>
          <w:tcPr>
            <w:tcW w:w="7200" w:type="dxa"/>
            <w:vAlign w:val="bottom"/>
            <w:shd w:val="clear" w:color="auto" w:fill="CCEEFF"/>
          </w:tcPr>
          <w:p>
            <w:pPr>
              <w:ind w:left="120"/>
              <w:spacing w:after="0" w:line="142" w:lineRule="exact"/>
              <w:rPr>
                <w:sz w:val="20"/>
                <w:szCs w:val="20"/>
                <w:color w:val="auto"/>
              </w:rPr>
            </w:pPr>
            <w:r>
              <w:rPr>
                <w:rFonts w:ascii="Arial" w:cs="Arial" w:eastAsia="Arial" w:hAnsi="Arial"/>
                <w:sz w:val="16"/>
                <w:szCs w:val="16"/>
                <w:color w:val="auto"/>
              </w:rPr>
              <w:t>Atopic dermatitis: Phase III (BREEZE-AD); approved in European Union and Japan; sNDA</w:t>
            </w:r>
          </w:p>
        </w:tc>
      </w:tr>
      <w:tr>
        <w:trPr>
          <w:trHeight w:val="215"/>
        </w:trPr>
        <w:tc>
          <w:tcPr>
            <w:tcW w:w="172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b w:val="1"/>
                <w:bCs w:val="1"/>
                <w:color w:val="auto"/>
              </w:rPr>
              <w:t>(JAK1/JAK2)</w:t>
            </w:r>
            <w:r>
              <w:rPr>
                <w:rFonts w:ascii="Arial" w:cs="Arial" w:eastAsia="Arial" w:hAnsi="Arial"/>
                <w:sz w:val="24"/>
                <w:szCs w:val="24"/>
                <w:b w:val="1"/>
                <w:bCs w:val="1"/>
                <w:color w:val="auto"/>
                <w:vertAlign w:val="superscript"/>
              </w:rPr>
              <w:t>1</w:t>
            </w: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submitted</w:t>
            </w:r>
          </w:p>
        </w:tc>
      </w:tr>
      <w:tr>
        <w:trPr>
          <w:trHeight w:val="203"/>
        </w:trPr>
        <w:tc>
          <w:tcPr>
            <w:tcW w:w="1720" w:type="dxa"/>
            <w:vAlign w:val="bottom"/>
            <w:shd w:val="clear" w:color="auto" w:fill="CCEEFF"/>
          </w:tcPr>
          <w:p>
            <w:pPr>
              <w:spacing w:after="0"/>
              <w:rPr>
                <w:sz w:val="17"/>
                <w:szCs w:val="17"/>
                <w:color w:val="auto"/>
              </w:rPr>
            </w:pPr>
          </w:p>
        </w:tc>
        <w:tc>
          <w:tcPr>
            <w:tcW w:w="7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Systemic lupus erythematosus: Phase III (BRAVE I, BRAVE II)</w:t>
            </w:r>
          </w:p>
        </w:tc>
      </w:tr>
      <w:tr>
        <w:trPr>
          <w:trHeight w:val="230"/>
        </w:trPr>
        <w:tc>
          <w:tcPr>
            <w:tcW w:w="1720" w:type="dxa"/>
            <w:vAlign w:val="bottom"/>
            <w:shd w:val="clear" w:color="auto" w:fill="CCEEFF"/>
          </w:tcPr>
          <w:p>
            <w:pPr>
              <w:spacing w:after="0"/>
              <w:rPr>
                <w:sz w:val="20"/>
                <w:szCs w:val="20"/>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Severe alopecia areata: Phase III (BRAVE-AA1, BRAVE-AA2)</w:t>
            </w:r>
          </w:p>
        </w:tc>
      </w:tr>
      <w:tr>
        <w:trPr>
          <w:trHeight w:val="230"/>
        </w:trPr>
        <w:tc>
          <w:tcPr>
            <w:tcW w:w="17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19"/>
                <w:szCs w:val="19"/>
                <w:color w:val="auto"/>
              </w:rPr>
            </w:pPr>
          </w:p>
        </w:tc>
      </w:tr>
      <w:tr>
        <w:trPr>
          <w:trHeight w:val="355"/>
        </w:trPr>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6"/>
                <w:szCs w:val="26"/>
                <w:b w:val="1"/>
                <w:bCs w:val="1"/>
                <w:color w:val="auto"/>
                <w:vertAlign w:val="superscript"/>
              </w:rPr>
              <w:t>2</w:t>
            </w:r>
          </w:p>
        </w:tc>
        <w:tc>
          <w:tcPr>
            <w:tcW w:w="7200" w:type="dxa"/>
            <w:vAlign w:val="bottom"/>
          </w:tcPr>
          <w:p>
            <w:pPr>
              <w:ind w:left="120"/>
              <w:spacing w:after="0"/>
              <w:rPr>
                <w:sz w:val="20"/>
                <w:szCs w:val="20"/>
                <w:color w:val="auto"/>
              </w:rPr>
            </w:pPr>
            <w:r>
              <w:rPr>
                <w:rFonts w:ascii="Arial" w:cs="Arial" w:eastAsia="Arial" w:hAnsi="Arial"/>
                <w:sz w:val="18"/>
                <w:szCs w:val="18"/>
                <w:color w:val="auto"/>
              </w:rPr>
              <w:t>NSCLC (with MET exon 14 skipping mutations): approved in United States and Japan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40640</wp:posOffset>
            </wp:positionV>
            <wp:extent cx="56578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71" w:lineRule="exact"/>
        <w:rPr>
          <w:sz w:val="20"/>
          <w:szCs w:val="20"/>
          <w:color w:val="auto"/>
        </w:rPr>
      </w:pPr>
    </w:p>
    <w:p>
      <w:pPr>
        <w:ind w:left="200" w:hanging="156"/>
        <w:spacing w:after="0"/>
        <w:tabs>
          <w:tab w:leader="none" w:pos="20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6 of notes to our consolidated financial statements included in Item 8 of this report.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indications in mainland China, Hong Kong, Macau and Taiwan.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retained an option to assist in the promotion of INCMGA0012 in Zai Lab’s licensed territories.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Under the terms of this agreement, as amended in February 2017,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two of which were removed from the collaboration under the February 2017 amendments.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II clinical trials, for multiple myeloma.</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 investigational monoclonal antibody that inhibits PD-1. MacroGenics has retained the right to develop and commercialize, at its cost and expense, its pipeline assets in combination with INCMGA0012.</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the agreement, we received exclusive commercialization rights outside of the United States, and MorphoSys and we have co-commercialization rights in the United States, with respect to tafasitamab.</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(“the COVID-19 Pandemic”). We and our collaboration partners Lilly and Novartis initiated a number of clinical trials to address COVID-19.</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We sponsored this collaborative study in the United States and our collaboration partner Novartis International Pharmaceutical Ltd. sponsored the study outside of the United States.</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December 2020, we announced initial results from RUXCOVID, where treatment with ruxolitinib plus SoC did not prevent complications compared to SoC treatment alone in patients with COVID-19 associated cytokine storm. The RUXCOVID study has been completed and the data will be further analyzed to determine any potential impact on other studies of ruxolitinib in patients with COVID-19, including our Expanded Access Program in the United States, which allows eligible patients with severe COVID-19 associated cytokine storm to receive ruxolitinib.</w:t>
      </w:r>
    </w:p>
    <w:p>
      <w:pPr>
        <w:spacing w:after="0" w:line="17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A second Phase III clinical trial remains ongoing in multiple geographies, including the United States,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The SoC therapy is currently evolving and could be subject to change.</w:t>
      </w:r>
    </w:p>
    <w:p>
      <w:pPr>
        <w:spacing w:after="0" w:line="15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Lilly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November 2020, we and Lilly announced that the FDA issued an Emergency Use Authorization (EUA) for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w:t>
      </w:r>
    </w:p>
    <w:p>
      <w:pPr>
        <w:spacing w:after="0" w:line="15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addition, in June 2020, Lilly announced that the first patient had been enrolled in a Phase III randomized, double-blind, placebo–controlled study (COV-BARRIER) to evaluate the efficacy and safety of baricitinib in hospitalized adults not on mechanical ventilation and who have COVID-19.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Incyte’s Approach to Drug Discovery and Development</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productivity in drug discovery is primarily a result of our core competency in medicinal chemistry which is tightly integrated with, and supported by, an experienced team of biologists and pharmaceutical scientists with expertise in multiple therapeutic areas. This discovery team operates in concert with an equally experienced drug development organization with expertise in clinical sciences, statistics, and regulatory affairs. Our drug development organization manages our clinical programs and utilizes clinical research organizations (CROs), expert scientific advisory boards, and leading consultants and suppliers as appropriate to ensure our clinical trials are conducted efficiently, effectively, and in accordance with regulatory and compliance guidelines.</w:t>
      </w:r>
    </w:p>
    <w:p>
      <w:pPr>
        <w:spacing w:after="0" w:line="19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To succeed in our objective to discover and advance novel therapeutics that address serious unmet medical needs, we have established a broad range of discovery capabilities in-house, including target validation, high-throughput screening, medicinal chemistry, computational chemistry, pharmacological and translational sciences and ADME (absorption, distribution, metabolism and excretion) assessment. We augment these capabilities through collaborations with academic and contract laboratory resources with relevant expertise.</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addition to our small molecule expertise, we have added biotherapeutic antibody discovery capabilities. The collaboration with Agenus has provided us with access to their antibody discovery platform and provided us with both clinical antibodies and pre-clinical candidates. We have expanded our discovery scope to include bispecific antibodies through a collaboration with Merus. We are complementing these collaborations by building in-house antibody discovery, pharmacology, ADME and CMC capabilities and will partner these efforts with our small molecule portfolio.</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Driven by a target- and pathway-centric discovery process, our pipeline has grown and is currently focused primarily in the area of oncology. We conduct a limited number of discovery programs in parallel at any one time. This focus allows us to allocate resources to our selected programs at a level that we believe is competitive with larger pharmaceutical companies. We continually modify the resourcing of our discovery efforts with the goals of maximizing information content when and where we need it and ensuring that each program, regardless of stage, is executed in the most efficient and data-rich manner possible. We believe this approach has played a critical role in the development of our product portfolio.</w:t>
      </w:r>
    </w:p>
    <w:p>
      <w:pPr>
        <w:spacing w:after="0" w:line="19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Once our compounds reach clinical development, our objective is to rapidly progress the lead candidate into a proof-of-concept clinical trial to quickly assess the therapeutic potential of the clinical candidate itself as well as its underlying mechanism of action. This information is then used to evaluate the compound’s development opportunities, identify the most appropriate indication or indications to pursue, and develop a clinical and regulatory plan to advance the molecule forward.</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development teams are responsible for ensuring that our clinical candidates are expeditiously progressed through clinical safety, proof-of-concept, and formal efficacy/pivotal trials. Our development teams include employees with expertise in drug development, including clinical trial design, statistics, regulatory affairs, medical affairs, pharmacovigilance and project management. We have also built internal process chemistry and formulation teams that work closely with external GMP contract manufacturers to support our drug development efforts.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Incyte’s Commercial Strategy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strategy is to develop and commercialize compounds that we have internally discovered or have acquired rights to in the markets where we believe that a company of our size can successfully compete. We currently commercialize three compounds in the United States and one in Europe.</w:t>
      </w:r>
    </w:p>
    <w:p>
      <w:pPr>
        <w:spacing w:after="0" w:line="184" w:lineRule="exact"/>
        <w:rPr>
          <w:sz w:val="20"/>
          <w:szCs w:val="20"/>
          <w:color w:val="auto"/>
        </w:rPr>
      </w:pPr>
    </w:p>
    <w:p>
      <w:pPr>
        <w:jc w:val="both"/>
        <w:ind w:left="40" w:right="59" w:firstLine="648"/>
        <w:spacing w:after="0" w:line="219" w:lineRule="exact"/>
        <w:rPr>
          <w:sz w:val="20"/>
          <w:szCs w:val="20"/>
          <w:color w:val="auto"/>
        </w:rPr>
      </w:pPr>
      <w:r>
        <w:rPr>
          <w:rFonts w:ascii="Arial" w:cs="Arial" w:eastAsia="Arial" w:hAnsi="Arial"/>
          <w:sz w:val="17"/>
          <w:szCs w:val="17"/>
          <w:color w:val="auto"/>
        </w:rPr>
        <w:t>In November 2011, we received regulatory approval of JAKAFI (ruxolitinib) in the United States for the treatment of intermediate or high-risk myelofibrosis. Since that time, we have focused on increasing utilization of JAKAFI in this patient population. In December 2014, JAKAFI was approved for the treatment of patients with polycythemia vera who have had an inadequate response to or are intolerant of hydroxyurea. In May 2019, JAKAFI was approved for the treatment of steroid</w:t>
      </w:r>
      <w:r>
        <w:rPr>
          <w:rFonts w:ascii="MS PGothic" w:cs="MS PGothic" w:eastAsia="MS PGothic" w:hAnsi="MS PGothic"/>
          <w:sz w:val="17"/>
          <w:szCs w:val="17"/>
          <w:color w:val="auto"/>
        </w:rPr>
        <w:t>‐</w:t>
      </w:r>
      <w:r>
        <w:rPr>
          <w:rFonts w:ascii="Arial" w:cs="Arial" w:eastAsia="Arial" w:hAnsi="Arial"/>
          <w:sz w:val="17"/>
          <w:szCs w:val="17"/>
          <w:color w:val="auto"/>
        </w:rPr>
        <w:t>refractory acute GVHD in adult and pediatric patients 12 years and older.</w:t>
      </w:r>
    </w:p>
    <w:p>
      <w:pPr>
        <w:spacing w:after="0" w:line="20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April 2020, we received regulatory approval of PEMAZYRE (pemigatinib) in the United States for the treatment of adults with previously treated, unresectable locally advanced or metastatic cholangiocarcinoma (CCA) with an FGFR2 fusion or other rearrangement. We are focused on increasing the utilization of molecular profiling in CCA to support identification of appropriate patients for PEMAZYRE.</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2020, we and MorphoSys AG entered into a collaboration and license agreement to further develop and commercialize MorphoSys' proprietary anti-CD19 antibody tafasitamab globally. In July of 2020, MONJUVI (tafasitamab-cxix), in combination with lenalidomide, was FDA approved for the treatment of adult patients with relapsed or refractory diffuse large B-cell lymphoma (DLBCL) not otherwise specified, including DLBCL arising from low grade lymphoma, and who are not eligible for autologous stem cell transplant. MONJUVI is being co-commercialized by us and MorphoSys in the United States.</w:t>
      </w:r>
    </w:p>
    <w:p>
      <w:pPr>
        <w:spacing w:after="0" w:line="19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have expanded the marketing, medical, sales and operational infrastructure to support the commercialization of JAKAFI, PEMAZYRE and MONJUVI in the United States.</w:t>
      </w:r>
    </w:p>
    <w:p>
      <w:pPr>
        <w:spacing w:after="0" w:line="17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ICLUSIG is approved in the European Union for the treatment of adult patients with CML who are resistant to dasatinib or nilotinib; who are intolerant to dasatinib or nilotinib and for whom subsequent treatment with imatinib is not clinically appropriate, or who have the T315I mutation. ICLUSIG is also indicated in adult patients with Philadelphia positive AML who are resistant to dasatinib; who are intolerant to dasatinib and for whom subsequent treatment with imatinib is not clinically appropriate, or who have the T315I mutation. We are focused on increasing the utilization of ICLUSIG in this patient population within our territory as appropriate.</w:t>
      </w:r>
    </w:p>
    <w:p>
      <w:pPr>
        <w:spacing w:after="0" w:line="19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are continuing to expand our marketing, medical and operational infrastructure within the United States and outside of the United States to prepare for potential approval of other products.</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For certain other compounds, including rights to ruxolitinib outside the United States and global rights to capmatinib, which have both been licensed to Novartis, and global rights to baricitinib, which have been licensed to Lilly, we have established and may in the future establish collaborations or strategic relationships to support development and commercialization in certain territories or therapeutic areas where we do not have or do not want to build expertise. We believe the key benefits to entering into such strategic relationships include the potential to expedite the development and commercialization of certain of our compounds, as well as the opportunity to receive upfront payments and future milestones and royalties in exchange for certain rights to those compounds.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229"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regard the protection of patents and other enforceable intellectual property rights that we own or license as critical to our business and competitive position. Accordingly, we rely on patent, trademark, trade secret and copyright law, as well as nondisclosure and other contractual arrangements, to protect our intellectual property. We have established a patent portfolio of patents and patent applications owned or licensed by us that cover aspects of all our drug products and drug candidates. The patents and patent applications relating to our drug products and drug candidates generally include claims directed to the compounds, methods of using the compounds, formulations of the compounds, pharmaceutical salt forms of the compounds, and methods of manufacturing the compounds. Our policy is to pursue patent applications 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inventions and discoveries that we believe are commercially important to the development and growth of our business. The following table sets forth the status of the patents and patent applications in the United States, the European Union, and Japan for our approved medicines and for those compounds in our portfolio that have been submitted to regulatory authorities seeking approval or are in registration-directed clinical trials: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340" w:type="dxa"/>
            <w:vAlign w:val="bottom"/>
          </w:tcPr>
          <w:p>
            <w:pPr>
              <w:ind w:left="220"/>
              <w:spacing w:after="0"/>
              <w:rPr>
                <w:sz w:val="20"/>
                <w:szCs w:val="20"/>
                <w:color w:val="auto"/>
              </w:rPr>
            </w:pPr>
            <w:r>
              <w:rPr>
                <w:rFonts w:ascii="Arial" w:cs="Arial" w:eastAsia="Arial" w:hAnsi="Arial"/>
                <w:sz w:val="14"/>
                <w:szCs w:val="14"/>
                <w:b w:val="1"/>
                <w:bCs w:val="1"/>
                <w:color w:val="auto"/>
              </w:rPr>
              <w:t>Status of U.S. Composition of</w:t>
            </w:r>
          </w:p>
        </w:tc>
        <w:tc>
          <w:tcPr>
            <w:tcW w:w="2220" w:type="dxa"/>
            <w:vAlign w:val="bottom"/>
          </w:tcPr>
          <w:p>
            <w:pPr>
              <w:ind w:left="120"/>
              <w:spacing w:after="0"/>
              <w:rPr>
                <w:sz w:val="20"/>
                <w:szCs w:val="20"/>
                <w:color w:val="auto"/>
              </w:rPr>
            </w:pPr>
            <w:r>
              <w:rPr>
                <w:rFonts w:ascii="Arial" w:cs="Arial" w:eastAsia="Arial" w:hAnsi="Arial"/>
                <w:sz w:val="14"/>
                <w:szCs w:val="14"/>
                <w:b w:val="1"/>
                <w:bCs w:val="1"/>
                <w:color w:val="auto"/>
              </w:rPr>
              <w:t>Status of EU Composition of</w:t>
            </w:r>
          </w:p>
        </w:tc>
        <w:tc>
          <w:tcPr>
            <w:tcW w:w="2160" w:type="dxa"/>
            <w:vAlign w:val="bottom"/>
          </w:tcPr>
          <w:p>
            <w:pPr>
              <w:ind w:left="120"/>
              <w:spacing w:after="0"/>
              <w:rPr>
                <w:sz w:val="20"/>
                <w:szCs w:val="20"/>
                <w:color w:val="auto"/>
              </w:rPr>
            </w:pPr>
            <w:r>
              <w:rPr>
                <w:rFonts w:ascii="Arial" w:cs="Arial" w:eastAsia="Arial" w:hAnsi="Arial"/>
                <w:sz w:val="14"/>
                <w:szCs w:val="14"/>
                <w:b w:val="1"/>
                <w:bCs w:val="1"/>
                <w:color w:val="auto"/>
                <w:w w:val="95"/>
              </w:rPr>
              <w:t>Status of Japan Composition of</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3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Matter Patent Estate</w:t>
            </w:r>
          </w:p>
        </w:tc>
        <w:tc>
          <w:tcPr>
            <w:tcW w:w="22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Matter Patent Estate (Earliest</w:t>
            </w:r>
          </w:p>
        </w:tc>
        <w:tc>
          <w:tcPr>
            <w:tcW w:w="21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Matter Patent Estate (Earliest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3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(Earliest Anticipated Expiration</w:t>
            </w:r>
          </w:p>
        </w:tc>
        <w:tc>
          <w:tcPr>
            <w:tcW w:w="22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Anticipated Expiration</w:t>
            </w:r>
          </w:p>
        </w:tc>
        <w:tc>
          <w:tcPr>
            <w:tcW w:w="21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Anticipated Expiration</w:t>
            </w:r>
          </w:p>
        </w:tc>
        <w:tc>
          <w:tcPr>
            <w:tcW w:w="0" w:type="dxa"/>
            <w:vAlign w:val="bottom"/>
          </w:tcPr>
          <w:p>
            <w:pPr>
              <w:spacing w:after="0"/>
              <w:rPr>
                <w:sz w:val="1"/>
                <w:szCs w:val="1"/>
                <w:color w:val="auto"/>
              </w:rPr>
            </w:pPr>
          </w:p>
        </w:tc>
      </w:tr>
      <w:tr>
        <w:trPr>
          <w:trHeight w:val="144"/>
        </w:trPr>
        <w:tc>
          <w:tcPr>
            <w:tcW w:w="22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Drug/Drug Candidate (Target)</w:t>
            </w:r>
          </w:p>
        </w:tc>
        <w:tc>
          <w:tcPr>
            <w:tcW w:w="2340" w:type="dxa"/>
            <w:vAlign w:val="bottom"/>
          </w:tcPr>
          <w:p>
            <w:pPr>
              <w:ind w:left="220"/>
              <w:spacing w:after="0" w:line="145" w:lineRule="exact"/>
              <w:rPr>
                <w:sz w:val="20"/>
                <w:szCs w:val="20"/>
                <w:color w:val="auto"/>
              </w:rPr>
            </w:pPr>
            <w:r>
              <w:rPr>
                <w:rFonts w:ascii="Arial" w:cs="Arial" w:eastAsia="Arial" w:hAnsi="Arial"/>
                <w:sz w:val="14"/>
                <w:szCs w:val="14"/>
                <w:b w:val="1"/>
                <w:bCs w:val="1"/>
                <w:color w:val="auto"/>
                <w:w w:val="97"/>
              </w:rPr>
              <w:t>Including PTE Extensions where</w:t>
            </w:r>
          </w:p>
        </w:tc>
        <w:tc>
          <w:tcPr>
            <w:tcW w:w="2220" w:type="dxa"/>
            <w:vAlign w:val="bottom"/>
          </w:tcPr>
          <w:p>
            <w:pPr>
              <w:ind w:left="120"/>
              <w:spacing w:after="0" w:line="145" w:lineRule="exact"/>
              <w:rPr>
                <w:sz w:val="20"/>
                <w:szCs w:val="20"/>
                <w:color w:val="auto"/>
              </w:rPr>
            </w:pPr>
            <w:r>
              <w:rPr>
                <w:rFonts w:ascii="Arial" w:cs="Arial" w:eastAsia="Arial" w:hAnsi="Arial"/>
                <w:sz w:val="14"/>
                <w:szCs w:val="14"/>
                <w:b w:val="1"/>
                <w:bCs w:val="1"/>
                <w:color w:val="auto"/>
                <w:w w:val="95"/>
              </w:rPr>
              <w:t>Including SPC Extensions where</w:t>
            </w:r>
          </w:p>
        </w:tc>
        <w:tc>
          <w:tcPr>
            <w:tcW w:w="216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Including SPC Extensions</w:t>
            </w:r>
          </w:p>
        </w:tc>
        <w:tc>
          <w:tcPr>
            <w:tcW w:w="0" w:type="dxa"/>
            <w:vAlign w:val="bottom"/>
          </w:tcPr>
          <w:p>
            <w:pPr>
              <w:spacing w:after="0"/>
              <w:rPr>
                <w:sz w:val="1"/>
                <w:szCs w:val="1"/>
                <w:color w:val="auto"/>
              </w:rPr>
            </w:pPr>
          </w:p>
        </w:tc>
      </w:tr>
      <w:tr>
        <w:trPr>
          <w:trHeight w:val="175"/>
        </w:trPr>
        <w:tc>
          <w:tcPr>
            <w:tcW w:w="220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ind w:left="220"/>
              <w:spacing w:after="0" w:line="176" w:lineRule="exact"/>
              <w:rPr>
                <w:sz w:val="20"/>
                <w:szCs w:val="20"/>
                <w:color w:val="auto"/>
              </w:rPr>
            </w:pPr>
            <w:r>
              <w:rPr>
                <w:rFonts w:ascii="Arial" w:cs="Arial" w:eastAsia="Arial" w:hAnsi="Arial"/>
                <w:sz w:val="14"/>
                <w:szCs w:val="14"/>
                <w:b w:val="1"/>
                <w:bCs w:val="1"/>
                <w:color w:val="auto"/>
              </w:rPr>
              <w:t>granted)</w:t>
            </w:r>
            <w:r>
              <w:rPr>
                <w:rFonts w:ascii="Arial" w:cs="Arial" w:eastAsia="Arial" w:hAnsi="Arial"/>
                <w:sz w:val="20"/>
                <w:szCs w:val="20"/>
                <w:b w:val="1"/>
                <w:bCs w:val="1"/>
                <w:color w:val="auto"/>
                <w:vertAlign w:val="superscript"/>
              </w:rPr>
              <w:t>3</w:t>
            </w:r>
          </w:p>
        </w:tc>
        <w:tc>
          <w:tcPr>
            <w:tcW w:w="222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4"/>
                <w:szCs w:val="14"/>
                <w:b w:val="1"/>
                <w:bCs w:val="1"/>
                <w:color w:val="auto"/>
              </w:rPr>
              <w:t>granted)</w:t>
            </w:r>
            <w:r>
              <w:rPr>
                <w:rFonts w:ascii="Arial" w:cs="Arial" w:eastAsia="Arial" w:hAnsi="Arial"/>
                <w:sz w:val="20"/>
                <w:szCs w:val="20"/>
                <w:b w:val="1"/>
                <w:bCs w:val="1"/>
                <w:color w:val="auto"/>
                <w:vertAlign w:val="superscript"/>
              </w:rPr>
              <w:t>3</w:t>
            </w:r>
          </w:p>
        </w:tc>
        <w:tc>
          <w:tcPr>
            <w:tcW w:w="216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4"/>
                <w:szCs w:val="14"/>
                <w:b w:val="1"/>
                <w:bCs w:val="1"/>
                <w:color w:val="auto"/>
              </w:rPr>
              <w:t>where granted)</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ind w:left="100"/>
              <w:spacing w:after="0" w:line="195" w:lineRule="exact"/>
              <w:rPr>
                <w:sz w:val="20"/>
                <w:szCs w:val="20"/>
                <w:color w:val="auto"/>
              </w:rPr>
            </w:pPr>
            <w:r>
              <w:rPr>
                <w:rFonts w:ascii="Arial" w:cs="Arial" w:eastAsia="Arial" w:hAnsi="Arial"/>
                <w:sz w:val="15"/>
                <w:szCs w:val="15"/>
                <w:color w:val="auto"/>
              </w:rPr>
              <w:t>ruxolitinib (JAK)</w:t>
            </w:r>
            <w:r>
              <w:rPr>
                <w:rFonts w:ascii="Arial" w:cs="Arial" w:eastAsia="Arial" w:hAnsi="Arial"/>
                <w:sz w:val="22"/>
                <w:szCs w:val="22"/>
                <w:color w:val="auto"/>
                <w:vertAlign w:val="superscript"/>
              </w:rPr>
              <w:t>1,2</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Granted and pending (2027)</w:t>
            </w:r>
          </w:p>
        </w:tc>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and pending (2027)</w:t>
            </w: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and pending (2028)</w:t>
            </w:r>
          </w:p>
        </w:tc>
        <w:tc>
          <w:tcPr>
            <w:tcW w:w="0" w:type="dxa"/>
            <w:vAlign w:val="bottom"/>
          </w:tcPr>
          <w:p>
            <w:pPr>
              <w:spacing w:after="0"/>
              <w:rPr>
                <w:sz w:val="1"/>
                <w:szCs w:val="1"/>
                <w:color w:val="auto"/>
              </w:rPr>
            </w:pPr>
          </w:p>
        </w:tc>
      </w:tr>
      <w:tr>
        <w:trPr>
          <w:trHeight w:val="203"/>
        </w:trPr>
        <w:tc>
          <w:tcPr>
            <w:tcW w:w="2200" w:type="dxa"/>
            <w:vAlign w:val="bottom"/>
          </w:tcPr>
          <w:p>
            <w:pPr>
              <w:ind w:left="100"/>
              <w:spacing w:after="0"/>
              <w:rPr>
                <w:sz w:val="20"/>
                <w:szCs w:val="20"/>
                <w:color w:val="auto"/>
              </w:rPr>
            </w:pPr>
            <w:r>
              <w:rPr>
                <w:rFonts w:ascii="Arial" w:cs="Arial" w:eastAsia="Arial" w:hAnsi="Arial"/>
                <w:sz w:val="16"/>
                <w:szCs w:val="16"/>
                <w:color w:val="auto"/>
              </w:rPr>
              <w:t>baricitinib (JAK)</w:t>
            </w:r>
          </w:p>
        </w:tc>
        <w:tc>
          <w:tcPr>
            <w:tcW w:w="2340" w:type="dxa"/>
            <w:vAlign w:val="bottom"/>
          </w:tcPr>
          <w:p>
            <w:pPr>
              <w:ind w:left="220"/>
              <w:spacing w:after="0" w:line="202" w:lineRule="exact"/>
              <w:rPr>
                <w:sz w:val="20"/>
                <w:szCs w:val="20"/>
                <w:color w:val="auto"/>
              </w:rPr>
            </w:pPr>
            <w:r>
              <w:rPr>
                <w:rFonts w:ascii="Arial" w:cs="Arial" w:eastAsia="Arial" w:hAnsi="Arial"/>
                <w:sz w:val="16"/>
                <w:szCs w:val="16"/>
                <w:color w:val="auto"/>
              </w:rPr>
              <w:t>Granted and pending (2030)</w:t>
            </w:r>
            <w:r>
              <w:rPr>
                <w:rFonts w:ascii="Arial" w:cs="Arial" w:eastAsia="Arial" w:hAnsi="Arial"/>
                <w:sz w:val="23"/>
                <w:szCs w:val="23"/>
                <w:color w:val="auto"/>
                <w:vertAlign w:val="superscript"/>
              </w:rPr>
              <w:t>5</w:t>
            </w:r>
          </w:p>
        </w:tc>
        <w:tc>
          <w:tcPr>
            <w:tcW w:w="2220" w:type="dxa"/>
            <w:vAlign w:val="bottom"/>
          </w:tcPr>
          <w:p>
            <w:pPr>
              <w:ind w:left="120"/>
              <w:spacing w:after="0"/>
              <w:rPr>
                <w:sz w:val="20"/>
                <w:szCs w:val="20"/>
                <w:color w:val="auto"/>
              </w:rPr>
            </w:pPr>
            <w:r>
              <w:rPr>
                <w:rFonts w:ascii="Arial" w:cs="Arial" w:eastAsia="Arial" w:hAnsi="Arial"/>
                <w:sz w:val="16"/>
                <w:szCs w:val="16"/>
                <w:color w:val="auto"/>
              </w:rPr>
              <w:t>Granted and pending (2032)</w:t>
            </w:r>
          </w:p>
        </w:tc>
        <w:tc>
          <w:tcPr>
            <w:tcW w:w="2160" w:type="dxa"/>
            <w:vAlign w:val="bottom"/>
          </w:tcPr>
          <w:p>
            <w:pPr>
              <w:ind w:left="120"/>
              <w:spacing w:after="0"/>
              <w:rPr>
                <w:sz w:val="20"/>
                <w:szCs w:val="20"/>
                <w:color w:val="auto"/>
              </w:rPr>
            </w:pPr>
            <w:r>
              <w:rPr>
                <w:rFonts w:ascii="Arial" w:cs="Arial" w:eastAsia="Arial" w:hAnsi="Arial"/>
                <w:sz w:val="16"/>
                <w:szCs w:val="16"/>
                <w:color w:val="auto"/>
              </w:rPr>
              <w:t>Granted and pending (2033)</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itacitinib (JAK)</w:t>
            </w:r>
          </w:p>
        </w:tc>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Granted and pending (2032)</w:t>
            </w:r>
            <w:r>
              <w:rPr>
                <w:rFonts w:ascii="Arial" w:cs="Arial" w:eastAsia="Arial" w:hAnsi="Arial"/>
                <w:sz w:val="23"/>
                <w:szCs w:val="23"/>
                <w:color w:val="auto"/>
                <w:vertAlign w:val="superscript"/>
              </w:rPr>
              <w:t>4</w:t>
            </w:r>
          </w:p>
        </w:tc>
        <w:tc>
          <w:tcPr>
            <w:tcW w:w="222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w w:val="99"/>
              </w:rPr>
              <w:t>Granted and pending (2031)</w:t>
            </w:r>
            <w:r>
              <w:rPr>
                <w:rFonts w:ascii="Arial" w:cs="Arial" w:eastAsia="Arial" w:hAnsi="Arial"/>
                <w:sz w:val="23"/>
                <w:szCs w:val="23"/>
                <w:color w:val="auto"/>
                <w:w w:val="99"/>
                <w:vertAlign w:val="superscript"/>
              </w:rPr>
              <w:t>4</w:t>
            </w:r>
          </w:p>
        </w:tc>
        <w:tc>
          <w:tcPr>
            <w:tcW w:w="216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w w:val="96"/>
              </w:rPr>
              <w:t>Granted and pending (2031)</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tcPr>
          <w:p>
            <w:pPr>
              <w:ind w:left="100"/>
              <w:spacing w:after="0"/>
              <w:rPr>
                <w:sz w:val="20"/>
                <w:szCs w:val="20"/>
                <w:color w:val="auto"/>
              </w:rPr>
            </w:pPr>
            <w:r>
              <w:rPr>
                <w:rFonts w:ascii="Arial" w:cs="Arial" w:eastAsia="Arial" w:hAnsi="Arial"/>
                <w:sz w:val="16"/>
                <w:szCs w:val="16"/>
                <w:color w:val="auto"/>
              </w:rPr>
              <w:t>capmatinib (MET)</w:t>
            </w:r>
          </w:p>
        </w:tc>
        <w:tc>
          <w:tcPr>
            <w:tcW w:w="2340" w:type="dxa"/>
            <w:vAlign w:val="bottom"/>
          </w:tcPr>
          <w:p>
            <w:pPr>
              <w:ind w:left="220"/>
              <w:spacing w:after="0" w:line="202" w:lineRule="exact"/>
              <w:rPr>
                <w:sz w:val="20"/>
                <w:szCs w:val="20"/>
                <w:color w:val="auto"/>
              </w:rPr>
            </w:pPr>
            <w:r>
              <w:rPr>
                <w:rFonts w:ascii="Arial" w:cs="Arial" w:eastAsia="Arial" w:hAnsi="Arial"/>
                <w:sz w:val="16"/>
                <w:szCs w:val="16"/>
                <w:color w:val="auto"/>
              </w:rPr>
              <w:t>Granted and pending (2027)</w:t>
            </w:r>
            <w:r>
              <w:rPr>
                <w:rFonts w:ascii="Arial" w:cs="Arial" w:eastAsia="Arial" w:hAnsi="Arial"/>
                <w:sz w:val="23"/>
                <w:szCs w:val="23"/>
                <w:color w:val="auto"/>
                <w:vertAlign w:val="superscript"/>
              </w:rPr>
              <w:t>5</w:t>
            </w:r>
          </w:p>
        </w:tc>
        <w:tc>
          <w:tcPr>
            <w:tcW w:w="2220" w:type="dxa"/>
            <w:vAlign w:val="bottom"/>
          </w:tcPr>
          <w:p>
            <w:pPr>
              <w:ind w:left="120"/>
              <w:spacing w:after="0" w:line="202" w:lineRule="exact"/>
              <w:rPr>
                <w:sz w:val="20"/>
                <w:szCs w:val="20"/>
                <w:color w:val="auto"/>
              </w:rPr>
            </w:pPr>
            <w:r>
              <w:rPr>
                <w:rFonts w:ascii="Arial" w:cs="Arial" w:eastAsia="Arial" w:hAnsi="Arial"/>
                <w:sz w:val="16"/>
                <w:szCs w:val="16"/>
                <w:color w:val="auto"/>
                <w:w w:val="99"/>
              </w:rPr>
              <w:t>Granted and pending (2027)</w:t>
            </w:r>
            <w:r>
              <w:rPr>
                <w:rFonts w:ascii="Arial" w:cs="Arial" w:eastAsia="Arial" w:hAnsi="Arial"/>
                <w:sz w:val="23"/>
                <w:szCs w:val="23"/>
                <w:color w:val="auto"/>
                <w:w w:val="99"/>
                <w:vertAlign w:val="superscript"/>
              </w:rPr>
              <w:t>4</w:t>
            </w:r>
          </w:p>
        </w:tc>
        <w:tc>
          <w:tcPr>
            <w:tcW w:w="2160" w:type="dxa"/>
            <w:vAlign w:val="bottom"/>
          </w:tcPr>
          <w:p>
            <w:pPr>
              <w:ind w:left="120"/>
              <w:spacing w:after="0" w:line="202" w:lineRule="exact"/>
              <w:rPr>
                <w:sz w:val="20"/>
                <w:szCs w:val="20"/>
                <w:color w:val="auto"/>
              </w:rPr>
            </w:pPr>
            <w:r>
              <w:rPr>
                <w:rFonts w:ascii="Arial" w:cs="Arial" w:eastAsia="Arial" w:hAnsi="Arial"/>
                <w:sz w:val="16"/>
                <w:szCs w:val="16"/>
                <w:color w:val="auto"/>
                <w:w w:val="96"/>
              </w:rPr>
              <w:t>Granted and pending (2027)</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parsaclisib (PI3Kδ)</w:t>
            </w:r>
          </w:p>
        </w:tc>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Granted and pending (2033)</w:t>
            </w:r>
            <w:r>
              <w:rPr>
                <w:rFonts w:ascii="Arial" w:cs="Arial" w:eastAsia="Arial" w:hAnsi="Arial"/>
                <w:sz w:val="23"/>
                <w:szCs w:val="23"/>
                <w:color w:val="auto"/>
                <w:vertAlign w:val="superscript"/>
              </w:rPr>
              <w:t>4</w:t>
            </w:r>
          </w:p>
        </w:tc>
        <w:tc>
          <w:tcPr>
            <w:tcW w:w="222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w w:val="99"/>
              </w:rPr>
              <w:t>Granted and pending (2032)</w:t>
            </w:r>
            <w:r>
              <w:rPr>
                <w:rFonts w:ascii="Arial" w:cs="Arial" w:eastAsia="Arial" w:hAnsi="Arial"/>
                <w:sz w:val="23"/>
                <w:szCs w:val="23"/>
                <w:color w:val="auto"/>
                <w:w w:val="99"/>
                <w:vertAlign w:val="superscript"/>
              </w:rPr>
              <w:t>4</w:t>
            </w:r>
          </w:p>
        </w:tc>
        <w:tc>
          <w:tcPr>
            <w:tcW w:w="216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w w:val="96"/>
              </w:rPr>
              <w:t>Granted and pending (2032)</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tcPr>
          <w:p>
            <w:pPr>
              <w:ind w:left="100"/>
              <w:spacing w:after="0"/>
              <w:rPr>
                <w:sz w:val="20"/>
                <w:szCs w:val="20"/>
                <w:color w:val="auto"/>
              </w:rPr>
            </w:pPr>
            <w:r>
              <w:rPr>
                <w:rFonts w:ascii="Arial" w:cs="Arial" w:eastAsia="Arial" w:hAnsi="Arial"/>
                <w:sz w:val="16"/>
                <w:szCs w:val="16"/>
                <w:color w:val="auto"/>
              </w:rPr>
              <w:t>pemigatinib (FGFR)</w:t>
            </w:r>
          </w:p>
        </w:tc>
        <w:tc>
          <w:tcPr>
            <w:tcW w:w="2340" w:type="dxa"/>
            <w:vAlign w:val="bottom"/>
          </w:tcPr>
          <w:p>
            <w:pPr>
              <w:ind w:left="220"/>
              <w:spacing w:after="0" w:line="202" w:lineRule="exact"/>
              <w:rPr>
                <w:sz w:val="20"/>
                <w:szCs w:val="20"/>
                <w:color w:val="auto"/>
              </w:rPr>
            </w:pPr>
            <w:r>
              <w:rPr>
                <w:rFonts w:ascii="Arial" w:cs="Arial" w:eastAsia="Arial" w:hAnsi="Arial"/>
                <w:sz w:val="16"/>
                <w:szCs w:val="16"/>
                <w:color w:val="auto"/>
              </w:rPr>
              <w:t>Granted and pending (2035)</w:t>
            </w:r>
            <w:r>
              <w:rPr>
                <w:rFonts w:ascii="Arial" w:cs="Arial" w:eastAsia="Arial" w:hAnsi="Arial"/>
                <w:sz w:val="23"/>
                <w:szCs w:val="23"/>
                <w:color w:val="auto"/>
                <w:vertAlign w:val="superscript"/>
              </w:rPr>
              <w:t>5</w:t>
            </w:r>
          </w:p>
        </w:tc>
        <w:tc>
          <w:tcPr>
            <w:tcW w:w="2220" w:type="dxa"/>
            <w:vAlign w:val="bottom"/>
          </w:tcPr>
          <w:p>
            <w:pPr>
              <w:ind w:left="120"/>
              <w:spacing w:after="0" w:line="202" w:lineRule="exact"/>
              <w:rPr>
                <w:sz w:val="20"/>
                <w:szCs w:val="20"/>
                <w:color w:val="auto"/>
              </w:rPr>
            </w:pPr>
            <w:r>
              <w:rPr>
                <w:rFonts w:ascii="Arial" w:cs="Arial" w:eastAsia="Arial" w:hAnsi="Arial"/>
                <w:sz w:val="16"/>
                <w:szCs w:val="16"/>
                <w:color w:val="auto"/>
                <w:w w:val="99"/>
              </w:rPr>
              <w:t>Granted and pending (2033)</w:t>
            </w:r>
            <w:r>
              <w:rPr>
                <w:rFonts w:ascii="Arial" w:cs="Arial" w:eastAsia="Arial" w:hAnsi="Arial"/>
                <w:sz w:val="23"/>
                <w:szCs w:val="23"/>
                <w:color w:val="auto"/>
                <w:w w:val="99"/>
                <w:vertAlign w:val="superscript"/>
              </w:rPr>
              <w:t>4</w:t>
            </w:r>
          </w:p>
        </w:tc>
        <w:tc>
          <w:tcPr>
            <w:tcW w:w="2160" w:type="dxa"/>
            <w:vAlign w:val="bottom"/>
          </w:tcPr>
          <w:p>
            <w:pPr>
              <w:ind w:left="120"/>
              <w:spacing w:after="0" w:line="202" w:lineRule="exact"/>
              <w:rPr>
                <w:sz w:val="20"/>
                <w:szCs w:val="20"/>
                <w:color w:val="auto"/>
              </w:rPr>
            </w:pPr>
            <w:r>
              <w:rPr>
                <w:rFonts w:ascii="Arial" w:cs="Arial" w:eastAsia="Arial" w:hAnsi="Arial"/>
                <w:sz w:val="16"/>
                <w:szCs w:val="16"/>
                <w:color w:val="auto"/>
                <w:w w:val="96"/>
              </w:rPr>
              <w:t>Granted and pending (2033)</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ponatinib (BCRABL)</w:t>
            </w:r>
          </w:p>
        </w:tc>
        <w:tc>
          <w:tcPr>
            <w:tcW w:w="2340" w:type="dxa"/>
            <w:vAlign w:val="bottom"/>
            <w:shd w:val="clear" w:color="auto" w:fill="CCEEFF"/>
          </w:tcPr>
          <w:p>
            <w:pPr>
              <w:spacing w:after="0"/>
              <w:rPr>
                <w:sz w:val="17"/>
                <w:szCs w:val="17"/>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and pending (2026)</w:t>
            </w: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00"/>
              <w:spacing w:after="0" w:line="202" w:lineRule="exact"/>
              <w:rPr>
                <w:sz w:val="20"/>
                <w:szCs w:val="20"/>
                <w:color w:val="auto"/>
              </w:rPr>
            </w:pPr>
            <w:r>
              <w:rPr>
                <w:rFonts w:ascii="Arial" w:cs="Arial" w:eastAsia="Arial" w:hAnsi="Arial"/>
                <w:sz w:val="16"/>
                <w:szCs w:val="16"/>
                <w:color w:val="auto"/>
              </w:rPr>
              <w:t>retifanlimab (PD-1)</w:t>
            </w:r>
            <w:r>
              <w:rPr>
                <w:rFonts w:ascii="Arial" w:cs="Arial" w:eastAsia="Arial" w:hAnsi="Arial"/>
                <w:sz w:val="23"/>
                <w:szCs w:val="23"/>
                <w:color w:val="auto"/>
                <w:vertAlign w:val="superscript"/>
              </w:rPr>
              <w:t>6</w:t>
            </w:r>
          </w:p>
        </w:tc>
        <w:tc>
          <w:tcPr>
            <w:tcW w:w="2340" w:type="dxa"/>
            <w:vAlign w:val="bottom"/>
          </w:tcPr>
          <w:p>
            <w:pPr>
              <w:ind w:left="220"/>
              <w:spacing w:after="0" w:line="202" w:lineRule="exact"/>
              <w:rPr>
                <w:sz w:val="20"/>
                <w:szCs w:val="20"/>
                <w:color w:val="auto"/>
              </w:rPr>
            </w:pPr>
            <w:r>
              <w:rPr>
                <w:rFonts w:ascii="Arial" w:cs="Arial" w:eastAsia="Arial" w:hAnsi="Arial"/>
                <w:sz w:val="16"/>
                <w:szCs w:val="16"/>
                <w:color w:val="auto"/>
              </w:rPr>
              <w:t>Granted and pending (2036)</w:t>
            </w:r>
            <w:r>
              <w:rPr>
                <w:rFonts w:ascii="Arial" w:cs="Arial" w:eastAsia="Arial" w:hAnsi="Arial"/>
                <w:sz w:val="23"/>
                <w:szCs w:val="23"/>
                <w:color w:val="auto"/>
                <w:vertAlign w:val="superscript"/>
              </w:rPr>
              <w:t>4</w:t>
            </w:r>
          </w:p>
        </w:tc>
        <w:tc>
          <w:tcPr>
            <w:tcW w:w="2220" w:type="dxa"/>
            <w:vAlign w:val="bottom"/>
          </w:tcPr>
          <w:p>
            <w:pPr>
              <w:ind w:left="120"/>
              <w:spacing w:after="0" w:line="202" w:lineRule="exact"/>
              <w:rPr>
                <w:sz w:val="20"/>
                <w:szCs w:val="20"/>
                <w:color w:val="auto"/>
              </w:rPr>
            </w:pPr>
            <w:r>
              <w:rPr>
                <w:rFonts w:ascii="Arial" w:cs="Arial" w:eastAsia="Arial" w:hAnsi="Arial"/>
                <w:sz w:val="16"/>
                <w:szCs w:val="16"/>
                <w:color w:val="auto"/>
              </w:rPr>
              <w:t>Pending (2036)</w:t>
            </w:r>
            <w:r>
              <w:rPr>
                <w:rFonts w:ascii="Arial" w:cs="Arial" w:eastAsia="Arial" w:hAnsi="Arial"/>
                <w:sz w:val="23"/>
                <w:szCs w:val="23"/>
                <w:color w:val="auto"/>
                <w:vertAlign w:val="superscript"/>
              </w:rPr>
              <w:t>4</w:t>
            </w:r>
          </w:p>
        </w:tc>
        <w:tc>
          <w:tcPr>
            <w:tcW w:w="2160" w:type="dxa"/>
            <w:vAlign w:val="bottom"/>
          </w:tcPr>
          <w:p>
            <w:pPr>
              <w:ind w:left="120"/>
              <w:spacing w:after="0" w:line="202" w:lineRule="exact"/>
              <w:rPr>
                <w:sz w:val="20"/>
                <w:szCs w:val="20"/>
                <w:color w:val="auto"/>
              </w:rPr>
            </w:pPr>
            <w:r>
              <w:rPr>
                <w:rFonts w:ascii="Arial" w:cs="Arial" w:eastAsia="Arial" w:hAnsi="Arial"/>
                <w:sz w:val="16"/>
                <w:szCs w:val="16"/>
                <w:color w:val="auto"/>
              </w:rPr>
              <w:t>Pending (2036)</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tafasitamab (CD19)</w:t>
            </w:r>
          </w:p>
        </w:tc>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Granted and pending (2029)</w:t>
            </w:r>
            <w:r>
              <w:rPr>
                <w:rFonts w:ascii="Arial" w:cs="Arial" w:eastAsia="Arial" w:hAnsi="Arial"/>
                <w:sz w:val="23"/>
                <w:szCs w:val="23"/>
                <w:color w:val="auto"/>
                <w:vertAlign w:val="superscript"/>
              </w:rPr>
              <w:t>5</w:t>
            </w:r>
          </w:p>
        </w:tc>
        <w:tc>
          <w:tcPr>
            <w:tcW w:w="222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Granted (2027)</w:t>
            </w:r>
            <w:r>
              <w:rPr>
                <w:rFonts w:ascii="Arial" w:cs="Arial" w:eastAsia="Arial" w:hAnsi="Arial"/>
                <w:sz w:val="23"/>
                <w:szCs w:val="23"/>
                <w:color w:val="auto"/>
                <w:vertAlign w:val="superscript"/>
              </w:rPr>
              <w:t>4</w:t>
            </w:r>
          </w:p>
        </w:tc>
        <w:tc>
          <w:tcPr>
            <w:tcW w:w="216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Granted (2027)</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right="59" w:firstLine="4"/>
        <w:spacing w:after="0" w:line="232" w:lineRule="auto"/>
        <w:tabs>
          <w:tab w:leader="none" w:pos="222"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Ruxolitinib cream formulation patents are issued in the United States, European Union and Japan with anticipated expiration dates of 2031 respectively, not including patent term extensions that will be sought upon regulatory approval.</w:t>
      </w:r>
    </w:p>
    <w:p>
      <w:pPr>
        <w:spacing w:after="0" w:line="1" w:lineRule="exact"/>
        <w:rPr>
          <w:rFonts w:ascii="Arial" w:cs="Arial" w:eastAsia="Arial" w:hAnsi="Arial"/>
          <w:sz w:val="24"/>
          <w:szCs w:val="24"/>
          <w:color w:val="auto"/>
          <w:vertAlign w:val="superscript"/>
        </w:rPr>
      </w:pPr>
    </w:p>
    <w:p>
      <w:pPr>
        <w:jc w:val="both"/>
        <w:ind w:left="40" w:right="59" w:firstLine="4"/>
        <w:spacing w:after="0" w:line="225" w:lineRule="auto"/>
        <w:tabs>
          <w:tab w:leader="none" w:pos="192" w:val="left"/>
        </w:tabs>
        <w:numPr>
          <w:ilvl w:val="0"/>
          <w:numId w:val="11"/>
        </w:numPr>
        <w:rPr>
          <w:rFonts w:ascii="Arial" w:cs="Arial" w:eastAsia="Arial" w:hAnsi="Arial"/>
          <w:sz w:val="26"/>
          <w:szCs w:val="26"/>
          <w:color w:val="auto"/>
          <w:vertAlign w:val="superscript"/>
        </w:rPr>
      </w:pPr>
      <w:r>
        <w:rPr>
          <w:rFonts w:ascii="Arial" w:cs="Arial" w:eastAsia="Arial" w:hAnsi="Arial"/>
          <w:sz w:val="17"/>
          <w:szCs w:val="17"/>
          <w:color w:val="auto"/>
        </w:rPr>
        <w:t>Once-a-day (QD) ruxolitinib formulation patents are issued in the United States, but pending in the European Union and Japan with anticipated expiration dates of 2033 respectively, not including patent term extensions that will be sought upon regulatory approval.</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7"/>
          <w:szCs w:val="17"/>
          <w:color w:val="auto"/>
        </w:rPr>
        <w:t>Subject to the payment of maintenance fees.</w:t>
      </w:r>
    </w:p>
    <w:p>
      <w:pPr>
        <w:spacing w:after="0" w:line="2" w:lineRule="exact"/>
        <w:rPr>
          <w:rFonts w:ascii="Arial" w:cs="Arial" w:eastAsia="Arial" w:hAnsi="Arial"/>
          <w:sz w:val="25"/>
          <w:szCs w:val="25"/>
          <w:color w:val="auto"/>
          <w:vertAlign w:val="superscript"/>
        </w:rPr>
      </w:pPr>
    </w:p>
    <w:p>
      <w:pPr>
        <w:ind w:left="40" w:right="59" w:firstLine="4"/>
        <w:spacing w:after="0" w:line="199" w:lineRule="auto"/>
        <w:tabs>
          <w:tab w:leader="none" w:pos="231"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Respective patent term extension/supplementary protection certificate (SPC) will be sought upon approval by the respective regulatory agency.</w:t>
      </w:r>
    </w:p>
    <w:p>
      <w:pPr>
        <w:spacing w:after="0" w:line="1" w:lineRule="exact"/>
        <w:rPr>
          <w:rFonts w:ascii="Arial" w:cs="Arial" w:eastAsia="Arial" w:hAnsi="Arial"/>
          <w:sz w:val="27"/>
          <w:szCs w:val="27"/>
          <w:color w:val="auto"/>
          <w:vertAlign w:val="superscript"/>
        </w:rPr>
      </w:pPr>
    </w:p>
    <w:p>
      <w:pPr>
        <w:ind w:left="200" w:hanging="156"/>
        <w:spacing w:after="0" w:line="180"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7"/>
          <w:szCs w:val="17"/>
          <w:color w:val="auto"/>
        </w:rPr>
        <w:t>Patent term extension has been applied for and being sought.</w:t>
      </w:r>
    </w:p>
    <w:p>
      <w:pPr>
        <w:spacing w:after="0" w:line="2" w:lineRule="exact"/>
        <w:rPr>
          <w:rFonts w:ascii="Arial" w:cs="Arial" w:eastAsia="Arial" w:hAnsi="Arial"/>
          <w:sz w:val="25"/>
          <w:szCs w:val="25"/>
          <w:color w:val="auto"/>
          <w:vertAlign w:val="superscript"/>
        </w:rPr>
      </w:pPr>
    </w:p>
    <w:p>
      <w:pPr>
        <w:ind w:left="200" w:hanging="156"/>
        <w:spacing w:after="0" w:line="186" w:lineRule="auto"/>
        <w:tabs>
          <w:tab w:leader="none" w:pos="20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Retifanlimab licensed from MacroGenics.</w:t>
      </w:r>
    </w:p>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may seek to license rights relating to technologies, drug candidates or drug products in connection with our drug discovery and development programs and commercialization activities. Under these licenses, such as our licenses from Agenus, ARIAD/Takeda, Calithera, MacroGenics, MorphoSys, and Merus, we may be required to pay up-front fees, license fees, milestone payments and royalties on sales of future products.</w:t>
      </w:r>
    </w:p>
    <w:p>
      <w:pPr>
        <w:spacing w:after="0" w:line="187"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Although we believe our rights under patents and patent applications provide a competitive advantage, the patent positions of pharmaceutical and biotechnology companies are highly uncertain and involve complex legal and factual questions. We may not be able to develop patentable products or processes, and may not be able to obtain patents in the United States or elsewhere from pending applications. Even if patent claims are allowed, the claims may not issue, or in the event of issuance, may not be valid or enforceable or may not be sufficient to protect the technology owned by or licensed to us or provide us with a competitive advantage. Any patent or other intellectual property rights that we own or obtain may be circumvented, challenged or invalidated by our competitors. Others may have patents that relate to our business or technology and that may prevent us from marketing our drug candidates unless we are able to obtain a license to those patents. In addition, litigation or other proceedings may be necessary to defend against claims of infringement, to enforce patents, to protect our other intellectual property rights, to determine the scope and validity of the proprietary rights of third parties or to defend ourselves in patent or other intellectual property right suits brought by third parties. We could incur substantial costs in such litigation or other proceedings. An adverse outcome in any such litigation or proceeding could subject us to significant liability.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With respect to proprietary information that is not patentable, and for inventions for which patents are difficult to enforce, we rely on trade secret protection and confidentiality agreements to protect our interests. While we require all employees, consultants and potential business partners to enter into confidentiality agreements, we may not be able to adequately protect our trade secrets or other proprietary information. Others may independently develop substantially equivalent proprietary information and techniques or otherwise gain access to our trade secrets.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drug discovery, development and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JAKAFI, ICLUSIG, PEMAZYRE, MONJUVI, and our drug candidates.</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84" w:lineRule="exact"/>
        <w:rPr>
          <w:sz w:val="20"/>
          <w:szCs w:val="20"/>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JAKAFI, ICLUSIG, PEMAZYRE, MONJUVI or our drug candidates.</w:t>
      </w:r>
    </w:p>
    <w:p>
      <w:pPr>
        <w:spacing w:after="0" w:line="18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addition, any drug candidate that we successfully develop may compete with existing therapies that have long histories of safe and effective use. Competition may also arise from:</w:t>
      </w:r>
    </w:p>
    <w:p>
      <w:pPr>
        <w:spacing w:after="0" w:line="170" w:lineRule="exact"/>
        <w:rPr>
          <w:sz w:val="20"/>
          <w:szCs w:val="20"/>
          <w:color w:val="auto"/>
        </w:rPr>
      </w:pPr>
    </w:p>
    <w:p>
      <w:pPr>
        <w:ind w:left="1040" w:hanging="321"/>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drug development technologies and methods of preventing or reducing the incidence of disease;</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compounds;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or commercially successful than ours.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ongoing research and development activities and any manufacturing and marketing of our approved drug products and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FDA Review and Approval Process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1040" w:right="7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9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8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6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77"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The length of time and related costs necessary to complete clinical trials varies significantly and may be difficult to predict. Clinical results are frequently susceptible to varying interpretations that may delay, limit or prevent regulatory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approvals. Additional factors that can cause delay or termination of our clinical trials, or cause the costs of these clinical trials to increase, include:</w:t>
      </w:r>
    </w:p>
    <w:p>
      <w:pPr>
        <w:spacing w:after="0" w:line="170" w:lineRule="exact"/>
        <w:rPr>
          <w:sz w:val="20"/>
          <w:szCs w:val="20"/>
          <w:color w:val="auto"/>
        </w:rPr>
      </w:pPr>
    </w:p>
    <w:p>
      <w:pPr>
        <w:ind w:left="1040" w:right="79" w:hanging="321"/>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46" w:lineRule="exact"/>
        <w:rPr>
          <w:rFonts w:ascii="Arial" w:cs="Arial" w:eastAsia="Arial" w:hAnsi="Arial"/>
          <w:sz w:val="17"/>
          <w:szCs w:val="17"/>
          <w:color w:val="auto"/>
        </w:rPr>
      </w:pPr>
    </w:p>
    <w:p>
      <w:pPr>
        <w:ind w:left="1040" w:right="5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9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FDA’s fast track, breakthrough therapy, accelerated approval, and priority review designation programs are intended to facilitate the development and expedite the review and approval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cannot guarantee that the FDA will grant any of our requests for any of these expedited program designations, that any such designations would affect the time of review or that the FDA will approve the NDA or BLA submitted for any of our drug candidates, whether or not these designations are granted. Additionally, FDA approval of a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9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within 60 days after NDA or BLA submission). Although the FDA</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7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7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Regulation of Manufacturing Process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Even when NDA or BLA approval is obtained, a marketed product, such as JAKAFI,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6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and our third-party manufacturers are subject to current Good Manufacturing Practices, which are extensive regulations governing manufacturing processes, including but not limited to stability testing, record keeping and quality standards as defined by the International Council for Harmonisation of Technical Requirements for Pharmaceuticals for Human Use, or ICH, FDA and the European Medicines Agency. Similar regulations are in effect in other countries. Manufacturing facilities are subject to inspection by the applicable regulatory authorities and are subject to manufacturing licenses where applicable. These facilities, whether our own or our contract manufacturers, must be inspected before we can use them in commercial manufacturing of our related products. We or our contract manufacturers may not be able to comply with applicable Good Manufacturing Practices and FDA or other regulatory requirements. If we or our contract manufacturers fail to comply, we or our contract manufacturers may be subject to legal or regulatory action, such as suspension of manufacturing license,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Prescription Drug Marketing Act, or PDMA, which, among other things, imposes various requirements in connection with the distribution of product samples to physicians.</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to inspections related to manufacturing, we are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There are a variety of state laws and regulations that apply in the states or localities where JAKAFI and our drug candidates are or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Marketing Exclusivity</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Outside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competent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92"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CTA, much like an IND prior to the commencement of human clinical trials. In Europe, a CTA must be submitted to the competent national health authority and to independent ethics committees in each country in which a company plans to conduct clinical trials. Once the CTA is approved in accordance with a country’s requirements, clinical trial development may proceed in that country and are conducted in accordance with GCP and other applicable regulatory requirements.</w:t>
      </w:r>
    </w:p>
    <w:p>
      <w:pPr>
        <w:spacing w:after="0" w:line="15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To obtain regulatory approval of an investigational drug under EU regulatory systems, we must submit a marketing authorization application (MAA). This application is similar to the NDA in the United States, with the exception of, among other things, regional and/or country-specific document requirements. Drugs can be authorized in the EU by using (i) the centralized authorization procedure, (ii) the mutual recognition procedure, (iii) the decentralized procedure or (iv) national authorization procedures.</w:t>
      </w:r>
    </w:p>
    <w:p>
      <w:pPr>
        <w:spacing w:after="0" w:line="18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European Medicines Agency implemented the centralized procedure for the approval of human drugs to facilitate marketing authorizations that are valid throughout the EU. This procedure results in a single marketing authorization granted by the European Commission that is valid across the EU. Under the centralized procedure, the maximum timeframe for the evaluation of a marketing authorization application by the EMA is 210 days (excluding clock stops, when additional written or oral information is to be provided by the applicant in response to questions asked by the Committee for Medicinal Products for Human Use). A positive opinion on the MAA by the CHMP then needs to be endorsed by the European Commission. Accelerated assessment might be granted by the CHMP in exceptional cases, in which case the EMA ensures that the evaluation for the opinion of the CHMP is completed within 150 days (excluding clock stops) and the opinion issued thereafter.</w:t>
      </w:r>
    </w:p>
    <w:p>
      <w:pPr>
        <w:spacing w:after="0" w:line="19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mutual recognition procedure (MRP) for the approval of human drugs is an alternative approach to facilitate individual national marketing authorizations within the EU. The MRP may be applied for all human drugs for which the centralized procedure is not obligatory. The MRP is based on the principle of the mutual recognition by EU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After the assessment is completed, copies of the report are sent to all member states, together with the approved summary of product characteristics, labeling and package leaflet. The concerned member states then recognize the decision of the reference member state and the summary of product characteristics, labeling and package leaflet. National marketing authorizations shall be granted within 30 days after acknowledgement of the agreement.</w:t>
      </w:r>
    </w:p>
    <w:p>
      <w:pPr>
        <w:spacing w:after="0" w:line="18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Should any Member State refuse to recognize the marketing authorization by the reference member state, the member states shall make all efforts to reach a consensus. If this fails, the procedure is submitted to an EMA scientific committee for arbitration. The opinion of this EMA Committee is then forwarded to the Commission, for the start of the decision making process. As in the centralized procedure, this process entails consulting various European Commission Directorates General and the Standing Committee on Human Medicinal Products or Veterinary Medicinal Products, as appropriate.</w:t>
      </w:r>
    </w:p>
    <w:p>
      <w:pPr>
        <w:spacing w:after="0" w:line="19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For other countries outside of the EU, such as non-EU countries in Eastern Europe, Middle-East, Latin America, Japan or other countries in Asia, the requirements governing the conduct of clinical trials, product licensing, pricing and reimbursement vary. In all cases, again, the clinical trials are conducted in accordance with GCP and the other applicable regulatory requirements.</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Our manufacturing strategy is to contract with third parties to manufacture the raw materials, our active pharmaceutical ingredients, or API, and finished dosage form for clinical and commercial uses. We currently do not operate manufacturing facilities for clinical or commercial production of JAKAFI, ICLUSIG, PEMAZYRE or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continue to build and maintain our supply chain and quality assurance resources.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Manufacturing of our Products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6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contract with third parties to manufacture JAKAFI, ICLUSIG, PEMAZYRE and our drug candidates for clinical and commercial purposes. Our collaborator MorphoSys is currently responsible for sourcing manufacturing of MONJUVI. Third-party manufacturers supply raw materials, and other third-party manufacturers convert these raw materials into API or convert the API into final dosage form. For most of our drug candidates, once our raw materials are produced, we rely on one third-party to manufacture the API, another to make finished drug product and a third to package and label the finished product. For ruxolitinib phosphate, the API for JAKAFI, we have two qualified third-party contract manufacturers from which we can source drug substance. The manufacturing of ponatinib, the API for ICLUSIG, is the sole responsibility of Takeda, the intellectual property holder. We procure API from Takeda, which outsources the API manufacturing to a third party. For pemigatinib, the API for PEMAZYRE, we have one qualified third-party contract manufacturer from which we can source drug substance.</w:t>
      </w:r>
    </w:p>
    <w:p>
      <w:pPr>
        <w:spacing w:after="0" w:line="18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also rely on third-party contract manufacturers to tablet or capsulate all of our active pharmaceutical ingredients for clinical and commercial uses. For JAKAFI and ICLUSIG, we have two qualified third-party manufacturers from which we can source commercial drug product. Secondary packaging of ICLUSIG is performed by a qualified third-party manufacturer. Primary packaged product for ICLUSIG can be used for clinical and commercial purposes. For PEMAZYRE, we have one qualified third-party manufacturer from which we can source commercial drug product.</w:t>
      </w:r>
    </w:p>
    <w:p>
      <w:pPr>
        <w:spacing w:after="0" w:line="161"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able to obtain sufficient quantities of any of our raw materials, drug candidates, API, or finished goods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or interruption of commercial supply which could have a material adverse effect on our business. Similar risks apply to our supply of MONJUVI under our collaboration with MorphoSys.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established a quality assurance program intended to ensure that our third-party manufacturers and service providers produce materials and provide services, as applicable, in accordance with the FDA and EMA’s current Good Manufacturing Practices and other applicable regulations. Our quality assurance program extends to our licensed facilities that oversee the manufacturing and distribution activities.</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meet customer demand for commercial products will be adversely affected.</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July 2018, we purchased land located in Yverdon, Switzerland for construction of a large molecule production facility to manufacture biologic drug substances for our drug candidates. Construction activity commenced in July 2018 and we currently expect the facility will be operational in the second half of 2021.</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Third-party Manufacturers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For products manufactured by our third-party manufacturers, we have licensed the necessary aspects of this manufacturing technology that we believe is proprietary to us to enable them to manufacture the products for us. We have agreements with these third-party manufacturers that are intended to restrict these manufacturers from using or revealing our technology, but we cannot be certain that these third-party manufacturers will comply with these restrictions.</w:t>
      </w:r>
    </w:p>
    <w:p>
      <w:pPr>
        <w:spacing w:after="0" w:line="15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While we believe there are multiple third parties capable of providing most of the materials and services we need in order to manufacture API and distribute finished goods, and that supply of materials that cannot be second sourced can be managed with inventory planning, there is always a risk that we may underestimate demand, and that our manufacturing capacity through third-party manufacturers may not be sufficient. In addition, because of the significant lead times involved in our supply chain for ruxolitinib phosphate, we may have less flexibility to adjust our supply in response to changes in demand than if we had shorter lead times. Our strategy is to maintain 24 months of safety stock of API to be able to respond to changes in demand to provide on-time supply of drug product as well as at least 6 months of semi-finished goods inventory.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Access to Supplies and Materials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third-party manufacturers need access to certain supplies and products to manufacture JAKAFI, ICLUSIG, PEMAZYRE and our drug candidates. If delivery of material from their suppliers were interrupted for any reason or if they are unable to purchase sufficient quantities of raw materials used to manufacture JAKAFI, ICLUSIG, PEMAZYRE and our drug candidates, they may be unable to ship JAKAFI, ICLUSIG and PEMAZYRE for commercial supply or to supply our drug candidates in development for clinical trials. For example, currently raw materials used to manufacture ruxolitinib phosphate, the API in JAKAFI, are supplied by Chinese-based companies. As a result, an international trade dispute between China and the United States or any other actions by the Chinese government that would limit or prevent Chinese companies from supplying these materials would adversely affect our ability to manufacture and supply our products to meet market needs and have a material and adverse effect on our operating results.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human capital management philosophy is committed to promoting an environment where our colleagues are fulfilled and valued. We promote a company culture based on scientific excellence as we seek to create new treatments; we are creative in our development strategies; and we seek positive collaboration with each other. Working collaboratively is of the utmost importance as we aim to change the treatment landscape for patients with cancer and inflammatory and autoimmune diseases. It is our goal to conduct business in a manner that does not compromise the health of people nor the state of the environment. It is our policy to comply with all applicable environmental health and safety (EHS) regulatory requirements and seek to continually improve our EHS management systems. A strong safety culture is a fundamental part of how we work, and our philosophy is that everyone at Incyte has a responsibility to create and maintain a safe and healthy workplace with a goal to reduce risk and prevent injuries.</w:t>
      </w:r>
    </w:p>
    <w:p>
      <w:pPr>
        <w:spacing w:after="0" w:line="166"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 Further, we have policies in place that prohibit harassment of all kinds. At Incyte, we prohibit retaliation in all forms and are committed to encouraging a culture where employees can freely ask questions and raise concerns. Our management team makes themselves available to all employees and quarterly global Town Hall events allow for open question and answer dialogue.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believe that creative solutions are best achieved by diverse teams working together, and inclusion is therefore essential to Incyte. Diversity of thoughts, backgrounds, perceptions and ideas help us create the medical solutions that patients require, and represent the lifeblood of organizations such as ours. We have recently formed an Inclusion Committee, which is co-chaired by our Chief Executive Officer and our Head of Human Resources, to bring forth actionable plans across multiple focus areas. We have expanded our recruitment searches to include organizations and websites dedicated to Black candidates. We have also partnered with Jopwell, to aid connections with Black and other underrepresented candidates for non-science jobs and we are participating in the reputable Scientific Mentoring &amp; Diversity Program (SMDP) mentoring program that pairs primarily Black and Brown students, who are post baccalaureate and graduate students with mentors who work at biopharmaceutical companies. We additionally post all of our open positions on the Historically Black Colleges and Universities career pages.</w:t>
      </w:r>
    </w:p>
    <w:p>
      <w:pPr>
        <w:spacing w:after="0" w:line="18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offer what we believe is a competitive compensation package, which allows 100% of global Incyte employees to participate in our annual incentive compensation plan as well as annual equity-based grants. We seek to ensure our compensation package remains competitive by benchmarking against our peers several times annually as well as conducting twice per year compensation reviews to confirm that our employees are being compensated fairly, equitably and in accordance with our pay structures and job levels. In addition, we offer what we believe is a competitive benefits package, which includes an option to participate in our Employee Stock Purchase Plan for both full-time and part-time employees working at least 20 hours per week. We believe that our health insurance coverage is industry-leading, as it provides 100% coverage for full-time employees and is 95% subsidized for part-time employees working at least 20 hours per week in the United States. Beyond compensation and benefits, we are committed to supporting our colleagues in their professional development. Opportunities for growth are provided through challenging job assignments, performance management and training opportunities. Globally, all full-time employees are eligible for tuition reimbursement. We believe these professional opportunities enhance our colleagues’ skills, career aspirations and job satisfaction as well as provide personal enrichment.</w:t>
      </w:r>
    </w:p>
    <w:p>
      <w:pPr>
        <w:spacing w:after="0" w:line="18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As of December 31, 2020, we had 1,773 employees, including 930 in research and development, 161 in medical affairs, 438 in sales and marketing and 244 in operations support, finance and administrative positions. Geographically, 1,381 employees were based in the United States and Canada, 356 employees were based in Europe and 36 employees were based in Asia. None of our employees are covered by collective bargaining agreements, and management considers relations with our employees to be good.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 xml:space="preserve">We were incorporated in Delaware in 1991 and our website is located at </w:t>
      </w:r>
      <w:r>
        <w:rPr>
          <w:rFonts w:ascii="Arial" w:cs="Arial" w:eastAsia="Arial" w:hAnsi="Arial"/>
          <w:sz w:val="17"/>
          <w:szCs w:val="17"/>
          <w:i w:val="1"/>
          <w:iCs w:val="1"/>
          <w:color w:val="auto"/>
        </w:rPr>
        <w:t>www.incyte.com</w:t>
      </w:r>
      <w:r>
        <w:rPr>
          <w:rFonts w:ascii="Arial" w:cs="Arial" w:eastAsia="Arial" w:hAnsi="Arial"/>
          <w:sz w:val="17"/>
          <w:szCs w:val="17"/>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and in May 2019 for the treatment of steroid-refractory acute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of leukemia, PEMAZYRE in the United States for the treatment of specified cholangiocarcinoma indications, and MONJUVI in the United States for the treatment of certain lymphoma indications and our exclusive licensees sell OLUMIANT (baricitinib) for the treatment of specified rheumatoid arthritis and atopic dermatitis indications and TABRECTA for the treatment of a certain type of non small-cell lung cancer, we anticipate that JAKAFI product sales will continue to contribute a significant percentage of our total revenues over the next several years.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commercial success of JAKAFI and our ability to maintain and continue to increase revenues from the sale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JAKAFI will depend on a number of factors, including:</w:t>
      </w:r>
    </w:p>
    <w:p>
      <w:pPr>
        <w:spacing w:after="0" w:line="211" w:lineRule="exact"/>
        <w:rPr>
          <w:sz w:val="20"/>
          <w:szCs w:val="20"/>
          <w:color w:val="auto"/>
        </w:rPr>
      </w:pPr>
    </w:p>
    <w:p>
      <w:pPr>
        <w:jc w:val="both"/>
        <w:ind w:left="1040" w:right="79" w:hanging="321"/>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5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94"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65"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We may not be able to sell our products on a profitable basis or our profitability may be reduced if we are required to sell our products at lower than anticipated prices or reimbursement is unavailable or limited in scope or amount. The costs of JAKAFI, ICLUSIG, PEMAZYRE and MONJUVI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 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w:t>
      </w:r>
    </w:p>
    <w:p>
      <w:pPr>
        <w:spacing w:after="0" w:line="185" w:lineRule="exact"/>
        <w:rPr>
          <w:sz w:val="20"/>
          <w:szCs w:val="20"/>
          <w:color w:val="auto"/>
        </w:rPr>
      </w:pPr>
    </w:p>
    <w:p>
      <w:pPr>
        <w:jc w:val="both"/>
        <w:ind w:left="40" w:right="59" w:firstLine="58"/>
        <w:spacing w:after="0" w:line="263"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1"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maintaining the sales force and distribution capabilities may be disproportional compared to the revenues we may be able to generate on sales of our products.</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To the extent that we are able to obtain marketing approval for ruxolitinib cream for dermatology indications such as atopic dermatitis and vitiligo, we will have to establish and maintain sales, marketing and distribution capabilities that will generally be separate from our existing capabilities for oncology indications, and we have no prior experience in commercializing products for dermatology indications. Successful commercialization of our drug candidates for dermatology indications, if approved, will require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9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testing of JAKAFI, ICLUSIG, PEMAZYRE and MONJUVI, the manufacturing, marketing and sale of JAKAFI and PEMAZYRE and the marketing and sale of ICLUSIG and MONJUVI expose us to product liability and other risks. Side effects and other problems experienced by patients from the use of our products could:</w:t>
      </w:r>
    </w:p>
    <w:p>
      <w:pPr>
        <w:spacing w:after="0" w:line="184" w:lineRule="exact"/>
        <w:rPr>
          <w:sz w:val="20"/>
          <w:szCs w:val="20"/>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and MONJUVI.</w:t>
      </w:r>
    </w:p>
    <w:p>
      <w:pPr>
        <w:spacing w:after="0" w:line="18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our and our collaborator MorphoSys’s marketing of MONJUVI.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8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MONJUVI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Potential competitors for PEMAZYRE could include major pharmaceutical and biotechnology companies, as well as specialty pharmaceutical firms.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such as the COVID-19 Pandemic, could adversely affect our business, results of operations, and financial condition.</w:t>
      </w:r>
    </w:p>
    <w:p>
      <w:pPr>
        <w:spacing w:after="0" w:line="170"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global operations expose us to risks associated with public health epidemics, such as the COVID-19 Pandemic that has spread globally.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results of operations and financial condition, including the following: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 w:hanging="325"/>
        <w:spacing w:after="0" w:line="287"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protect the health of our employees and their families, and our communities, in accordance with – and in some cases in advance or - direction from state and local government authorities, we currently have limited access to certain of our facilities and instituted additional precautions in our facilities that have reopened, and a significant percentage of our personnel continue to work remotely a significant portion of their time. In the event that governmental authorities were to modify current restrictions or re-establish greater restrictions, our employees conducting research and development activities may not be able to access our laboratory space,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67" w:lineRule="exact"/>
        <w:rPr>
          <w:rFonts w:ascii="Arial" w:cs="Arial" w:eastAsia="Arial" w:hAnsi="Arial"/>
          <w:sz w:val="16"/>
          <w:szCs w:val="16"/>
          <w:color w:val="auto"/>
        </w:rPr>
      </w:pPr>
    </w:p>
    <w:p>
      <w:pPr>
        <w:jc w:val="both"/>
        <w:ind w:left="720" w:right="59" w:hanging="325"/>
        <w:spacing w:after="0" w:line="293"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the work from home orders and travel restrictions.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or travel restrictions.</w:t>
      </w:r>
    </w:p>
    <w:p>
      <w:pPr>
        <w:spacing w:after="0" w:line="164" w:lineRule="exact"/>
        <w:rPr>
          <w:rFonts w:ascii="Arial" w:cs="Arial" w:eastAsia="Arial" w:hAnsi="Arial"/>
          <w:sz w:val="16"/>
          <w:szCs w:val="16"/>
          <w:color w:val="auto"/>
        </w:rPr>
      </w:pPr>
    </w:p>
    <w:p>
      <w:pPr>
        <w:jc w:val="both"/>
        <w:ind w:left="720" w:right="59" w:hanging="325"/>
        <w:spacing w:after="0" w:line="273"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clinical trials have been and may in the future be affected by delays in site initiation, patient screening, patient enrollment, and monitoring and data collection as a result of prioritization of hospital resources for the COVID-19 Pandemic, travel restrictions, and the inability to access sites for initiation and monitoring. In addition, some patients may be unable to comply with clinical trial protocols if quarantines or stay at home orders impede patient movement or interrupt health services, we may be unable to obtain blood samples for testing, and we may not be able to provide the trial drug candidate to patients.</w:t>
      </w:r>
    </w:p>
    <w:p>
      <w:pPr>
        <w:spacing w:after="0" w:line="177" w:lineRule="exact"/>
        <w:rPr>
          <w:rFonts w:ascii="Arial" w:cs="Arial" w:eastAsia="Arial" w:hAnsi="Arial"/>
          <w:sz w:val="17"/>
          <w:szCs w:val="17"/>
          <w:color w:val="auto"/>
        </w:rPr>
      </w:pPr>
    </w:p>
    <w:p>
      <w:pPr>
        <w:jc w:val="both"/>
        <w:ind w:left="720" w:right="59" w:hanging="325"/>
        <w:spacing w:after="0" w:line="273"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Health 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77" w:lineRule="exact"/>
        <w:rPr>
          <w:rFonts w:ascii="Arial" w:cs="Arial" w:eastAsia="Arial" w:hAnsi="Arial"/>
          <w:sz w:val="17"/>
          <w:szCs w:val="17"/>
          <w:color w:val="auto"/>
        </w:rPr>
      </w:pPr>
    </w:p>
    <w:p>
      <w:pPr>
        <w:jc w:val="both"/>
        <w:ind w:left="720" w:right="59" w:hanging="325"/>
        <w:spacing w:after="0" w:line="287"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71" w:lineRule="exact"/>
        <w:rPr>
          <w:rFonts w:ascii="Arial" w:cs="Arial" w:eastAsia="Arial" w:hAnsi="Arial"/>
          <w:sz w:val="16"/>
          <w:szCs w:val="16"/>
          <w:color w:val="auto"/>
        </w:rPr>
      </w:pPr>
    </w:p>
    <w:p>
      <w:pPr>
        <w:jc w:val="both"/>
        <w:ind w:left="720" w:right="79" w:hanging="325"/>
        <w:spacing w:after="0" w:line="263"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global economy as a whole. However, these effects could have a material adverse impact on our business, results of operations, and financial condition.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new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pacing w:after="0" w:line="248" w:lineRule="exact"/>
        <w:rPr>
          <w:rFonts w:ascii="Arial" w:cs="Arial" w:eastAsia="Arial" w:hAnsi="Arial"/>
          <w:sz w:val="16"/>
          <w:szCs w:val="16"/>
          <w:color w:val="auto"/>
        </w:rPr>
      </w:pPr>
    </w:p>
    <w:p>
      <w:pPr>
        <w:ind w:left="1040" w:hanging="321"/>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pacing w:after="0" w:line="248" w:lineRule="exact"/>
        <w:rPr>
          <w:rFonts w:ascii="Arial" w:cs="Arial" w:eastAsia="Arial" w:hAnsi="Arial"/>
          <w:sz w:val="16"/>
          <w:szCs w:val="16"/>
          <w:color w:val="auto"/>
        </w:rPr>
      </w:pPr>
    </w:p>
    <w:p>
      <w:pPr>
        <w:ind w:left="1040" w:right="7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invested significant resources in the development of our most advanced drug candidates. We and our collaborator MorphoSys have submitted a European Marketing Authorization Application with the EMA for tafasitamab in combination with lenalidomide for the treatment of patients with a specified type of lymphoma. Ruxolitinib is in Phase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
        <w:spacing w:after="0" w:line="268" w:lineRule="auto"/>
        <w:tabs>
          <w:tab w:leader="none" w:pos="27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clinical trials for the treatment of patients with steroid-refractory graft-versus-host disease and patients with COVID-19 and is in other clinical trials. Ruxolitinib cream is in Phase III clinical trials for the treatment of patients with atopic dermatitis and vitiligo. Itacitinib is in Phase III clinical trials for the treatment of patients with chronic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In addition, in January 2020 we announced that itacitinib did not meet the primary endpoint in the Phase III clinical trial for the treatment of patients with acute graft-versus-host disease. If a product is developed but not approved or marketed, we may have spent significant amounts of time and money on it, which could adversely affect our operating results and financial condition as well as our business plans.</w:t>
      </w:r>
    </w:p>
    <w:p>
      <w:pPr>
        <w:spacing w:after="0" w:line="18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6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77" w:lineRule="exact"/>
        <w:rPr>
          <w:sz w:val="20"/>
          <w:szCs w:val="20"/>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9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Even if any of our applications receives an FDA priority review designation (including based on a priority review voucher, one of which we recently acquired and used in connection with our submission seeking FDA approval of ruxolitinib cream for atopic dermatitis), this designation may not result in faster review or approval for our product candidate compared to product candidates considered for approval under conventional FDA procedures and, in any event, does not assure ultimate approval of our product candidate by FDA.</w:t>
      </w:r>
    </w:p>
    <w:p>
      <w:pPr>
        <w:spacing w:after="0" w:line="18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7"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w:t>
      </w:r>
    </w:p>
    <w:p>
      <w:pPr>
        <w:spacing w:after="0" w:line="16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addition, there has been an increasing legislative and enforcement interest in the United States with respect to drug pricing practices. This has resulted in several recent federal and state proposals, including executive orders issued by the Trump Administration in July 2020,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and the July 2020 executive orders designed to, among other things, bring more transparency to drug pricing, reduce the cost of prescription drugs under Medicare, reform government program reimbursement methodologies for prescription drugs, allow importation of drugs into the United States from other countries and limit allowable prices for drugs to a function of an average international reference price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have provided our products without charge to patients who have no or limited insurance coverage through these charitable organizations. Substantial support in this manner could harm our profitability in the future. Further, those organizations’ ability to provide assistance to patients is dependent on funding from external sources, and we cannot guarantee that such funding will be provided at adequate levels, or at all.</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Innovent and to Zai Lab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the ownership of intellectual property that is developed during the course of a collaborative relationship or the operation or interpretation of other provisions in our collaboration agreements. These disputes could lead to litigation or arbitration, which could be costly and divert the efforts of our management and scientific staff, and could diminish the expected effectiveness of the collaboration.</w:t>
      </w:r>
    </w:p>
    <w:p>
      <w:pPr>
        <w:spacing w:after="0" w:line="17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and Zai Lab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8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9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we may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72"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Even if we or our collaborators are successful in gaining regulatory approval of any of our or our collaborators’ drug candidates in addition to JAKAFI, OLUMIANT, PEMAZYRE and MONJUVI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9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40" w:right="79" w:hanging="321"/>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and our other drug candidates or for ICLUSIG or MONJUVI. We currently hire third parties to manufacture the raw materials, API and finished drug product of JAKAFI, ICLUSIG, PEMAZYRE and our other drug candidates for clinical trials and our collaborator MorphoSys is currently responsible for sourcing manufacturing of MONJUVI.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and PEMAZYRE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8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specifications. Manufacturers of pharmaceutical products often encounter difficulties in production, especially in scaling up initial production. These problems include difficulties with production costs and yields, quality control and assurance and shortages of qualified personnel. To the extent our supply chain involves parties in China or materials originating in areas of China that are or could be affected by disease outbreaks such as the COVID-19 Pandemic in 2020,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6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three month periods ended March 31, 2020 and September 30, 2020, we recorded unrealized losses related to all of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drug development activities in Japan and are in the process of opening an office in China. International operations and business expansion plans are subject to numerous additional risks, including:</w:t>
      </w:r>
    </w:p>
    <w:p>
      <w:pPr>
        <w:spacing w:after="0" w:line="176" w:lineRule="exact"/>
        <w:rPr>
          <w:sz w:val="20"/>
          <w:szCs w:val="20"/>
          <w:color w:val="auto"/>
        </w:rPr>
      </w:pPr>
    </w:p>
    <w:p>
      <w:pPr>
        <w:jc w:val="both"/>
        <w:ind w:left="1040" w:right="79" w:hanging="321"/>
        <w:spacing w:after="0" w:line="259"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21"/>
        <w:spacing w:after="0" w:line="26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59" w:hanging="321"/>
        <w:spacing w:after="0" w:line="286"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political and economic conditions in the countries in which we operate, including terrorism and political unrest, curtailment of trade and other business restrictions, and uncertainties associated with the implementation of the relationship between the United Kingdom and the European Union;</w:t>
      </w:r>
    </w:p>
    <w:p>
      <w:pPr>
        <w:spacing w:after="0" w:line="165"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 health risks, such as the spread globally of COVID-19 in 2020, and related effects on supply chain, travel and employee health and availability; and</w:t>
      </w:r>
    </w:p>
    <w:p>
      <w:pPr>
        <w:spacing w:after="0" w:line="170"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Due to historical net losses, we had an accumulated deficit of $1.7 billion as of December 31, 2020.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and MONJUVI, for several years, if ever.</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ICLUSIG, PEMAZYRE and MONJUVI, we may incur losses if our drug products do not generate significant revenues.</w:t>
      </w:r>
    </w:p>
    <w:p>
      <w:pPr>
        <w:spacing w:after="0" w:line="18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right="79" w:hanging="321"/>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money market funds, U.S. government backed-funds and Treasury assets,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derived a substantial portion of our revenues for the year ended December 31, 2020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may not be able to obtain any necessary licenses on acceptable terms, if at all. If we are unable to develop non-infringing technology or license technology on a timely basis or on reasonable terms, our business could be harmed.</w:t>
      </w:r>
    </w:p>
    <w:p>
      <w:pPr>
        <w:spacing w:after="0" w:line="14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6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6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CCPA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Our global headquarters is in Wilmington, Delaware, which is where our principal drug discovery and development operations are also located. We own two buildings comprising approximately 344,000 square feet of</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laboratory and office space at this site. In March 2017, we acquired additional adjacent buildings and in 2019, began demolition of these buildings and construction of a new laboratory and office building totaling approximately 200,000 square feet. The construction of this building is currently expected to be completed in the second half of 2021. Also in October 2019, we entered into an agreement to purchase additional adjacent property for $50.0 million to expand our global headquarters. Under that agreement, closing of the purchase is subject to certain standard closing conditions, including an initial diligence period and a subsequent approval period.</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lease approximately 112,000 square feet of office space in Chadds Ford, Pennsylvania and approximately 84,000 square feet of additional laboratory and office space in Wilmington, Delaware.</w:t>
      </w:r>
    </w:p>
    <w:p>
      <w:pPr>
        <w:spacing w:after="0" w:line="170"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conduct our international clinical development and commercial operations from our European office in Morges, Switzerland, our Japanese office in Tokyo and our Canadian office in Montreal. In July 2018, we purchased a parcel of land in Yverdon-les-Bains, Switzerland upon which we are building a large molecule production facility. Construction commenced in July 2018 and we currently expect the facility will be operational in the second half of 2021.</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From time to time, we are party to legal proceedings in the course of our business. The outcome of any such proceedings, regardless of the merits, is inherently uncertain. Legal proceedings, including litigation, government investigations and enforcement actions, can result in significant costs and occupy significant management resources. We do not expect any such current legal proceedings to have a material adverse impact on our business or financial condition. Additional information regarding our current legal proceedings can be found in Note 16 of notes to our consolidated financial statements included in Item 8 of this report.</w:t>
      </w:r>
    </w:p>
    <w:p>
      <w:pPr>
        <w:spacing w:after="0" w:line="188" w:lineRule="exact"/>
        <w:rPr>
          <w:sz w:val="20"/>
          <w:szCs w:val="20"/>
          <w:color w:val="auto"/>
        </w:rPr>
      </w:pPr>
    </w:p>
    <w:p>
      <w:pPr>
        <w:jc w:val="center"/>
        <w:ind w:right="6499"/>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executive officers are as follows: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Hervé Hoppenot, </w:t>
      </w:r>
      <w:r>
        <w:rPr>
          <w:rFonts w:ascii="Arial" w:cs="Arial" w:eastAsia="Arial" w:hAnsi="Arial"/>
          <w:sz w:val="17"/>
          <w:szCs w:val="17"/>
          <w:color w:val="auto"/>
        </w:rPr>
        <w:t>age 61, joined Incyte as President and Chief Executive Officer and a Director, in January 2014</w:t>
      </w:r>
      <w:r>
        <w:rPr>
          <w:rFonts w:ascii="Arial" w:cs="Arial" w:eastAsia="Arial" w:hAnsi="Arial"/>
          <w:sz w:val="17"/>
          <w:szCs w:val="17"/>
          <w:i w:val="1"/>
          <w:iCs w:val="1"/>
          <w:color w:val="auto"/>
        </w:rPr>
        <w:t xml:space="preserve"> </w:t>
      </w:r>
      <w:r>
        <w:rPr>
          <w:rFonts w:ascii="Arial" w:cs="Arial" w:eastAsia="Arial" w:hAnsi="Arial"/>
          <w:sz w:val="17"/>
          <w:szCs w:val="17"/>
          <w:color w:val="auto"/>
        </w:rPr>
        <w:t>and was appointed Chairman of the Board in May 2015. Mr. Hoppenot served as the President of Novartis Oncology, Novartis Pharmaceuticals Corporation, the U.S. subsidiary of Novartis AG, a pharmaceutical company, from January 2010 to January 2014. Prior to that, Mr. Hoppenot served in other executive positions at Novartis Pharmaceuticals Corporation, serving from September 2006 to January 2010 as Executive Vice President, Chief Commercial Officer of Novartis Oncology and Head of Global Product Strategy &amp; Scientific Development of Novartis Pharmaceuticals Corporation and from 2003 to September 2006 as Senior Vice President, Head of Global Marketing of Novartis Oncology. Prior to joining Novartis, Mr. Hoppenot served in various increasingly senior roles at Aventis S.A. (formerly Rhône-Poulenc S.A.), a pharmaceutical company, including as Vice President Oncology US of Aventis Pharmaceuticals, Inc. from 2000 to 2003 and Vice President US Oncology Operations of Rhone-Poulenc Rorer Pharmaceuticals, Inc. from 1998 to 2000. Mr. Hoppenot holds a Diploma from ESSEC International Business School. Mr. Hoppenot is also a director of Cellectis S.A.</w:t>
      </w:r>
    </w:p>
    <w:p>
      <w:pPr>
        <w:spacing w:after="0" w:line="17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Dashyant Dhanak</w:t>
      </w:r>
      <w:r>
        <w:rPr>
          <w:rFonts w:ascii="Arial" w:cs="Arial" w:eastAsia="Arial" w:hAnsi="Arial"/>
          <w:sz w:val="17"/>
          <w:szCs w:val="17"/>
          <w:color w:val="auto"/>
        </w:rPr>
        <w:t>, age 60, joined Incyte in December 2018 as Executive Vice President, Chief Scientific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Incyte, Dr. Dhanak served as Vice President and Head of Discovery Sciences of Janssen Research &amp; Development, LLC, a wholly-owned subsidiary of Johnson &amp; Johnson, a pharmaceutical company, from 2013 until November 2018. Prior to his tenure at Janssen, Dr. Dhanak spent 25 years at GlaxoSmithKline, a pharmaceutical company, in positions of increased responsibility across multiple disease areas, including his last position as Vice President and Head of the Cancer Epigenetics Discovery Performance Unit. Dr. Dhanak received a B.S. in Chemistry from the University of Manchester Institute of Science and Technology and his Ph.D. from the University of London. He completed his postdoctoral research in natural product synthesis at Northwestern University.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Jonathan E. Dickinson</w:t>
      </w:r>
      <w:r>
        <w:rPr>
          <w:rFonts w:ascii="Arial" w:cs="Arial" w:eastAsia="Arial" w:hAnsi="Arial"/>
          <w:sz w:val="17"/>
          <w:szCs w:val="17"/>
          <w:color w:val="auto"/>
        </w:rPr>
        <w:t>, age 53, has served as Executive Vice President and General Manager, Europe since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2019 and joined Incyte as Senior Vice President and General Manager, Europe in June 2016. Mr. Dickinson joined Incyte from ARIAD Pharmaceuticals (Luxembourg) S.à.r.l, the parent company of ARIAD Pharmaceuticals, Inc.’s European subsidiaries responsible for the development and commercialization of Iclusig in the European Union and other countries, where he most recently held the position of Senior Vice President and General Manager, Europe. Prior to joining ARIAD in February 2013, Mr. Dickinson served as European oncology brand lead at Bristol-Myers Squibb, a pharmaceutical company, and before that, he held several key leadership positions, including lifecycle leader, during his 13-year tenure at Hoffmann-La Roche, a pharmaceutical company. At Roche, he had assignments both in the United States and Switzerland that included leadership roles for Roche’s three leading oncology medicines. Mr. Dickinson began his career at Novartis, where he held commercial roles in its oncology and endocrinology businesses, including medical sales, product manager and business director in the United Kingdom. Mr. Dickinson received a B.S. in Genetics and an M.B.A. from the University of Nottingham.</w:t>
      </w:r>
    </w:p>
    <w:p>
      <w:pPr>
        <w:spacing w:after="0" w:line="17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Barry P. Flannelly</w:t>
      </w:r>
      <w:r>
        <w:rPr>
          <w:rFonts w:ascii="Arial" w:cs="Arial" w:eastAsia="Arial" w:hAnsi="Arial"/>
          <w:sz w:val="17"/>
          <w:szCs w:val="17"/>
          <w:color w:val="auto"/>
        </w:rPr>
        <w:t>, age 63, has served as Executive Vice President and General Manager, NA since June 2015 and</w:t>
      </w:r>
      <w:r>
        <w:rPr>
          <w:rFonts w:ascii="Arial" w:cs="Arial" w:eastAsia="Arial" w:hAnsi="Arial"/>
          <w:sz w:val="17"/>
          <w:szCs w:val="17"/>
          <w:i w:val="1"/>
          <w:iCs w:val="1"/>
          <w:color w:val="auto"/>
        </w:rPr>
        <w:t xml:space="preserve"> </w:t>
      </w:r>
      <w:r>
        <w:rPr>
          <w:rFonts w:ascii="Arial" w:cs="Arial" w:eastAsia="Arial" w:hAnsi="Arial"/>
          <w:sz w:val="17"/>
          <w:szCs w:val="17"/>
          <w:color w:val="auto"/>
        </w:rPr>
        <w:t>joined Incyte as Executive Vice President, Business Development and Strategic Planning in August 2014. Prior to joining Incyte, he served as Chief Executive Officer of OSS Healthcare Inc., a biotechnology start-up company, from August 2013 to July 2014. He served as Vice President, Global Product Strategy and Commercial Planning of Nektar Therapeutics, a biopharmaceutical company, from April 2011 until April 2013, and as Senior Vice President, Commercial, of Onyx Pharmaceuticals, Inc., a biopharmaceutical company, from August 2008 until January 2011. Prior thereto, Dr. Flannelly held key positions at biopharmaceutical and pharmaceutical companies such as Abraxis BioScience, Inc. and Novartis. Dr. Flannelly earned his doctorate in pharmacy from the University of Maryland, School of Pharmacy, his master’s degree in business administration from the University of Baltimore, and his B.S. degree in Pharmacy from Massachusetts College of Pharmacy.</w:t>
      </w:r>
    </w:p>
    <w:p>
      <w:pPr>
        <w:spacing w:after="0" w:line="18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Vijay Iyengar</w:t>
      </w:r>
      <w:r>
        <w:rPr>
          <w:rFonts w:ascii="Arial" w:cs="Arial" w:eastAsia="Arial" w:hAnsi="Arial"/>
          <w:sz w:val="18"/>
          <w:szCs w:val="18"/>
          <w:color w:val="auto"/>
        </w:rPr>
        <w:t>, age 48, joined Incyte in May 2016 as Executive Vice President, Global Strategy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Prior to joining Incyte, from April 2014 to April 2016, he was the President of Genoptix Corporation, a Novartis Company. From December 2011 to March 2014, he was the Vice President and Rare Diseases Franchise Head at Novartis Oncology and from July 2009 to December 2011, he was the Vice President and Oncology General Manager of Novartis Greece. From October 2007 to June 2009, he was the Global Brand Executive Director at Novartis Pharmaceuticals, and from January 2006 to October 2007, he was the Global Brand Director, Oncology at Novartis Pharmaceuticals. Dr. Iyengar received his B.S. degree in Biology from Stanford University and earned his M.D. from Harvard Medical School.</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Michael Morrissey</w:t>
      </w:r>
      <w:r>
        <w:rPr>
          <w:rFonts w:ascii="Arial" w:cs="Arial" w:eastAsia="Arial" w:hAnsi="Arial"/>
          <w:sz w:val="18"/>
          <w:szCs w:val="18"/>
          <w:color w:val="auto"/>
        </w:rPr>
        <w:t>, age 57, has served as Executive Vice President and Head of Global Technical Operations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2019 and joined Incyte in January 2016 as Corporate Senior Vice President and Head of Global Technical Operations. He has more than 30 years of global pharmaceutical industry experience through his prior positions in Research and Development, Quality Assurance, and Manufacturing. From February 2005 until joining Incyte, Mr. Morrissey worked at Celgene International, a subsidiary of Celgene Corporation, a biopharmaceutical company, where he last served as Corporate Vice President, Head of International Technical Operations. Prior to Celgene, he worked for Roche for 15 years in various positions. Mr. Morrissey received a B.Sc. in Physics and Applied Mathematics from the University of London, United Kingdom.</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Maria E. Pasquale</w:t>
      </w:r>
      <w:r>
        <w:rPr>
          <w:rFonts w:ascii="Arial" w:cs="Arial" w:eastAsia="Arial" w:hAnsi="Arial"/>
          <w:sz w:val="17"/>
          <w:szCs w:val="17"/>
          <w:color w:val="auto"/>
        </w:rPr>
        <w:t>, age 55, joined Incyte in April 2018 as Executive Vice President and General Counsel.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Incyte, Ms. Pasquale joined Incyte from Celgene Corporation, a biopharmaceutical company, where for 17 years she held positions of increasing levels of responsibility, including Chief Counsel; Senior Vice President, Legal and Deputy General Counsel and Assistant Corporate Secretary, and, most recently, Executive Vice President and Global Chief Compliance Officer. Prior to her tenure at Celgene, Ms. Pasquale spent a decade supporting pharmaceutical clients as a global patent and litigation attorney at Pennie &amp; Edmonds LLP in New York (now part of Jones Day). Before her career in law, Ms. Pasquale was an Assistant Research Scientist at the Institute for Basic Research and the Cold Spring Harbor Laboratory. Ms. Pasquale holds a J.D. from Brooklyn Law School and a B.S. in biochemistry from the State University of New York at Stony Brook.</w:t>
      </w:r>
    </w:p>
    <w:p>
      <w:pPr>
        <w:spacing w:after="0" w:line="181"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Christiana Stamoulis, </w:t>
      </w:r>
      <w:r>
        <w:rPr>
          <w:rFonts w:ascii="Arial" w:cs="Arial" w:eastAsia="Arial" w:hAnsi="Arial"/>
          <w:sz w:val="16"/>
          <w:szCs w:val="16"/>
          <w:color w:val="auto"/>
        </w:rPr>
        <w:t>age 50, joined Incyte in February 2019 as Executive Vice President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Prior to joining Incyte, she served as President from February 2018 until January 2019 and Chief Financial Officer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from January 2015 to January 2019 of Unum Therapeutics Inc., a biopharmaceutical company. From January 2014 until she joined Unum, Ms. Stamoulis was an independent advisor to biopharmaceutical companies. From 2009 until December 2013, Ms. Stamoulis was a Senior Vice President of Corporate Strategy and Business Development at Vertex Pharmaceuticals, Inc., a biopharmaceutical company. Prior to joining Vertex, Ms. Stamoulis spent nearly 15 years in the investment banking and management consulting industries. She was a Managing Director in the Investment Banking division of Citigroup and, prior to that, she was a senior investment banker in the Healthcare Investment Banking Group of Goldman, Sachs &amp; Co., where she spent the majority of her investment banking career. Ms. Stamoulis started her career as a strategy consultant at The Boston Consulting Group. Ms. Stamoulis holds two B.S. degrees from the Massachusetts Institute of Technology (MIT) and an M.B.A. from the MIT Sloan School of Management.</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Steven Stein, </w:t>
      </w:r>
      <w:r>
        <w:rPr>
          <w:rFonts w:ascii="Arial" w:cs="Arial" w:eastAsia="Arial" w:hAnsi="Arial"/>
          <w:sz w:val="17"/>
          <w:szCs w:val="17"/>
          <w:color w:val="auto"/>
        </w:rPr>
        <w:t>age 54, has served as Executive Vice President and Chief Medical Officer since May 2016 and joined</w:t>
      </w:r>
      <w:r>
        <w:rPr>
          <w:rFonts w:ascii="Arial" w:cs="Arial" w:eastAsia="Arial" w:hAnsi="Arial"/>
          <w:sz w:val="17"/>
          <w:szCs w:val="17"/>
          <w:i w:val="1"/>
          <w:iCs w:val="1"/>
          <w:color w:val="auto"/>
        </w:rPr>
        <w:t xml:space="preserve"> </w:t>
      </w:r>
      <w:r>
        <w:rPr>
          <w:rFonts w:ascii="Arial" w:cs="Arial" w:eastAsia="Arial" w:hAnsi="Arial"/>
          <w:sz w:val="17"/>
          <w:szCs w:val="17"/>
          <w:color w:val="auto"/>
        </w:rPr>
        <w:t>Incyte as Senior Vice President and Chief Medical Officer in March 2015. Prior to joining Incyte, from May 2011 to February 2015, he was the Senior Vice President, US Clinical Development &amp; Medical Affairs at Novartis Pharmaceuticals. From February 2004 to April 2011, Dr. Stein was the Vice President, Global Oncology, Clinical Development and the Head of Medicines Development for Hematology and Supportive Care for GlaxoSmithKline. Dr. Stein held a post-doctoral fellowship in hematology/oncology at the University of Pennsylvania from 1998 to 2001, and earned his M.D. from the University of Witwatersrand in Johannesburg, South Africa in 1990.</w:t>
      </w:r>
    </w:p>
    <w:p>
      <w:pPr>
        <w:spacing w:after="0" w:line="17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Paula J. Swain</w:t>
      </w:r>
      <w:r>
        <w:rPr>
          <w:rFonts w:ascii="Arial" w:cs="Arial" w:eastAsia="Arial" w:hAnsi="Arial"/>
          <w:sz w:val="18"/>
          <w:szCs w:val="18"/>
          <w:color w:val="auto"/>
        </w:rPr>
        <w:t>, age 63, has served as Executive Vice President, Human Resources since August 2002 and joined</w:t>
      </w:r>
      <w:r>
        <w:rPr>
          <w:rFonts w:ascii="Arial" w:cs="Arial" w:eastAsia="Arial" w:hAnsi="Arial"/>
          <w:sz w:val="18"/>
          <w:szCs w:val="18"/>
          <w:i w:val="1"/>
          <w:iCs w:val="1"/>
          <w:color w:val="auto"/>
        </w:rPr>
        <w:t xml:space="preserve"> </w:t>
      </w:r>
      <w:r>
        <w:rPr>
          <w:rFonts w:ascii="Arial" w:cs="Arial" w:eastAsia="Arial" w:hAnsi="Arial"/>
          <w:sz w:val="18"/>
          <w:szCs w:val="18"/>
          <w:color w:val="auto"/>
        </w:rPr>
        <w:t>Incyte as Senior Vice President of Human Resources in January 2002. Ms. Swain served as Senior Vice President of Human Resources at Bristol-Myers Squibb Company from October 2001 to January 2002, after it acquired DuPont Pharmaceuticals Company. From July 1998 to October 2001, Ms. Swain was Senior Vice President of Human Resources at DuPont Pharmaceuticals. From October 1992 to July 1998, Ms. Swain held a variety of human resources positions of increasing responsibility at DuPont Pharmaceuticals. Ms. Swain received her B.A. in Psychology and Industrial Relations from Rockhurst University.</w:t>
      </w:r>
    </w:p>
    <w:p>
      <w:pPr>
        <w:spacing w:after="0" w:line="19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i w:val="1"/>
          <w:iCs w:val="1"/>
          <w:color w:val="auto"/>
        </w:rPr>
        <w:t>Wenqing Yao</w:t>
      </w:r>
      <w:r>
        <w:rPr>
          <w:rFonts w:ascii="Arial" w:cs="Arial" w:eastAsia="Arial" w:hAnsi="Arial"/>
          <w:sz w:val="16"/>
          <w:szCs w:val="16"/>
          <w:color w:val="auto"/>
        </w:rPr>
        <w:t>, age 58, has served as Executive Vice President, Head of Discovery Chemistry since October 2014.</w:t>
      </w:r>
      <w:r>
        <w:rPr>
          <w:rFonts w:ascii="Arial" w:cs="Arial" w:eastAsia="Arial" w:hAnsi="Arial"/>
          <w:sz w:val="16"/>
          <w:szCs w:val="16"/>
          <w:i w:val="1"/>
          <w:iCs w:val="1"/>
          <w:color w:val="auto"/>
        </w:rPr>
        <w:t xml:space="preserve"> </w:t>
      </w:r>
      <w:r>
        <w:rPr>
          <w:rFonts w:ascii="Arial" w:cs="Arial" w:eastAsia="Arial" w:hAnsi="Arial"/>
          <w:sz w:val="16"/>
          <w:szCs w:val="16"/>
          <w:color w:val="auto"/>
        </w:rPr>
        <w:t>Dr. Yao joined Incyte as Director, Chemistry in February 2002 and held roles of increasing responsibility at Incyte. Prior to joining Incyte, Dr. Yao held scientific research positions with DuPont Pharmaceuticals and Bristol-Myers Squibb Company from 1996 to 2002. Dr. Yao received his B.S. in chemistry from Xuzhou Normal University, his M.S. in organic chemistry from NanKai University and his Ph.D. in organic/medicinal chemistry from the University of Pennsylvania.</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Our common stock, $.001 par value per share, is traded on The Nasdaq Global Select Market under the symbol “INCY.” As of December 31, 2020, our common stock was held by 122 stockholders of record. We have never declared or paid dividends on our capital stock and do not anticipate paying any dividends in the foreseeable future.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1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left="120" w:right="120" w:firstLine="648"/>
        <w:spacing w:after="0" w:line="263" w:lineRule="auto"/>
        <w:rPr>
          <w:sz w:val="20"/>
          <w:szCs w:val="20"/>
          <w:color w:val="auto"/>
        </w:rPr>
      </w:pPr>
      <w:r>
        <w:rPr>
          <w:rFonts w:ascii="Arial" w:cs="Arial" w:eastAsia="Arial" w:hAnsi="Arial"/>
          <w:sz w:val="18"/>
          <w:szCs w:val="18"/>
          <w:color w:val="auto"/>
        </w:rPr>
        <w:t>The data set forth below should be read in conjunction with “Management’s Discussion and Analysis of Financial Condition and Results of Operations” included in Item 7 and the Consolidated Financial Statements and related Notes included in Item 8 of this Report.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w w:val="98"/>
              </w:rPr>
              <w:t>Consolidated Statements of Operations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Data: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line="216" w:lineRule="exact"/>
              <w:rPr>
                <w:sz w:val="20"/>
                <w:szCs w:val="20"/>
                <w:color w:val="auto"/>
              </w:rPr>
            </w:pPr>
            <w:r>
              <w:rPr>
                <w:rFonts w:ascii="Arial" w:cs="Arial" w:eastAsia="Arial" w:hAnsi="Arial"/>
                <w:sz w:val="17"/>
                <w:szCs w:val="17"/>
                <w:color w:val="auto"/>
              </w:rPr>
              <w:t>Product revenues, net</w:t>
            </w:r>
            <w:r>
              <w:rPr>
                <w:rFonts w:ascii="Arial" w:cs="Arial" w:eastAsia="Arial" w:hAnsi="Arial"/>
                <w:sz w:val="25"/>
                <w:szCs w:val="25"/>
                <w:color w:val="auto"/>
                <w:vertAlign w:val="superscript"/>
              </w:rPr>
              <w:t>(1)</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2,068,736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1,774,922</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1,466,900</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1,200,312</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line="216" w:lineRule="exact"/>
              <w:rPr>
                <w:sz w:val="20"/>
                <w:szCs w:val="20"/>
                <w:color w:val="auto"/>
              </w:rPr>
            </w:pPr>
            <w:r>
              <w:rPr>
                <w:rFonts w:ascii="Arial" w:cs="Arial" w:eastAsia="Arial" w:hAnsi="Arial"/>
                <w:sz w:val="17"/>
                <w:szCs w:val="17"/>
                <w:color w:val="auto"/>
              </w:rPr>
              <w:t>Product royalty revenues</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392,966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306,337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234,780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160,791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line="216" w:lineRule="exact"/>
              <w:rPr>
                <w:sz w:val="20"/>
                <w:szCs w:val="20"/>
                <w:color w:val="auto"/>
              </w:rPr>
            </w:pPr>
            <w:r>
              <w:rPr>
                <w:rFonts w:ascii="Arial" w:cs="Arial" w:eastAsia="Arial" w:hAnsi="Arial"/>
                <w:sz w:val="17"/>
                <w:szCs w:val="17"/>
                <w:color w:val="auto"/>
              </w:rPr>
              <w:t>Milestone and contract revenues</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2,666,702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2,158,759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1,881,883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1,536,216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1,105,719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Cost of product revenues (including</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definite-lived intangible amortization)</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131,328</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line="21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5"/>
                <w:szCs w:val="25"/>
                <w:color w:val="auto"/>
                <w:vertAlign w:val="superscript"/>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2,215,942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1,154,111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1,197,957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1,326,134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line="216" w:lineRule="exact"/>
              <w:rPr>
                <w:sz w:val="20"/>
                <w:szCs w:val="20"/>
                <w:color w:val="auto"/>
              </w:rPr>
            </w:pPr>
            <w:r>
              <w:rPr>
                <w:rFonts w:ascii="Arial" w:cs="Arial" w:eastAsia="Arial" w:hAnsi="Arial"/>
                <w:sz w:val="17"/>
                <w:szCs w:val="17"/>
                <w:color w:val="auto"/>
                <w:w w:val="98"/>
              </w:rPr>
              <w:t>Selling, general and administrative</w:t>
            </w:r>
            <w:r>
              <w:rPr>
                <w:rFonts w:ascii="Arial" w:cs="Arial" w:eastAsia="Arial" w:hAnsi="Arial"/>
                <w:sz w:val="25"/>
                <w:szCs w:val="25"/>
                <w:color w:val="auto"/>
                <w:w w:val="98"/>
                <w:vertAlign w:val="superscript"/>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0"/>
              <w:spacing w:after="0" w:line="201" w:lineRule="exact"/>
              <w:rPr>
                <w:sz w:val="20"/>
                <w:szCs w:val="20"/>
                <w:color w:val="auto"/>
              </w:rPr>
            </w:pPr>
            <w:r>
              <w:rPr>
                <w:rFonts w:ascii="Arial" w:cs="Arial" w:eastAsia="Arial" w:hAnsi="Arial"/>
                <w:sz w:val="18"/>
                <w:szCs w:val="18"/>
                <w:color w:val="auto"/>
                <w:w w:val="99"/>
              </w:rPr>
              <w:t>Change in fair value of acquisition-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related contingent consideration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23,385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26,173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7,704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Collaboration loss sharing</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2,930,378</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1,756,753</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1,752,660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1,779,603</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960,721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5"/>
                <w:szCs w:val="25"/>
                <w:color w:val="auto"/>
                <w:vertAlign w:val="superscript"/>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Unrealized gain (loss) on long term</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(44,093)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Expense related to senior note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conversions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line="182" w:lineRule="exact"/>
              <w:rPr>
                <w:sz w:val="20"/>
                <w:szCs w:val="20"/>
                <w:color w:val="auto"/>
              </w:rPr>
            </w:pPr>
            <w:r>
              <w:rPr>
                <w:rFonts w:ascii="Arial" w:cs="Arial" w:eastAsia="Arial" w:hAnsi="Arial"/>
                <w:sz w:val="18"/>
                <w:szCs w:val="18"/>
                <w:color w:val="auto"/>
              </w:rPr>
              <w:t>Income (loss) before provision for</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(232,218)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486,791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115,347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(312,290)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107,404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(295,697)</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446,906</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109,493</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(313,142)</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8"/>
              </w:rPr>
              <w:t>Shares used in computing net income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(loss) per share: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218,073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217,657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215,635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204,580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194,125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59690</wp:posOffset>
            </wp:positionV>
            <wp:extent cx="1414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jc w:val="both"/>
        <w:ind w:left="440" w:right="120" w:hanging="316"/>
        <w:spacing w:after="0" w:line="263"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2020 product revenues, net, include our product sales of JAKAFI, ICLUSIG and PEMAZYRE. 2019, 2018, 2017 and 2016 product revenues, net, relate to our product sales of JAKAFI and ICLUSIG from the date of acquisition on June 1, 2016.</w:t>
      </w:r>
    </w:p>
    <w:p>
      <w:pPr>
        <w:sectPr>
          <w:pgSz w:w="11900" w:h="16838" w:orient="portrait"/>
          <w:cols w:equalWidth="0" w:num="1">
            <w:col w:w="9160"/>
          </w:cols>
          <w:pgMar w:left="1360" w:top="517" w:right="137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60"/>
          </w:cols>
          <w:pgMar w:left="1360" w:top="517" w:right="1379"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60" w:right="59" w:hanging="316"/>
        <w:spacing w:after="0" w:line="257"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2020 product royalty revenues relate to Novartis net sales of TABRECTA worldwide, Novartis net sales of JAKAVI outside of the United States and Lilly net sales of OLUMIANT outside of the United States. 2019, 2018 and 2017 product royalty revenues relate to Novartis net sales of JAKAVI outside of the United States and Lilly net sales of OLUMIANT outside of the United States. 2016 product royalty revenues relate to Novartis net sales of JAKAVI outside the United States.</w:t>
      </w:r>
    </w:p>
    <w:p>
      <w:pPr>
        <w:spacing w:after="0" w:line="79" w:lineRule="exact"/>
        <w:rPr>
          <w:rFonts w:ascii="Arial" w:cs="Arial" w:eastAsia="Arial" w:hAnsi="Arial"/>
          <w:sz w:val="18"/>
          <w:szCs w:val="18"/>
          <w:color w:val="auto"/>
        </w:rPr>
      </w:pPr>
    </w:p>
    <w:p>
      <w:pPr>
        <w:jc w:val="both"/>
        <w:ind w:left="360" w:right="59" w:hanging="316"/>
        <w:spacing w:after="0" w:line="259"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2020 milestone and contract revenues relate to our collaborative research and license agreements with Novartis, Lilly and Innovent. 2019 milestone and contract revenues relate to our collaborative research and license agreements with Innovent and Zai Lab. 2018, 2017 and 2016 milestone and contract revenues relate to our collaborative research and license agreements with Novartis and Lilly.</w:t>
      </w:r>
    </w:p>
    <w:p>
      <w:pPr>
        <w:spacing w:after="0" w:line="78" w:lineRule="exact"/>
        <w:rPr>
          <w:rFonts w:ascii="Arial" w:cs="Arial" w:eastAsia="Arial" w:hAnsi="Arial"/>
          <w:sz w:val="18"/>
          <w:szCs w:val="18"/>
          <w:color w:val="auto"/>
        </w:rPr>
      </w:pPr>
    </w:p>
    <w:p>
      <w:pPr>
        <w:jc w:val="both"/>
        <w:ind w:left="360" w:right="79" w:hanging="316"/>
        <w:spacing w:after="0" w:line="263"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retrospective adoption of ASU No. 2017-07 on January 1, 2018, the presentation of other components of net periodic benefit cost were reclassed out of operating income and into other income (expense), net for the periods presented, as applicable.</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3080" w:type="dxa"/>
            <w:vAlign w:val="bottom"/>
          </w:tcPr>
          <w:p>
            <w:pPr>
              <w:spacing w:after="0"/>
              <w:rPr>
                <w:sz w:val="18"/>
                <w:szCs w:val="18"/>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2020</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8"/>
                <w:szCs w:val="18"/>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w w:val="95"/>
              </w:rPr>
              <w:t>Cash, cash equivalents, and marketable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securities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$ 1,801,377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$ 2,117,554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$ 1,438,323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$ 1,169,645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808,546</w:t>
            </w:r>
          </w:p>
        </w:tc>
        <w:tc>
          <w:tcPr>
            <w:tcW w:w="200" w:type="dxa"/>
            <w:vAlign w:val="bottom"/>
          </w:tcPr>
          <w:p>
            <w:pPr>
              <w:spacing w:after="0"/>
              <w:rPr>
                <w:sz w:val="20"/>
                <w:szCs w:val="20"/>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1,728,699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1,968,148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1,406,977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1,129,458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720,677</w:t>
            </w:r>
          </w:p>
        </w:tc>
        <w:tc>
          <w:tcPr>
            <w:tcW w:w="2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line="216" w:lineRule="exact"/>
              <w:rPr>
                <w:sz w:val="20"/>
                <w:szCs w:val="20"/>
                <w:color w:val="auto"/>
              </w:rPr>
            </w:pPr>
            <w:r>
              <w:rPr>
                <w:rFonts w:ascii="Arial" w:cs="Arial" w:eastAsia="Arial" w:hAnsi="Arial"/>
                <w:sz w:val="17"/>
                <w:szCs w:val="17"/>
                <w:color w:val="auto"/>
              </w:rPr>
              <w:t>Total assets</w:t>
            </w:r>
            <w:r>
              <w:rPr>
                <w:rFonts w:ascii="Arial" w:cs="Arial" w:eastAsia="Arial" w:hAnsi="Arial"/>
                <w:sz w:val="25"/>
                <w:szCs w:val="25"/>
                <w:color w:val="auto"/>
                <w:vertAlign w:val="superscript"/>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3,560,918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3,426,750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2,645,762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2,302,582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1,638,597</w:t>
            </w:r>
          </w:p>
        </w:tc>
        <w:tc>
          <w:tcPr>
            <w:tcW w:w="2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24,001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651,481</w:t>
            </w:r>
          </w:p>
        </w:tc>
        <w:tc>
          <w:tcPr>
            <w:tcW w:w="200" w:type="dxa"/>
            <w:vAlign w:val="bottom"/>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Stockholders’ equity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2,611,268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2,598,406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1,925,967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1,630,629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419,467</w:t>
            </w: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jc w:val="both"/>
        <w:ind w:left="360" w:right="79" w:hanging="316"/>
        <w:spacing w:after="0" w:line="263"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January 1, 2019, we adopted ASU No. 2016-02 which required us to recognize lease right-of-use assets and corresponding lease liabilities on the consolidated balance sheet. No prior periods were restated as further discussed in Note 1 of Notes to the Consolidated Financial Statements.</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“Selected Consolidated Financial Data” and the Consolidated Financial Statements and related Notes included elsewhere in this Report.</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 xml:space="preserve">A discussion of our financial performance for the year ended December 31, 2020 as compared to the year ended December 31, 2019 appears below under the captions “Results of Operations” and “Liquidity and Capital Resources.” A discussion of our financial performance for the year ended December 31, 2019 compared to the year ended December 31, 2018 can be found under the same captions in Item 7 of our Annual Report on Form 10-K for the year ended December 31, 2019, filed with the SEC on February 13, 2020, which is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our Investor Relations website at </w:t>
      </w:r>
      <w:r>
        <w:rPr>
          <w:rFonts w:ascii="Arial" w:cs="Arial" w:eastAsia="Arial" w:hAnsi="Arial"/>
          <w:sz w:val="17"/>
          <w:szCs w:val="17"/>
          <w:i w:val="1"/>
          <w:iCs w:val="1"/>
          <w:color w:val="auto"/>
        </w:rPr>
        <w:t>investor.incyte.com/financial-information/annual-reports</w:t>
      </w:r>
      <w:r>
        <w:rPr>
          <w:rFonts w:ascii="Arial" w:cs="Arial" w:eastAsia="Arial" w:hAnsi="Arial"/>
          <w:sz w:val="17"/>
          <w:szCs w:val="17"/>
          <w:color w:val="auto"/>
        </w:rPr>
        <w:t>. These website addresses are intended to be inactive, textual references only. None of the materials on, or accessible through, these websites are part of this report or are incorporated by reference herein.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Incyte is a biopharmaceutical company focused on the discovery, development and commercialization of proprietary therapeutics. Our global headquarters is located in Wilmington, Delaware. We conduct our international clinical development and commercial operations from our European office in Morges, Switzerland, our Japanese office in Tokyo and our Canadian office in Montreal. Our portfolio includes compounds in various stages, ranging from preclinical to late stage development, and commercialized products JAKAFI (ruxolitinib), ICLUSIG (ponatinib), PEMAZYRE (pemigatinib) and MONJUVI (tafasitamab-cxix) which is co-commercialized with MorphoSys.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Effects of the COVID-19 Pandemic on Our Business</w:t>
      </w:r>
    </w:p>
    <w:p>
      <w:pPr>
        <w:spacing w:after="0" w:line="22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2019, coronavirus disease of 2019, or COVID-19, was first reported in Wuhan, China. In March 2020, the World Health Organization declared COVID-19 a pandemic (“the COVID-19 Pandemic”) and certain governments, including the State of Delaware where our primary offices and laboratory spaces are located, enacted stay-at-home orders and sweeping restrictions to travel and business activity were initiated by corporations and governments.</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took aggressive, proactive actions early on to protect the health of our employees, and their families, including voluntarily requiring almost all personnel across our global enterprise to work remotely and restricting access to our sites to personnel who were required to perform critical business continuity activities. In May 2020, we initiated a return to full laboratory work at our facilities in Wilmington, Delaware, as well as a gradual return to office-based working, where allowed under local guidelines, at our offices in North America, Europe and Asia.</w:t>
      </w:r>
    </w:p>
    <w:p>
      <w:pPr>
        <w:spacing w:after="0" w:line="17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While we currently believe we are well-positioned to function in a hybrid on-site and virtual or remote fashion, the extent of the COVID-19 Pandemic’s effect on our operational and financial performance will depend on future developments, including the duration, spread and intensity of the pandemic, protective measures, and the reimposition of protective measures, implemented by governmental authorities or by us to protect our employees, and effects of the pandemic and such protective measures on our suppliers, collaborators, services providers and healthcare organizations serving patients, all of which are uncertain and difficult to predict considering the rapidly evolving landscape. As a result, it is not currently possible to ascertain or predict the overall long-term impact of the COVID-19 Pandemic on our business.</w:t>
      </w:r>
    </w:p>
    <w:p>
      <w:pPr>
        <w:spacing w:after="0" w:line="16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To date, we have not experienced a material effect on the results of our commercial operations, or our manufacturing supply chain, and we have increased manufacturing efforts of ruxolitinib to respond to the COVID-19 Pandemic and to pre-clinical and clinical study requests. New patient starts for JAKAFI treatment decreased as a result of shelter in place and other protective measures, and if decreases in new patient starts occur in future periods, our revenues in future periods could be adversely affected. We continue to anticipate that short-term effects may continue to emerge across different aspects of our global clinical trial programs. For example, while we expect ongoing monitoring of already-enrolled patients to continue, difficulties in monitoring may result as a consequence of shelter in place orders and other protective measures implemented by governmental authorities or clinical trial sites. In addition, new patient recruitment in certain clinical trials has been and may in the future be impacted, in particular with respect to our earlier stage clinical trials. We also expect the conduct of clinical trials may continue to vary by disease state and by severity of disease, as well as by geography, as some regions are more adversely impacted. Until our return to full laboratory work, our discovery laboratories were staffed by essential personnel, and hence certain discovery programs experienced delays. Still, we caution that the duration and severity of the continuing COVID-19 Pandemic remains uncertain and we may not yet be able to assess its consequences accurately or fully at this time.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Achievements</w:t>
      </w:r>
    </w:p>
    <w:p>
      <w:pPr>
        <w:spacing w:after="0" w:line="229"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April 2020, PEMAZYRE (pemigatinib), a selective fibroblast growth factor receptor (FGFR) inhibitor, was approved by the U.S. Food and Drug Administration (FDA) for the treatment of adults with previously treated, unresectable locally advanced or metastatic cholangiocarcinoma with an FGFR2 fusion or other rearrangement as detected by an FDA-approved test. PEMAZYRE is the first and only FDA-approved treatment for this indication, which was approved under accelerated approval based on overall response rate and duration of response. We have retained all rights to PEMAZYRE globally, other than those granted to Innovent Biologics, Inc. to develop and commercialize pemigatinib in hematology and oncology in mainland China, Hong Kong, Macau and Taiwan.</w:t>
      </w:r>
    </w:p>
    <w:p>
      <w:pPr>
        <w:spacing w:after="0" w:line="17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May 2020, under our collaboration agreement with Novartis International Pharmaceutical Ltd., the FDA approved TABRECTA (capmatinib) for the treatment of adult patients with metastatic non-small cell lung cancer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 In June 2020, the Japanese Ministry of Health, Labour and Welfare granted marketing approval for TABRECTA for METex14 mutation-positive advanced and/or recurrent unresectable NSCLC.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July 2020, under our collaboration and license agreement with MorphoSys AG, we received FDA approval of MONJUVI (tafasitamab-cxix), in combination with lenalidomide for the treatment of adult patients with relapsed or refractory diffuse large B-cell lymphoma (DLBCL) not otherwise specified, including DLBCL arising from low grade lymphoma, and who are not eligible for autologous stem cell transplant. We have rights to co-commercialize tafasitamab in the United States with MorphoSys, and we have exclusive development and commercialization rights outside of the United States.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October 2020, under our collaboration agreement with Eli Lilly and Company, the European Commission approved OLUMIANT (baricitinib) for the treatment of moderate-to-severe atopic dermatitis in adult patients who are candidates for systemic therapy and in December 2020, Japan’s Ministry of Health, Labor and Welfare (MHLW) approved OLUMIANT for the treatment of moderate-to-severe atopic dermatitis in adult patients who are candidates for systemic therapy.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establish business relationships with other companies and medical research institutions to acquire products or rights to products and technologies that are complementary to our business. Below summarizes the significant achievements under our existing collaboration and license agreements and additional agreements we entered into during the year ended December 31, 2020.</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May 2020, we recognized a $25.0 million development milestone and a $45.0 million regulatory milestone for the FDA approval of capmatinib as TABRECTA. In June 2020, we recognized a $20.0 million regulatory milestone for the MHLW approval of TABRECTA. In December 2020, we recognized a $80.0 million sales milestone for Novartis achieving annual net sales of a JAK licensed product of $1.2 billion. Exclusive of the upfront payment of $150.0 million received in 2009 and the immediate milestone of $60.0 million earned in 2010, we have recognized and received, in the aggregate, $157.0 million for the achievement of development milestones, $280.0 million for the achievement of regulatory milestones and $200.0 million for the achievement of sales milestones through December 31, 2020.</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October 2020, we recognized a $20.0 million regulatory milestone for the European Commission approval of OLUMIANT and in December 2020, we recognized a $10.0 million regulatory milestone for the MHLW approval of OLUMIANT for the treatment of moderate-to-severe atopic dermatitis in adult patients who are candidates for systemic therapy. Exclusive of the upfront payment of $90.0 million received in 2009, we have recognized and received, in the aggregate, $149.0 million for the achievement of development milestones and $265.0 million for the achievement of regulatory milestones through December 31, 2020.</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the agreement, we received exclusive commercialization rights outside of the United States and MorphoSys and we have co-commercialization rights in the United States, with respect to tafasitamab. We and MorphoSys have agreed to co-develop tafasitamab and to share development costs associated with global and U.S.-specific clinical trials, with Incyte responsible for 55% of such costs and MorphoSys responsible for 45% of such costs. In March 2020, we paid MorphoSys an upfront non-refundable payment of $750.0 million and, under a related agreement, purchased American Depositary Shares (ADSs) of MorphoSys for an aggregate purchase price of $150.0 million. Of the $150.0 million aggregate purchase price paid for the ADSs, $95.5 million was allocated to our stock purchase in MorphoSys and was recorded within long term investments and $54.5 million, representing the premium paid on the purchase, was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allocated to research and development expense. MorphoSys is eligible to receive up to $740.0 million in future contingent development and regulatory milestones and up to $315.0 million in commercialization milestones as well as tiered royalties ranging from the mid-teens to mid-twenties of net sales outside of the United States.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Nimble</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September 2020, we entered into a collaboration and license agreement with Nimble Therapeutics, Inc. Under the terms of this agreement, Nimble will utilize their peptide synthesis, screening and optimization platform for discovery and validation of peptides against specified targets. Under the agreement, Nimble is eligible to 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royalty payments in the low single digits.</w:t>
      </w:r>
    </w:p>
    <w:p>
      <w:pPr>
        <w:spacing w:after="0" w:line="17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Additional information regarding our collaboration agreements, including their financial and accounting impact on our business and results of operations, can be found in Note 6 of Notes to the Consolidated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consolidated financial statements. See Note 1 of Notes to the Consolidated Financial Statements for a complete list of our significant accounting policies.</w:t>
      </w:r>
    </w:p>
    <w:p>
      <w:pPr>
        <w:spacing w:after="0" w:line="19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recognize revenue only when we have satisfied a performance obligation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transferring control of the promised good or service to a customer in an amount that reflects the consideration we expect to receive in exchange for those goods or services. We apply the following five-step model in order to determine this amount:</w:t>
      </w:r>
    </w:p>
    <w:p>
      <w:pPr>
        <w:spacing w:after="0" w:line="2" w:lineRule="exact"/>
        <w:rPr>
          <w:sz w:val="20"/>
          <w:szCs w:val="20"/>
          <w:color w:val="auto"/>
        </w:rPr>
      </w:pPr>
    </w:p>
    <w:p>
      <w:pPr>
        <w:jc w:val="both"/>
        <w:ind w:left="40" w:right="59" w:firstLine="4"/>
        <w:spacing w:after="0" w:line="252" w:lineRule="auto"/>
        <w:tabs>
          <w:tab w:leader="none" w:pos="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product revenues consist of U.S. sales of JAKAFI and PEMAZYRE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United States.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 Changes in estimates for sales allowances and accruals for product shipped in prior periods have resulted in immaterial adjustments to product revenues.</w:t>
      </w:r>
    </w:p>
    <w:p>
      <w:pPr>
        <w:spacing w:after="0" w:line="16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Customer Credits: </w:t>
      </w:r>
      <w:r>
        <w:rPr>
          <w:rFonts w:ascii="Arial" w:cs="Arial" w:eastAsia="Arial" w:hAnsi="Arial"/>
          <w:sz w:val="16"/>
          <w:szCs w:val="16"/>
          <w:color w:val="auto"/>
        </w:rPr>
        <w:t>Our customers are offered various forms of consideration, including allowances, service fees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prompt payment discounts. We expect our customers will earn prompt payment discounts and, therefore, we deduct the full amount of these discounts from total product sales when revenues are recognized. Service fees are also deducted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from total product sales as they are earned.</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We accrue rebates for mandated discounts under the Medicaid Drug Rebate Program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purchase directly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Royalty revenues on commercial sales for JAKAVI and TABRECTA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b w:val="1"/>
          <w:bCs w:val="1"/>
          <w:i w:val="1"/>
          <w:iCs w:val="1"/>
          <w:color w:val="auto"/>
        </w:rPr>
        <w:t xml:space="preserve">Stock Compensation. </w:t>
      </w:r>
      <w:r>
        <w:rPr>
          <w:rFonts w:ascii="Arial" w:cs="Arial" w:eastAsia="Arial" w:hAnsi="Arial"/>
          <w:sz w:val="17"/>
          <w:szCs w:val="17"/>
          <w:color w:val="auto"/>
        </w:rPr>
        <w:t>Share-based payment transactions with employees, which include stock options,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future royalty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a discount rate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Years Ended December 31, 2020 and 2019</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recorded net loss for the year ended December 31, 2020 of $295.7 million and net income for the year ended December 31, 2019 of $446.9 million. On a per share basis, basic and diluted net loss was $1.36 for the year ended December 31, 2020. On a per share basis, basic net income was $2.08 and diluted net income was $2.05 for the year ended December 31, 2019.</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For the Year Ended,</w:t>
      </w:r>
    </w:p>
    <w:p>
      <w:pPr>
        <w:jc w:val="center"/>
        <w:ind w:left="5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r>
      <w:tr>
        <w:trPr>
          <w:trHeight w:val="128"/>
        </w:trPr>
        <w:tc>
          <w:tcPr>
            <w:tcW w:w="4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gridSpan w:val="3"/>
          </w:tcPr>
          <w:p>
            <w:pPr>
              <w:jc w:val="right"/>
              <w:ind w:right="87"/>
              <w:spacing w:after="0" w:line="129" w:lineRule="exact"/>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17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24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ICLUSIG revenues, net</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420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1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2,068.8</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2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24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09"/>
        </w:trPr>
        <w:tc>
          <w:tcPr>
            <w:tcW w:w="420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1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2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1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r>
      <w:tr>
        <w:trPr>
          <w:trHeight w:val="210"/>
        </w:trPr>
        <w:tc>
          <w:tcPr>
            <w:tcW w:w="420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14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2,666.7</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w:t>
            </w:r>
          </w:p>
        </w:tc>
        <w:tc>
          <w:tcPr>
            <w:tcW w:w="24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increase in JAKAFI product revenues from 2019 to 2020 was comprised of a volume increase of $220.4 million and a price increase of $32.5 million. Our product revenues may fluctuate from period to period due to our customers’ purchasing patterns over the course of a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Discounts and</w:t>
            </w: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Government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Co-Pay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Assistance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Product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Rebates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and 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Fees</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Chargebacks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Discounts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Allowances for current period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332,656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407,228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Credits/payments for current period sales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(51,002)</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(280,867)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(345,826)</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(46,360)</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6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milestone and contract revenues were $205.0 million and $77.5 million for the years ended December 31, 2020 and 2019, respectively. During the year ended December 31, 2020, our milestone and contract revenues were derived from a $5.0 million milestone under the Innovent agreement, $170.0 million in milestones under the Novartis agreement and $30.0 million in milestones under the Lilly agreement. During the year ended December 31, 2019, our milestone and contract revenues were derived from a $40.0 million upfront payment and a $20.0 million milestone under the Innovent agreement and a $17.5 million upfront payment under the Zai Lab agreement.</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For the Year Ended,</w:t>
      </w:r>
    </w:p>
    <w:p>
      <w:pPr>
        <w:jc w:val="center"/>
        <w:ind w:left="5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r>
      <w:tr>
        <w:trPr>
          <w:trHeight w:val="128"/>
        </w:trPr>
        <w:tc>
          <w:tcPr>
            <w:tcW w:w="4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4"/>
          </w:tcPr>
          <w:p>
            <w:pPr>
              <w:jc w:val="right"/>
              <w:ind w:right="109"/>
              <w:spacing w:after="0" w:line="129"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00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Royalty expense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r>
      <w:tr>
        <w:trPr>
          <w:trHeight w:val="210"/>
        </w:trPr>
        <w:tc>
          <w:tcPr>
            <w:tcW w:w="450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100" w:type="dxa"/>
            <w:vAlign w:val="bottom"/>
          </w:tcPr>
          <w:p>
            <w:pPr>
              <w:spacing w:after="0"/>
              <w:rPr>
                <w:sz w:val="18"/>
                <w:szCs w:val="18"/>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Cost of product revenues includes all JAKAFI, ICLUSIG and PEMAZYRE related product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 Cost of product revenues increased from 2019 to 2020 due primarily to increased royalties to Novartis on all JAKAFI sales in the United States.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For the Years Ended,</w:t>
            </w:r>
          </w:p>
        </w:tc>
      </w:tr>
      <w:tr>
        <w:trPr>
          <w:trHeight w:val="171"/>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28"/>
        </w:trPr>
        <w:tc>
          <w:tcPr>
            <w:tcW w:w="4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gridSpan w:val="3"/>
          </w:tcPr>
          <w:p>
            <w:pPr>
              <w:jc w:val="center"/>
              <w:ind w:left="558"/>
              <w:spacing w:after="0" w:line="129" w:lineRule="exact"/>
              <w:rPr>
                <w:sz w:val="20"/>
                <w:szCs w:val="20"/>
                <w:color w:val="auto"/>
              </w:rPr>
            </w:pPr>
            <w:r>
              <w:rPr>
                <w:rFonts w:ascii="Arial" w:cs="Arial" w:eastAsia="Arial" w:hAnsi="Arial"/>
                <w:sz w:val="14"/>
                <w:szCs w:val="14"/>
                <w:b w:val="1"/>
                <w:bCs w:val="1"/>
                <w:color w:val="auto"/>
                <w:w w:val="94"/>
              </w:rPr>
              <w:t>(in millions)</w:t>
            </w: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Stock compensation</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20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Borders>
              <w:bottom w:val="single" w:sz="8" w:color="CCEEFF"/>
            </w:tcBorders>
          </w:tcPr>
          <w:p>
            <w:pPr>
              <w:spacing w:after="0"/>
              <w:rPr>
                <w:sz w:val="18"/>
                <w:szCs w:val="18"/>
                <w:color w:val="auto"/>
              </w:rPr>
            </w:pPr>
          </w:p>
        </w:tc>
      </w:tr>
      <w:tr>
        <w:trPr>
          <w:trHeight w:val="209"/>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account for research and development costs by natural expense line and not costs by project. Salary and benefits related expense increased from 2019 to 2020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8"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increase in clinical research and outside services expense from 2019 to 2020 was primarily due to upfront consideration of $804.5 million related to our collaborative agreement with MorphoSys, the cost of purchasing an FDA priority review voucher for $120.0 million, which we used in connection with our submission seeking FDA approval of ruxolitinib cream for the treatment of atopic dermatitis, and milestones achieved under our collaboration and license agreement with MacroGenics of $40.0 million. Research and development expenses include upfront and milestone expenses related to our collaborative agreements of $976.1 million and $27.8 million for the years ended December 31, 2020 and 2019, respectively. Research and development expenses for the years ended December 31, 2020 and 2019 were net of $8.5 million and $15.1 million, respectively, of costs reimbursed by our collaborative partners.</w:t>
      </w:r>
    </w:p>
    <w:p>
      <w:pPr>
        <w:spacing w:after="0" w:line="16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gridSpan w:val="4"/>
          </w:tcPr>
          <w:p>
            <w:pPr>
              <w:jc w:val="center"/>
              <w:ind w:right="247"/>
              <w:spacing w:after="0"/>
              <w:rPr>
                <w:sz w:val="20"/>
                <w:szCs w:val="20"/>
                <w:color w:val="auto"/>
              </w:rPr>
            </w:pPr>
            <w:r>
              <w:rPr>
                <w:rFonts w:ascii="Arial" w:cs="Arial" w:eastAsia="Arial" w:hAnsi="Arial"/>
                <w:sz w:val="14"/>
                <w:szCs w:val="14"/>
                <w:b w:val="1"/>
                <w:bCs w:val="1"/>
                <w:color w:val="auto"/>
                <w:w w:val="91"/>
              </w:rPr>
              <w:t>For the Years Ended,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47"/>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8"/>
        </w:trPr>
        <w:tc>
          <w:tcPr>
            <w:tcW w:w="4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gridSpan w:val="4"/>
          </w:tcPr>
          <w:p>
            <w:pPr>
              <w:jc w:val="center"/>
              <w:ind w:right="26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90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130.2</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Stock compensation</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0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286.6</w:t>
            </w:r>
          </w:p>
        </w:tc>
        <w:tc>
          <w:tcPr>
            <w:tcW w:w="200" w:type="dxa"/>
            <w:vAlign w:val="bottom"/>
            <w:shd w:val="clear" w:color="auto" w:fill="CCEEFF"/>
          </w:tcPr>
          <w:p>
            <w:pPr>
              <w:spacing w:after="0"/>
              <w:rPr>
                <w:sz w:val="18"/>
                <w:szCs w:val="18"/>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060" w:type="dxa"/>
            <w:vAlign w:val="bottom"/>
          </w:tcPr>
          <w:p>
            <w:pPr>
              <w:spacing w:after="0"/>
              <w:rPr>
                <w:sz w:val="18"/>
                <w:szCs w:val="18"/>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516.9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468.7</w:t>
            </w:r>
          </w:p>
        </w:tc>
        <w:tc>
          <w:tcPr>
            <w:tcW w:w="2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Salary and benefits related expense increased from 2019 to 2020 due primarily to increased headcount. This increased headcount was due primarily to the ongoing commercialization efforts related to JAKAFI for intermediate or high-risk myelofibrosis, uncontrolled polycythemia vera and GVHD as well as increased headcount related to our European operations.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was primarily due to an increase in sales and marketing spend to support the commercialization of Pemazyre in the United States and to prepare for the potential launch of ruxolitinib cream in the United States and pemigatinib and tafasitamab in the European Union.</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years ended December 31, 2020 and 2019 was expense of $23.4 million and $19.7 million, respectively, which is recorded in change in fair value of acquisition-related contingent consideration on the consolidated statements of operations. The change in fair value of the contingent consideration for the years ended December 31, 2020 and 2019 was due primarily to the passage of time as there were no other significant changes in the key assumptions during the periods.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year ended December 31, 2020, our 50% share of the costs for tafasitamab was $42.8 million, as recorded in collaboration loss sharing on the consolidated statement of operations.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years ended December 31, 2020 and 2019 was</w:t>
      </w:r>
      <w:r>
        <w:rPr>
          <w:rFonts w:ascii="Arial" w:cs="Arial" w:eastAsia="Arial" w:hAnsi="Arial"/>
          <w:sz w:val="17"/>
          <w:szCs w:val="17"/>
          <w:i w:val="1"/>
          <w:iCs w:val="1"/>
          <w:color w:val="auto"/>
        </w:rPr>
        <w:t xml:space="preserve"> </w:t>
      </w:r>
      <w:r>
        <w:rPr>
          <w:rFonts w:ascii="Arial" w:cs="Arial" w:eastAsia="Arial" w:hAnsi="Arial"/>
          <w:sz w:val="17"/>
          <w:szCs w:val="17"/>
          <w:color w:val="auto"/>
        </w:rPr>
        <w:t>$23.2 million and $52.2 million, respectively. The decrease in other income (expense), net primarily relates to a decrease in interest income earned from our investments in marketable securities and money market accounts.</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years ended December 31, 2020 and 2019, was $2.2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$1.9 million, respectively. Included in interest expense for the years ended December 31, 2020 and 2019 was $0.7 million and $0.9 million, respectively, of non-cash charges to amortize the discounts on our convertible senior notes that matured in November 2020 and approximately $1.2 million and $0.6 million, respectively, of interest expense on our finance lease liabilities.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from period to period, based on the change in fair value of the securities we hold in our publicly held collaboration partners. The following table provides a summary of those unrealized gains and (losses):</w:t>
      </w:r>
    </w:p>
    <w:p>
      <w:pPr>
        <w:spacing w:after="0" w:line="18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For the Years Ended,</w:t>
      </w:r>
    </w:p>
    <w:p>
      <w:pPr>
        <w:jc w:val="center"/>
        <w:ind w:left="5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r>
      <w:tr>
        <w:trPr>
          <w:trHeight w:val="128"/>
        </w:trPr>
        <w:tc>
          <w:tcPr>
            <w:tcW w:w="47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4"/>
          </w:tcPr>
          <w:p>
            <w:pPr>
              <w:jc w:val="right"/>
              <w:ind w:right="29"/>
              <w:spacing w:after="0" w:line="129"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16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Calithera</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MorphoSys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Syros</w:t>
            </w:r>
          </w:p>
        </w:tc>
        <w:tc>
          <w:tcPr>
            <w:tcW w:w="1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Total unrealized gain on long term investments</w:t>
            </w:r>
          </w:p>
        </w:tc>
        <w:tc>
          <w:tcPr>
            <w:tcW w:w="14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years ended December 31, 2020 and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$63.5 million and $39.9 million, respectively. The increase in provision for income taxes primarily relates to increased federal and state tax liabilities that are not fully sheltered by net operating losses or research and development tax credit carryforwards.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1,801.4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2,117.6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1,728.7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1,968.1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710.7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investing activities above)</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4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Sources and Uses of Cash.</w:t>
      </w:r>
    </w:p>
    <w:p>
      <w:pPr>
        <w:spacing w:after="0" w:line="19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Due to historical net losses, we had an accumulated deficit of $1.7 billion as of December 31, 2020. We have funded our research and development operations through sales of equity securities, the issuance of convertible notes, cash received from customers for the sale of our commercialized products, and collaborative arrangements. At December 31, 2020, we had available cash, cash equivalents and marketable securities of $1.8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7"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Cash (used in) provided by operating activities. </w:t>
      </w:r>
      <w:r>
        <w:rPr>
          <w:rFonts w:ascii="Arial" w:cs="Arial" w:eastAsia="Arial" w:hAnsi="Arial"/>
          <w:sz w:val="16"/>
          <w:szCs w:val="16"/>
          <w:color w:val="auto"/>
        </w:rPr>
        <w:t>The $835.3 million decrease in cash provided by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from 2019 to 2020 was due primarily to cash outflows related to our collaboration and license agreements, in particular, the $804.5 million upfront consideration paid to MorphoSys, and, to a lesser extent, changes in working capital.</w:t>
      </w:r>
    </w:p>
    <w:p>
      <w:pPr>
        <w:spacing w:after="0" w:line="14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 xml:space="preserve">Cash used in investing activities. </w:t>
      </w:r>
      <w:r>
        <w:rPr>
          <w:rFonts w:ascii="Arial" w:cs="Arial" w:eastAsia="Arial" w:hAnsi="Arial"/>
          <w:sz w:val="16"/>
          <w:szCs w:val="16"/>
          <w:color w:val="auto"/>
        </w:rPr>
        <w:t>Our investing activities, other than purchases, sales and maturities of marketable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have consisted predominantly of capital expenditures and purchases of long term investments. During 2020, net cash used in investing activities was $269.0 million, which represents purchase of long term equity investments of $95.5 million, purchases of marketable securities of $516.9 million and capital expenditures of $187.4 million, offset in part by the sale and maturity of marketable securities of $513.5 million and the sale of long term investment of $17.3 million. During 2019, net cash used in investing activities was $87.5 million, which represents purchases of marketable securities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of $374.8 million and capital expenditures of $78.1 million, offset in part by the sale and maturity of marketable securities of $365.4 million.</w:t>
      </w:r>
    </w:p>
    <w:p>
      <w:pPr>
        <w:spacing w:after="0" w:line="13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provided by financing activities. </w:t>
      </w:r>
      <w:r>
        <w:rPr>
          <w:rFonts w:ascii="Arial" w:cs="Arial" w:eastAsia="Arial" w:hAnsi="Arial"/>
          <w:sz w:val="18"/>
          <w:szCs w:val="18"/>
          <w:color w:val="auto"/>
        </w:rPr>
        <w:t>During 2020 and 2019, net cash provided by financing activities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$71.7 million and $45.7 million, respectively, consisting primarily of proceeds from the issuance of common stock under our stock plans, offset in part by cash paid to ARIAD/Takeda for contingent consideration.</w:t>
      </w:r>
    </w:p>
    <w:p>
      <w:pPr>
        <w:spacing w:after="0" w:line="15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summarizes our significant contractual obligations as of December 31, 2020 and the effect those obligations are expected to have on our liquidity and cash flow in future periods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Less Than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Over</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1 Year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2 - 3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4 - 5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non-cancelable obligations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6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Due to the contingent nature of these future payments, they are not included in the contractual obligations table above; however, are discussed in detail in Note 6 of notes to our consolidated financial statements included in Item 8 of this report.</w:t>
      </w:r>
    </w:p>
    <w:p>
      <w:pPr>
        <w:spacing w:after="0" w:line="18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investments in marketable securities, which are composed primarily of U.S. government securities, are subject to default, changes in credit rating and changes in market value. These investments are also subject to interest rate risk and will decrease in value if market interest rates increase. As of December 31, 2020, marketable securities were $288.4 million. Due to the nature of these investments, if market interest rates were to increase immediately and uniformly by 10% from levels as of December 31, 2020, the decline in fair value would not be material.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Financial Statements of Incyte Corporation</w:t>
            </w: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4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Report of Ernst &amp; Young LLP, Independent Registered Public Accounting Firm</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Consolidated Balance Sheets as of December 31, 2020 and 2019</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Consolidated Statements of Operations for the years ended December 31, 2020, 2019 and 2018</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w w:val="91"/>
              </w:rPr>
            </w:pPr>
            <w:hyperlink w:anchor="page81">
              <w:r>
                <w:rPr>
                  <w:rFonts w:ascii="Arial" w:cs="Arial" w:eastAsia="Arial" w:hAnsi="Arial"/>
                  <w:sz w:val="18"/>
                  <w:szCs w:val="18"/>
                  <w:u w:val="single" w:color="auto"/>
                  <w:color w:val="0000EE"/>
                  <w:w w:val="91"/>
                </w:rPr>
                <w:t>Consolidated Statements of Comprehensive Income (Loss) for the years ended December 31, 2020, 2019 and 2018</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Statement of Stockholders’ Equity for the years ended December 31, 2020, 2019 and 2018</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Statements of Cash Flows for the years ended December 31, 2020, 2019 and 2018</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Notes to the Consolidated Financial Statements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Interim Consolidated Financial Information (unaudited)</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864"/>
        </w:trPr>
        <w:tc>
          <w:tcPr>
            <w:tcW w:w="8480" w:type="dxa"/>
            <w:vAlign w:val="bottom"/>
            <w:gridSpan w:val="2"/>
          </w:tcPr>
          <w:p>
            <w:pPr>
              <w:ind w:left="4480"/>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 w:type="dxa"/>
            <w:vAlign w:val="bottom"/>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7" w:right="1399" w:bottom="1440" w:gutter="0" w:footer="0" w:header="0"/>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right="3979"/>
        <w:spacing w:after="0" w:line="438" w:lineRule="auto"/>
        <w:rPr>
          <w:sz w:val="20"/>
          <w:szCs w:val="20"/>
          <w:color w:val="auto"/>
        </w:rPr>
      </w:pPr>
      <w:r>
        <w:rPr>
          <w:rFonts w:ascii="Arial" w:cs="Arial" w:eastAsia="Arial" w:hAnsi="Arial"/>
          <w:sz w:val="18"/>
          <w:szCs w:val="18"/>
          <w:color w:val="auto"/>
        </w:rPr>
        <w:t xml:space="preserve">To the Stockholders and the Board of Directors of Incyte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color w:val="auto"/>
        </w:rPr>
        <w:t>We have audited the accompanying consolidated balance sheets of Incyte Corporation (the Company) as of December 31, 2020 and 2019, the related consolidated statements of operations, comprehensive income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27" w:lineRule="exact"/>
        <w:rPr>
          <w:sz w:val="20"/>
          <w:szCs w:val="20"/>
          <w:color w:val="auto"/>
        </w:rPr>
      </w:pPr>
    </w:p>
    <w:p>
      <w:pPr>
        <w:ind w:left="40" w:right="119"/>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9, 2021 expressed an unqualified opinion thereon.</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ind w:left="40" w:right="9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Audit Matters</w:t>
      </w:r>
    </w:p>
    <w:p>
      <w:pPr>
        <w:spacing w:after="0" w:line="162"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4"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Allowances for rebates, discounts and chargebacks owed to governmental entities</w:t>
      </w:r>
    </w:p>
    <w:p>
      <w:pPr>
        <w:spacing w:after="0" w:line="158"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1 to the consolidated financial statements, the Company recognizes revenues</w:t>
      </w:r>
    </w:p>
    <w:p>
      <w:pPr>
        <w:spacing w:after="0" w:line="23" w:lineRule="exact"/>
        <w:rPr>
          <w:sz w:val="20"/>
          <w:szCs w:val="20"/>
          <w:color w:val="auto"/>
        </w:rPr>
      </w:pPr>
    </w:p>
    <w:p>
      <w:pPr>
        <w:ind w:left="1600" w:right="359" w:hanging="1559"/>
        <w:spacing w:after="0" w:line="253" w:lineRule="auto"/>
        <w:tabs>
          <w:tab w:leader="none" w:pos="15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for product received by its customers net of allowances for customer credits, including estimated rebates, chargebacks, discounts, returns, distribution service fees, patient assistance programs, and government rebates. Liabilities related to sales allowances are presented within accrued and other current liabilities on the consolidated balance sheet and totaled $73.2 million as of December 31, 2020.</w:t>
      </w:r>
    </w:p>
    <w:p>
      <w:pPr>
        <w:spacing w:after="0" w:line="110" w:lineRule="exact"/>
        <w:rPr>
          <w:sz w:val="20"/>
          <w:szCs w:val="20"/>
          <w:color w:val="auto"/>
        </w:rPr>
      </w:pPr>
    </w:p>
    <w:p>
      <w:pPr>
        <w:ind w:left="1600" w:right="319"/>
        <w:spacing w:after="0" w:line="311" w:lineRule="auto"/>
        <w:rPr>
          <w:sz w:val="20"/>
          <w:szCs w:val="20"/>
          <w:color w:val="auto"/>
        </w:rPr>
      </w:pPr>
      <w:r>
        <w:rPr>
          <w:rFonts w:ascii="Arial" w:cs="Arial" w:eastAsia="Arial" w:hAnsi="Arial"/>
          <w:sz w:val="16"/>
          <w:szCs w:val="16"/>
          <w:color w:val="auto"/>
        </w:rPr>
        <w:t>Auditing the allowances for rebates, discounts and chargebacks owed to governmental entities was complex and highly judgmental due to the significant estimation uncertainty involved in management’s assumptions, including the levels of expected utilization of these rebates, discounts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and chargebacks based on the amount of drugs sold to eligible patients, as well as the complexity of</w:t>
      </w:r>
    </w:p>
    <w:p>
      <w:pPr>
        <w:spacing w:after="0" w:line="46"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government mandated calculations. The allowances for rebates, discounts and chargebacks owed</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to governmental entities are sensitive to these significant assumptions and calculations.</w:t>
      </w:r>
    </w:p>
    <w:p>
      <w:pPr>
        <w:spacing w:after="0" w:line="143"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5"/>
          <w:szCs w:val="15"/>
          <w:color w:val="auto"/>
        </w:rPr>
        <w:t>We obtained an understanding, evaluated the design and tested the operating effectiveness of</w:t>
      </w:r>
    </w:p>
    <w:p>
      <w:pPr>
        <w:spacing w:after="0" w:line="23"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6"/>
          <w:szCs w:val="16"/>
          <w:color w:val="auto"/>
        </w:rPr>
        <w:t>controls over management’s review of the allowances for rebates, discounts and chargebacks owed</w:t>
      </w: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6"/>
          <w:szCs w:val="16"/>
          <w:color w:val="auto"/>
        </w:rPr>
        <w:t>to governmental entities. For example, we tested controls over management’s review of the</w:t>
      </w: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significant assumptions, such as the utilization of these rebates, discounts and chargebacks as well as</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controls over management’s review of the application of the government mandated calculations.</w:t>
      </w:r>
    </w:p>
    <w:p>
      <w:pPr>
        <w:spacing w:after="0" w:line="155" w:lineRule="exact"/>
        <w:rPr>
          <w:sz w:val="20"/>
          <w:szCs w:val="20"/>
          <w:color w:val="auto"/>
        </w:rPr>
      </w:pPr>
    </w:p>
    <w:p>
      <w:pPr>
        <w:ind w:left="1600" w:right="159"/>
        <w:spacing w:after="0" w:line="289" w:lineRule="auto"/>
        <w:rPr>
          <w:sz w:val="20"/>
          <w:szCs w:val="20"/>
          <w:color w:val="auto"/>
        </w:rPr>
      </w:pPr>
      <w:r>
        <w:rPr>
          <w:rFonts w:ascii="Arial" w:cs="Arial" w:eastAsia="Arial" w:hAnsi="Arial"/>
          <w:sz w:val="16"/>
          <w:szCs w:val="16"/>
          <w:color w:val="auto"/>
        </w:rPr>
        <w:t>To test the allowances for rebates, discounts, and chargebacks owed to governmental entities, we performed audit procedures that included, among others, evaluating the methodologies used and testing the significant assumptions discussed above. We compared the significant assumptions used by management to historical trends, evaluated the change in the accruals from prior periods, and assessed the historical accuracy of management’s estimates against actual results. We also tested the completeness and accuracy of the underlying data used in the Company’s calculations through reconciliation to third-party invoices, claims data and actual cash payments. In addition, we involved our governmental pricing specialists to assist in evaluating management’s methodology and calculations used to measure certain estimated rebates, discounts and chargebacks.</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Valuation of acquisition-related contingent consideration liability</w:t>
      </w:r>
    </w:p>
    <w:p>
      <w:pPr>
        <w:spacing w:after="0" w:line="158"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3 to the consolidated financial statements, the Company’s acquisition-related</w:t>
      </w:r>
    </w:p>
    <w:p>
      <w:pPr>
        <w:spacing w:after="0" w:line="23"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contingent consideration liability, which consists of certain future royalty obligations on future net</w:t>
      </w:r>
    </w:p>
    <w:p>
      <w:pPr>
        <w:spacing w:after="0" w:line="21" w:lineRule="exact"/>
        <w:rPr>
          <w:sz w:val="20"/>
          <w:szCs w:val="20"/>
          <w:color w:val="auto"/>
        </w:rPr>
      </w:pPr>
    </w:p>
    <w:p>
      <w:pPr>
        <w:ind w:left="1600" w:right="379"/>
        <w:spacing w:after="0" w:line="277" w:lineRule="auto"/>
        <w:rPr>
          <w:sz w:val="20"/>
          <w:szCs w:val="20"/>
          <w:color w:val="auto"/>
        </w:rPr>
      </w:pPr>
      <w:r>
        <w:rPr>
          <w:rFonts w:ascii="Arial" w:cs="Arial" w:eastAsia="Arial" w:hAnsi="Arial"/>
          <w:sz w:val="17"/>
          <w:szCs w:val="17"/>
          <w:color w:val="auto"/>
        </w:rPr>
        <w:t>sales of ICLUSIG, is remeasured to its estimated fair value each reporting period, with changes in fair value recorded in the consolidated statements of operations. As of December 31, 2020, the acquisition-related contingent consideration liability was $266.0 million.</w:t>
      </w:r>
    </w:p>
    <w:p>
      <w:pPr>
        <w:spacing w:after="0" w:line="105" w:lineRule="exact"/>
        <w:rPr>
          <w:sz w:val="20"/>
          <w:szCs w:val="20"/>
          <w:color w:val="auto"/>
        </w:rPr>
      </w:pPr>
    </w:p>
    <w:p>
      <w:pPr>
        <w:ind w:left="1600" w:right="239"/>
        <w:spacing w:after="0" w:line="255" w:lineRule="auto"/>
        <w:rPr>
          <w:sz w:val="20"/>
          <w:szCs w:val="20"/>
          <w:color w:val="auto"/>
        </w:rPr>
      </w:pPr>
      <w:r>
        <w:rPr>
          <w:rFonts w:ascii="Arial" w:cs="Arial" w:eastAsia="Arial" w:hAnsi="Arial"/>
          <w:sz w:val="18"/>
          <w:szCs w:val="18"/>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weighted average cost of capital and projected future ICLUSIG revenues, which are affected by expectations about future industry, market or economic conditions, and are forward-looking and inherently uncertain.</w:t>
      </w:r>
    </w:p>
    <w:p>
      <w:pPr>
        <w:spacing w:after="0" w:line="111"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5"/>
          <w:szCs w:val="15"/>
          <w:color w:val="auto"/>
        </w:rPr>
        <w:t>We obtained an understanding, evaluated the design and tested the operating effectiveness of</w:t>
      </w:r>
    </w:p>
    <w:p>
      <w:pPr>
        <w:spacing w:after="0" w:line="23"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6"/>
          <w:szCs w:val="16"/>
          <w:color w:val="auto"/>
        </w:rPr>
        <w:t>controls over the Company’s valuation of the acquisition-related contingent consideration liability.</w:t>
      </w: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6"/>
          <w:szCs w:val="16"/>
          <w:color w:val="auto"/>
        </w:rPr>
        <w:t>For example, we tested the Company's controls over management’s review of the valuation model,</w:t>
      </w: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including controls over the significant assumptions utilized in the calculation, such as the weighted</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average cost of capital and the projected future ICLUSIG revenues.</w:t>
      </w:r>
    </w:p>
    <w:p>
      <w:pPr>
        <w:spacing w:after="0" w:line="143" w:lineRule="exact"/>
        <w:rPr>
          <w:sz w:val="20"/>
          <w:szCs w:val="20"/>
          <w:color w:val="auto"/>
        </w:rPr>
      </w:pPr>
    </w:p>
    <w:p>
      <w:pPr>
        <w:ind w:left="1600" w:right="259"/>
        <w:spacing w:after="0" w:line="254" w:lineRule="auto"/>
        <w:rPr>
          <w:sz w:val="20"/>
          <w:szCs w:val="20"/>
          <w:color w:val="auto"/>
        </w:rPr>
      </w:pPr>
      <w:r>
        <w:rPr>
          <w:rFonts w:ascii="Arial" w:cs="Arial" w:eastAsia="Arial" w:hAnsi="Arial"/>
          <w:sz w:val="18"/>
          <w:szCs w:val="18"/>
          <w:color w:val="auto"/>
        </w:rPr>
        <w:t>To test the estimated fair value of the acquisition-related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We also compared the significant assumptions to current industry, market and economic trends and to the Company's budgets and forecasts. In addition, we assessed the historical accuracy of management’s estimates against actual performance.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1991.</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9,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number of shares and par value)</w:t>
      </w:r>
    </w:p>
    <w:p>
      <w:pPr>
        <w:spacing w:after="0" w:line="117"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1,513,008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1,832,684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ind w:left="200"/>
              <w:spacing w:after="0" w:line="201" w:lineRule="exact"/>
              <w:rPr>
                <w:sz w:val="20"/>
                <w:szCs w:val="20"/>
                <w:color w:val="auto"/>
              </w:rPr>
            </w:pPr>
            <w:r>
              <w:rPr>
                <w:rFonts w:ascii="Arial" w:cs="Arial" w:eastAsia="Arial" w:hAnsi="Arial"/>
                <w:sz w:val="18"/>
                <w:szCs w:val="18"/>
                <w:color w:val="auto"/>
                <w:w w:val="98"/>
              </w:rPr>
              <w:t>Marketable securities—available-for-sale (amortized cost $288,199;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allowance for credit losses $0)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288,369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2,359,894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2,481,488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Finance lease right-of-use assets,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155,593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3,560,918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3,426,750</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98,767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378,404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285,979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lease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Convertible senior notes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contingent consideration</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631,195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Acquisition-related contingent consideration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949,650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ind w:left="200"/>
              <w:spacing w:after="0" w:line="201" w:lineRule="exact"/>
              <w:rPr>
                <w:sz w:val="20"/>
                <w:szCs w:val="20"/>
                <w:color w:val="auto"/>
              </w:rPr>
            </w:pPr>
            <w:r>
              <w:rPr>
                <w:rFonts w:ascii="Arial" w:cs="Arial" w:eastAsia="Arial" w:hAnsi="Arial"/>
                <w:sz w:val="18"/>
                <w:szCs w:val="18"/>
                <w:color w:val="auto"/>
                <w:w w:val="95"/>
              </w:rPr>
              <w:t>Preferred stock, $0.001 par value; 5,000,000 shares authorized; none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w w:val="91"/>
              </w:rPr>
              <w:t>issued or outstanding as of December 31, 2020 and December 31, 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$0.001 par value; 400,000,000 shares authorized;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219,489,329 and 216,177,830 shares issued and outstanding as of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2020 and December 31, 2019, respectively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4,352,864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4,044,490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(1,726,455)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(1,430,758)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2,611,268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2,598,406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3,560,918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3,426,750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2980"/>
              <w:spacing w:after="0"/>
              <w:rPr>
                <w:sz w:val="20"/>
                <w:szCs w:val="20"/>
                <w:color w:val="auto"/>
              </w:rPr>
            </w:pPr>
            <w:r>
              <w:rPr>
                <w:rFonts w:ascii="Arial" w:cs="Arial" w:eastAsia="Arial" w:hAnsi="Arial"/>
                <w:sz w:val="18"/>
                <w:szCs w:val="18"/>
                <w:color w:val="auto"/>
              </w:rPr>
              <w:t>See accompanying notes.</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3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8"/>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Product revenues, net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2,068,736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1,774,922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1,466,900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royalty 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Milestone and contract revenues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2,666,702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2,158,759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1,881,883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200"/>
              <w:spacing w:after="0" w:line="201" w:lineRule="exact"/>
              <w:rPr>
                <w:sz w:val="20"/>
                <w:szCs w:val="20"/>
                <w:color w:val="auto"/>
              </w:rPr>
            </w:pPr>
            <w:r>
              <w:rPr>
                <w:rFonts w:ascii="Arial" w:cs="Arial" w:eastAsia="Arial" w:hAnsi="Arial"/>
                <w:sz w:val="18"/>
                <w:szCs w:val="18"/>
                <w:color w:val="auto"/>
                <w:w w:val="94"/>
              </w:rPr>
              <w:t>Cost of product revenues (including definite-lived intangible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131,328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114,249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94,123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2,215,942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1,154,111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1,197,957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Collaboration loss sharing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2,930,378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1,756,753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1,752,660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(263,676)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long term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(295,697)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income (loss)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218,073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(295,697)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$446,906</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$109,493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marketable securities, net of tax</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Defined benefit pension obligations, net of tax</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(295,515)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$441,529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ind w:left="2980"/>
              <w:spacing w:after="0"/>
              <w:rPr>
                <w:sz w:val="20"/>
                <w:szCs w:val="20"/>
                <w:color w:val="auto"/>
              </w:rPr>
            </w:pPr>
            <w:r>
              <w:rPr>
                <w:rFonts w:ascii="Arial" w:cs="Arial" w:eastAsia="Arial" w:hAnsi="Arial"/>
                <w:sz w:val="18"/>
                <w:szCs w:val="18"/>
                <w:color w:val="auto"/>
                <w:w w:val="92"/>
              </w:rPr>
              <w:t>See accompanying notes.</w:t>
            </w: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number of shares)</w:t>
      </w:r>
    </w:p>
    <w:p>
      <w:pPr>
        <w:spacing w:after="0" w:line="6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Common</w:t>
            </w: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$3,627,433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$(1,990,005)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$1,630,629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Issuance of 1,624,376 shares of Common</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 upon exercise of stock options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6"/>
              </w:rPr>
              <w:t>settlement of employee restricted stock units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6"/>
              </w:rPr>
              <w:t>and 233,712 shares of Common Stock under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the ESPP</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29,940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148,761 shares of Common Stock</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6"/>
              </w:rPr>
              <w:t>upon conversion of Convertible Senior Notes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due 2018</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w w:val="98"/>
              </w:rPr>
              <w:t>Issuance of 4,905 shares of Common Stock</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for services rendered</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No. 2016-01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109,493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$3,813,678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$(1,877,759)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$1,925,967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Issuance of 2,657,892 shares of Common</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 upon exercise of stock options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6"/>
              </w:rPr>
              <w:t>settlement of employee restricted stock units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6"/>
              </w:rPr>
              <w:t>and 239,590 shares of Common Stock under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the ESPP</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63,296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63,299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5,688 shares of Common Stock</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for services rendered</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167,029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Adoption of ASU No. 2016-02 (Note 1)</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446,906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8"/>
                <w:szCs w:val="18"/>
                <w:color w:val="auto"/>
              </w:rPr>
              <w:t>Balances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$4,044,490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$(1,430,758)</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$2,598,406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2,677,810 shares of Common</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upon exercise of stock options and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6"/>
              </w:rPr>
              <w:t>settlement of employee restricted stock units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6"/>
              </w:rPr>
              <w:t>and 258,453 shares of Common Stock under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the ESPP</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110,302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110,305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w w:val="98"/>
              </w:rPr>
              <w:t>Issuance of 6,350 shares of Common Stock</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for services rendered</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368,886 shares of Common Stock</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6"/>
              </w:rPr>
              <w:t>upon conversion of Convertible Senior Notes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due 2020</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178,527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(295,697)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(295,697)</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4,352,864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(1,726,455)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2,611,268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64"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(295,697)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446,906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Unrealized (gain) loss on long term investments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consideration</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liabilities</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113,842</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(used in) provided by operating activities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(124,599)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710,656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336,227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 of long term investment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(187,379)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(516,874)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(159,932)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 and maturities of marketable securities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365,419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155,928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(269,001)</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Payment of finance lease liabilities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(37,760)</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Effect of exchange rates on cash, cash equivalents, restricted cash</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and investments</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87"/>
              </w:rPr>
              <w:t>Net (decrease) increase in cash, cash equivalents, restricted cash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(318,942)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668,721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264,552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Cash, cash equivalents, restricted cash and investments at beginning</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of period</w:t>
            </w:r>
          </w:p>
        </w:tc>
        <w:tc>
          <w:tcPr>
            <w:tcW w:w="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1,833,707</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1,164,986</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900,434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tcPr>
          <w:p>
            <w:pPr>
              <w:spacing w:after="0" w:line="182" w:lineRule="exact"/>
              <w:rPr>
                <w:sz w:val="20"/>
                <w:szCs w:val="20"/>
                <w:color w:val="auto"/>
              </w:rPr>
            </w:pPr>
            <w:r>
              <w:rPr>
                <w:rFonts w:ascii="Arial" w:cs="Arial" w:eastAsia="Arial" w:hAnsi="Arial"/>
                <w:sz w:val="18"/>
                <w:szCs w:val="18"/>
                <w:color w:val="auto"/>
                <w:w w:val="93"/>
              </w:rPr>
              <w:t>Cash, cash equivalents, restricted cash and investments at end of</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7"/>
              </w:rPr>
              <w:t>1,514,765</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9"/>
              </w:rPr>
              <w:t>1,833,707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87"/>
              </w:rPr>
              <w:t>1,164,986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paid</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5"/>
              </w:rPr>
              <w:t>Reclassification to common stock and additional paid in capital in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w w:val="91"/>
              </w:rPr>
              <w:t>connection with conversions of 0.375% convertible senior notes due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jc w:val="right"/>
              <w:ind w:right="4510"/>
              <w:spacing w:after="0"/>
              <w:rPr>
                <w:sz w:val="20"/>
                <w:szCs w:val="20"/>
                <w:color w:val="auto"/>
              </w:rPr>
            </w:pPr>
            <w:r>
              <w:rPr>
                <w:rFonts w:ascii="Arial" w:cs="Arial" w:eastAsia="Arial" w:hAnsi="Arial"/>
                <w:sz w:val="18"/>
                <w:szCs w:val="18"/>
                <w:color w:val="auto"/>
                <w:w w:val="84"/>
              </w:rPr>
              <w:t>2018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Reclassification to common stock and additional paid in capital in</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2"/>
              </w:rPr>
              <w:t>connection with conversions of 1.25% convertible senior notes due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jc w:val="right"/>
              <w:ind w:right="4510"/>
              <w:spacing w:after="0"/>
              <w:rPr>
                <w:sz w:val="20"/>
                <w:szCs w:val="20"/>
                <w:color w:val="auto"/>
              </w:rPr>
            </w:pPr>
            <w:r>
              <w:rPr>
                <w:rFonts w:ascii="Arial" w:cs="Arial" w:eastAsia="Arial" w:hAnsi="Arial"/>
                <w:sz w:val="18"/>
                <w:szCs w:val="18"/>
                <w:color w:val="auto"/>
                <w:w w:val="79"/>
              </w:rPr>
              <w:t>2020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Leased assets obtained in exchange for new operating lease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1"/>
              </w:rPr>
              <w:t>Leased assets obtained in exchange for new finance lease liabilities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Organization and Business. </w:t>
      </w:r>
      <w:r>
        <w:rPr>
          <w:rFonts w:ascii="Arial" w:cs="Arial" w:eastAsia="Arial" w:hAnsi="Arial"/>
          <w:sz w:val="17"/>
          <w:szCs w:val="17"/>
          <w:color w:val="auto"/>
        </w:rPr>
        <w:t>Incyte Corporation (including its subsidiaries, “Incyte,” “we,” “us,” or “our”) is a</w:t>
      </w:r>
      <w:r>
        <w:rPr>
          <w:rFonts w:ascii="Arial" w:cs="Arial" w:eastAsia="Arial" w:hAnsi="Arial"/>
          <w:sz w:val="17"/>
          <w:szCs w:val="17"/>
          <w:i w:val="1"/>
          <w:iCs w:val="1"/>
          <w:color w:val="auto"/>
        </w:rPr>
        <w:t xml:space="preserve"> </w:t>
      </w:r>
      <w:r>
        <w:rPr>
          <w:rFonts w:ascii="Arial" w:cs="Arial" w:eastAsia="Arial" w:hAnsi="Arial"/>
          <w:sz w:val="17"/>
          <w:szCs w:val="17"/>
          <w:color w:val="auto"/>
        </w:rPr>
        <w:t>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and MONJUVI® (tafasitamab-cxix) which is co-commercialized. Our operations are treated as one operating segment.</w:t>
      </w:r>
    </w:p>
    <w:p>
      <w:pPr>
        <w:spacing w:after="0" w:line="17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Incyte 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wholly owned subsidiaries. All inter-company accounts, transactions, and profits have been eliminated in consolidation.</w:t>
      </w:r>
    </w:p>
    <w:p>
      <w:pPr>
        <w:spacing w:after="0" w:line="12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Operations in non-U.S. entities are recorded in the functional currency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consolidated statements of operations.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Concentrations of Credit Risk. </w:t>
      </w:r>
      <w:r>
        <w:rPr>
          <w:rFonts w:ascii="Arial" w:cs="Arial" w:eastAsia="Arial" w:hAnsi="Arial"/>
          <w:sz w:val="17"/>
          <w:szCs w:val="17"/>
          <w:color w:val="auto"/>
        </w:rPr>
        <w:t>Cash, cash equivalents, marketable securities, and trade receivables are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which potentially subject us to concentrations of credit risk. The estimated fair value of financial instruments approximates the carrying value based on available market information. By policy, we invest our excess available funds 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Current Expected Credit Losses. </w:t>
      </w:r>
      <w:r>
        <w:rPr>
          <w:rFonts w:ascii="Arial" w:cs="Arial" w:eastAsia="Arial" w:hAnsi="Arial"/>
          <w:sz w:val="16"/>
          <w:szCs w:val="16"/>
          <w:color w:val="auto"/>
        </w:rPr>
        <w:t>Effective January 1, 2020, financial assets measured at amortized cost are</w:t>
      </w:r>
      <w:r>
        <w:rPr>
          <w:rFonts w:ascii="Arial" w:cs="Arial" w:eastAsia="Arial" w:hAnsi="Arial"/>
          <w:sz w:val="16"/>
          <w:szCs w:val="16"/>
          <w:i w:val="1"/>
          <w:iCs w:val="1"/>
          <w:color w:val="auto"/>
        </w:rPr>
        <w:t xml:space="preserve"> </w:t>
      </w:r>
      <w:r>
        <w:rPr>
          <w:rFonts w:ascii="Arial" w:cs="Arial" w:eastAsia="Arial" w:hAnsi="Arial"/>
          <w:sz w:val="16"/>
          <w:szCs w:val="16"/>
          <w:color w:val="auto"/>
        </w:rPr>
        <w:t>assessed for future expected credit losses under guidance within ASC 326, Financial Instruments – Credit Losses, to determine if application of an expected credit losses reserve is necessary. On a quarterly basis, receivables that resulted from revenue transactions within the scope of ASC 606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are defined as all liquid investments and money market funds with maturity from date of purchase of 90 days or less that are readily convertible into cash.</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Marketable Securities—Available-for-Sale. </w:t>
      </w:r>
      <w:r>
        <w:rPr>
          <w:rFonts w:ascii="Arial" w:cs="Arial" w:eastAsia="Arial" w:hAnsi="Arial"/>
          <w:sz w:val="17"/>
          <w:szCs w:val="17"/>
          <w:color w:val="auto"/>
        </w:rPr>
        <w:t>Our marketable securities consist of investments in U.S.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consolidated balance sheets. Realized gains and losses and declines in value judged to be other than temporary for available-for-sale securities are included in other income (expense), net on the consolidated statements of operations. The cost of securities sold is based on the specific identification method.</w:t>
      </w:r>
    </w:p>
    <w:p>
      <w:pPr>
        <w:spacing w:after="0" w:line="17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As of December 31, 2020 and 2019, we had no allowance for doubtful accounts.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an allowance for doubtful accounts based on management’s assessment of the collectability of specific customer accounts and includes consideration of the credit worthiness and financial condition of those customers, aging of such receivables, history of collectability with the customer and the general economic environment. We record an allowance to reduce the receivables to the amount that is reasonably believed to be collectible.</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began capitalizing PEMAZYRE inventory after FDA approval in April 2020 as the related costs were expected to be recoverable through the commercialization of the product. Costs incurred prior to FDA approval have been recorded as research and development expense in our statements of operations. As a result, cost of product revenues for the next 48 months will reflect a lower average per unit cost of materials.</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JAKAFI, ICLUSIG and PEMAZYRE raw materials and work-in-process inventory are not subject to expiration and the shelf life of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consolidated balance sheets when we expect inventory to be consumed for commercial use within the next twelve months.</w:t>
      </w:r>
    </w:p>
    <w:p>
      <w:pPr>
        <w:spacing w:after="0" w:line="178"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 xml:space="preserve">Variable Interest Entities. </w:t>
      </w:r>
      <w:r>
        <w:rPr>
          <w:rFonts w:ascii="Arial" w:cs="Arial" w:eastAsia="Arial" w:hAnsi="Arial"/>
          <w:sz w:val="17"/>
          <w:szCs w:val="17"/>
          <w:color w:val="auto"/>
        </w:rPr>
        <w:t>We perform an initial and ongoing evaluation of the entities with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December 31, 2020, there were no entities in which we held a variable interest which we determined to be VIEs.</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Long Term Investments. </w:t>
      </w:r>
      <w:r>
        <w:rPr>
          <w:rFonts w:ascii="Arial" w:cs="Arial" w:eastAsia="Arial" w:hAnsi="Arial"/>
          <w:sz w:val="18"/>
          <w:szCs w:val="18"/>
          <w:color w:val="auto"/>
        </w:rPr>
        <w:t>Our long term investments consist of equity investments in common stock of publicly-held companies with whom we have entered into collaboration and license agreements. We classify all of our equity investments in common stock of publicly-held companies as long term investments on our consolidated balance sheets. Our equity investments are accounted for at fair value using readily determinable pricing available on a securities exchange on our consolidated balance sheets. All changes in fair value are reported in the consolidated statements of operations as an unrealized gain (loss) on long term investments.</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relationships in which we are able to assert control.</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Property and Equipment, net. </w:t>
      </w:r>
      <w:r>
        <w:rPr>
          <w:rFonts w:ascii="Arial" w:cs="Arial" w:eastAsia="Arial" w:hAnsi="Arial"/>
          <w:sz w:val="16"/>
          <w:szCs w:val="16"/>
          <w:color w:val="auto"/>
        </w:rPr>
        <w:t>Property and equipment, net is stated at cost, less accumulated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Lease Accounting. </w:t>
      </w:r>
      <w:r>
        <w:rPr>
          <w:rFonts w:ascii="Arial" w:cs="Arial" w:eastAsia="Arial" w:hAnsi="Arial"/>
          <w:sz w:val="16"/>
          <w:szCs w:val="16"/>
          <w:color w:val="auto"/>
        </w:rPr>
        <w:t>Accounting Standard Codification (“ASC”) 842, Leases, was adopted for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on January 1, 2019 using the modified retrospective method. All leases with a lease term greater than 12 months, regardless of lease type classification, are 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calculated as the difference between the acquisition date fair value of the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more-likely-than-not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2020 and determined that the carrying value of our goodwill was not impaired.</w:t>
      </w:r>
    </w:p>
    <w:p>
      <w:pPr>
        <w:spacing w:after="0" w:line="17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continue to maintain the valuation allowance on the majority of our deferred tax assets as of December 31, 2020.</w:t>
      </w:r>
    </w:p>
    <w:p>
      <w:pPr>
        <w:spacing w:after="0" w:line="16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Coronavirus Aid, Relief, and Economic Security (CARES) Act was signed into law in March 2020 to provide an estimated $2.2 trillion designed to stimulate the U.S. economy during the COVID-19 pandemic. The Act includes tax relief, government loans, grants and investments for entities in affected industries, which has related accounting and financial reporting impacts. Disclosure for certain income tax accounting measures are required in the period of enactment and disclosure for government loans, investments, grants, and revenue recognition are required in future periods as federal agencies establish rules and procedures to implement the CARES Act. During the year ended December 31, 2020, we have delayed the payment of certain employer payroll tax amounts to future periods as allowed under the Act. However, we do not expect the CARES Act to have a material impact on our overall financial results, our income tax provision or our liquidity. We have further described the expected impact and risks of COVID-19 on our business in Item 1. Business and in Item 1A. Risk Factors.</w:t>
      </w:r>
    </w:p>
    <w:p>
      <w:pPr>
        <w:spacing w:after="0" w:line="18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Net Income (Loss) Per Share. </w:t>
      </w:r>
      <w:r>
        <w:rPr>
          <w:rFonts w:ascii="Arial" w:cs="Arial" w:eastAsia="Arial" w:hAnsi="Arial"/>
          <w:sz w:val="16"/>
          <w:szCs w:val="16"/>
          <w:color w:val="auto"/>
        </w:rPr>
        <w:t>Our basic and diluted net income (loss) per share is calculated by dividing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5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marketable securities that are classified as available-for-sale, foreign currency translation gains or losses and defined benefit pension obligations.</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Revenue-generating contracts are assessed under ASC 606, Revenue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identify distinct 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product revenues consist of U.S. sales of JAKAFI and PEMAZYRE and European sales of ICLUSIG. Product revenues are recognized once we satisfy the performance obligation at a point in time under the revenue recognition criteria as described above. We sell JAKAFI and PEMAZYRE to our customers in the U.S., which include specialty pharmacies and wholesalers. We sell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which currently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We recognize royalty revenues in the period the sales occur.</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For each collaborative research, development and/or commercialization agreement that results in revenue under the guidance of ASC 606, Revenue from Contracts with Customers,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w:t>
      </w:r>
    </w:p>
    <w:p>
      <w:pPr>
        <w:spacing w:after="0" w:line="16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each of the three years ended December 31, 2020, we had no revenues from intellectual licenses recognized over time.</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For milestone revenues related to sales-based achievements, we recognize the milestone revenues in the corresponding period of the product sale, in accordance with the guidance of ASC 606-10-55-65 for contracts that include a license to intellectual property and the license is the predominant item to which the product sale relates.</w:t>
      </w:r>
    </w:p>
    <w:p>
      <w:pPr>
        <w:spacing w:after="0" w:line="16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 event. Given the high level of uncertainty of achievement, variable consideration associated with milestones are fully constrained until confirmation of the satisfaction or completion of the milestone by the third-party.</w:t>
      </w:r>
    </w:p>
    <w:p>
      <w:pPr>
        <w:spacing w:after="0" w:line="18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spacing w:after="0" w:line="17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Cost of product revenues includes all JAKAFI, ICLUSIG and PEMAZYRE related product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w:t>
      </w:r>
    </w:p>
    <w:p>
      <w:pPr>
        <w:spacing w:after="0" w:line="181"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often 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straight-line attribution method for PSUs that are subject to cliff vesting and using the accelerated attribution method for PSUs that are subject to graded vesting.</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Advertising expenses, comprised primarily of television, radio, print media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are expensed as incurred and are included in selling, general, and administrative expenses. For the years ended December 31, 2020, 2019, and 2018, advertising expenses were approximately $28.9 million, $15.3 million, and $10.6 million, respectively.</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Long Term Incentive Plans. </w:t>
      </w:r>
      <w:r>
        <w:rPr>
          <w:rFonts w:ascii="Arial" w:cs="Arial" w:eastAsia="Arial" w:hAnsi="Arial"/>
          <w:sz w:val="16"/>
          <w:szCs w:val="16"/>
          <w:color w:val="auto"/>
        </w:rPr>
        <w:t>We have long term incentive plans which provide eligible employees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5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Acquisition-Related Contingent Consideration. </w:t>
      </w:r>
      <w:r>
        <w:rPr>
          <w:rFonts w:ascii="Arial" w:cs="Arial" w:eastAsia="Arial" w:hAnsi="Arial"/>
          <w:sz w:val="17"/>
          <w:szCs w:val="17"/>
          <w:color w:val="auto"/>
        </w:rPr>
        <w:t>Acquisition-related contingent consideration consists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obligations on future net sales of ICLUSIG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consolidated statements of operations.</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Collaboration loss sharing. </w:t>
      </w:r>
      <w:r>
        <w:rPr>
          <w:rFonts w:ascii="Arial" w:cs="Arial" w:eastAsia="Arial" w:hAnsi="Arial"/>
          <w:sz w:val="18"/>
          <w:szCs w:val="18"/>
          <w:color w:val="auto"/>
        </w:rPr>
        <w:t>Under collaboration and license agreements with shared commercialization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 our share of the losses from the co-commercialization efforts in collaboration loss sharing on the consolidated statement of operations. For the year ended December 31, 2020, collaboration loss sharing represents our 50% share of the United States loss for commercialization of MONJUVI (tafasitamab) under our agreement with MorphoSys, which is described in Note 6 below.</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June 2016, the Financial Accounting Standards Board (“FASB”) issued ASU No. 2016-13, “Financial Instruments – Credit Losses (Topic 326): Measurement of Credit Losses on Financial Instruments.” This guidance applies to all entities and impacts how entities account for credit losses for financial assets measured at amortized cost and available for sale debt securities. ASU 2016-13 requires financial assets measured at amortized cost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are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recognizes any improvements in estimated credit losses on its available-for-sale debt securities immediately in earnings.</w:t>
      </w:r>
    </w:p>
    <w:p>
      <w:pPr>
        <w:spacing w:after="0" w:line="17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Upon adoption, we assessed each financial asset measured at amortized cost and each available-for-sale debt security held for the impact of the guidance as of January 1, 2020 and noted an insignificant impact due to the minimal credit risk associated with our financial assets subject to ASC 326. As such, it was concluded that a reserve for credit losses was de minimis on the adoption date. Financial assets will continue to be assessed on a quarterly basis in future periods.</w:t>
      </w:r>
    </w:p>
    <w:p>
      <w:pPr>
        <w:spacing w:after="0" w:line="15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August 2018, the FASB issued ASU No. 2018-13, “Fair Value Measurement (Topic 820): Disclosure Framework – Changes to the Disclosure Requirements for Fair Value Measurement,” which eliminates the required disclosure of the amount of and reason for transfers between Level 1 and Level 2 of the fair value hierarchy. The guidance also eliminates the required disclosure of the entity’s valuation process for Level 3 fair value measurements, however public entities are required to disclose the range and weighted average used to develop significant unobservable inputs for Level 3 fair value measurements. This guidance is effective for fiscal years beginning after December 15, 2019. We adopted this guidance for the period beginning January 1, 2020 and enhanced our disclosures in Note 3 to the consolidated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statements to comply with the standard.</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and have adopted this guidance for the period ending December 31, 2020 as reflected in our disclosures in Note 15.</w:t>
      </w:r>
    </w:p>
    <w:p>
      <w:pPr>
        <w:spacing w:after="0" w:line="19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may be applied on either a retrospective or prospective basis. We adopted this guidance for the period beginning January 1, 2020 on a prospective basis. New contracts for development of internal-use software were assessed and no qualifying contracts were identified during the period. We will continue to assess contracts and will disclose material, qualifying contracts if identified in future periods.</w:t>
      </w:r>
    </w:p>
    <w:p>
      <w:pPr>
        <w:spacing w:after="0" w:line="16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We adopted this guidance for the period beginning January 1, 2020 retrospectively to the date of our initial application of ASC 606, and noted that in assessment of our collaborative agreements, there was no material financial statement impact. Our collaborative arrangements and their associated accounting conclusions are described in detail within Note 6 to the consolidated financial statements.</w:t>
      </w:r>
    </w:p>
    <w:p>
      <w:pPr>
        <w:spacing w:after="0" w:line="16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Early adoption is permitted for any annual periods for which financial statements have not been issued and interim periods therein. We are currently analyzing the impact of ASU No. 2019-12 on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discussed in Note 1, revenues are recognized under guidance within ASC 606 and ASC 808.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3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34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8"/>
                <w:szCs w:val="18"/>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1,684,968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1,386,964</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ICLUSIG revenues, net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105,002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89,954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79,936</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Total product revenues, net</w:t>
            </w:r>
          </w:p>
        </w:tc>
        <w:tc>
          <w:tcPr>
            <w:tcW w:w="6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2,068,736</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1,774,922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1,466,900</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194,694</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110,920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80,424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40,086</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9"/>
        </w:trPr>
        <w:tc>
          <w:tcPr>
            <w:tcW w:w="3460" w:type="dxa"/>
            <w:vAlign w:val="bottom"/>
          </w:tcPr>
          <w:p>
            <w:pPr>
              <w:spacing w:after="0"/>
              <w:rPr>
                <w:sz w:val="20"/>
                <w:szCs w:val="20"/>
                <w:color w:val="auto"/>
              </w:rPr>
            </w:pPr>
            <w:r>
              <w:rPr>
                <w:rFonts w:ascii="Arial" w:cs="Arial" w:eastAsia="Arial" w:hAnsi="Arial"/>
                <w:sz w:val="18"/>
                <w:szCs w:val="18"/>
                <w:color w:val="auto"/>
              </w:rPr>
              <w:t>Total product royalty revenues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234,780</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tcPr>
          <w:p>
            <w:pPr>
              <w:spacing w:after="0"/>
              <w:rPr>
                <w:sz w:val="18"/>
                <w:szCs w:val="18"/>
                <w:color w:val="auto"/>
              </w:rPr>
            </w:pPr>
          </w:p>
        </w:tc>
      </w:tr>
      <w:tr>
        <w:trPr>
          <w:trHeight w:val="209"/>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2,666,702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2,158,759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1,881,883</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further information on our revenue-generating contracts, refer to Note 6.</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4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$288,199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$288,369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December 31, 2019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$284,795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$284,870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Our debt securities generally have contractual maturity dates of between 12 to 18 months. Debt security assets were assessed for risk of expected credit losses per our accounting policy as described in Note 1. As of December 31, 2020 and 2019, the available-for-sale debt securities were held in U.S. government debt securities and Treasury assets and were assessed on an individual security basis to have a de minimis risk of credit loss.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At December 31, 2020 and 2019,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years ended December 31, 2020 and 2019.</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7"/>
          </w:tcPr>
          <w:p>
            <w:pPr>
              <w:jc w:val="right"/>
              <w:ind w:right="138"/>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02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288,369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6)</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1,735,309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288,369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right"/>
              <w:ind w:right="138"/>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02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284,870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6)</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1,966,341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284,870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3"/>
              </w:rPr>
              <w:t>Balance as of</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60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4"/>
              </w:rPr>
              <w:t>Identical Liabilities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0" w:type="dxa"/>
            <w:vAlign w:val="bottom"/>
          </w:tcPr>
          <w:p>
            <w:pPr>
              <w:spacing w:after="0"/>
              <w:rPr>
                <w:sz w:val="1"/>
                <w:szCs w:val="1"/>
                <w:color w:val="auto"/>
              </w:rPr>
            </w:pPr>
          </w:p>
        </w:tc>
      </w:tr>
      <w:tr>
        <w:trPr>
          <w:trHeight w:val="210"/>
        </w:trPr>
        <w:tc>
          <w:tcPr>
            <w:tcW w:w="36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58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9"/>
          </w:tcPr>
          <w:p>
            <w:pPr>
              <w:ind w:left="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Borders>
              <w:top w:val="single" w:sz="8" w:color="auto"/>
            </w:tcBorders>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1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2"/>
              <w:spacing w:after="0" w:line="119" w:lineRule="exact"/>
              <w:rPr>
                <w:sz w:val="20"/>
                <w:szCs w:val="20"/>
                <w:color w:val="auto"/>
              </w:rPr>
            </w:pPr>
            <w:r>
              <w:rPr>
                <w:rFonts w:ascii="Arial" w:cs="Arial" w:eastAsia="Arial" w:hAnsi="Arial"/>
                <w:sz w:val="13"/>
                <w:szCs w:val="13"/>
                <w:b w:val="1"/>
                <w:bCs w:val="1"/>
                <w:color w:val="auto"/>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72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w w:val="98"/>
              </w:rPr>
              <w:t>Identical Liabilities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82"/>
        </w:trPr>
        <w:tc>
          <w:tcPr>
            <w:tcW w:w="2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Acquisition-related contingent</w:t>
            </w: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roll forward of our Level 3 liabilities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287,001</w:t>
            </w:r>
          </w:p>
        </w:tc>
        <w:tc>
          <w:tcPr>
            <w:tcW w:w="1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Contingent consideration earned during the period but not yet paid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(23,012)</w:t>
            </w:r>
          </w:p>
        </w:tc>
        <w:tc>
          <w:tcPr>
            <w:tcW w:w="16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6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19,682</w:t>
            </w:r>
          </w:p>
        </w:tc>
        <w:tc>
          <w:tcPr>
            <w:tcW w:w="160" w:type="dxa"/>
            <w:vAlign w:val="bottom"/>
            <w:tcBorders>
              <w:bottom w:val="single" w:sz="8" w:color="CCEEFF"/>
            </w:tcBorders>
          </w:tcPr>
          <w:p>
            <w:pPr>
              <w:spacing w:after="0"/>
              <w:rPr>
                <w:sz w:val="18"/>
                <w:szCs w:val="18"/>
                <w:color w:val="auto"/>
              </w:rPr>
            </w:pP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fair value of the contingent consideration was determined on the date of acquisition, June 1, 2016, using an income approach based on estimated ICLUSIG revenues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December 31, 2020 included a weighted average cost of capital of 10% and updated projections of future ICLUSIG revenues in the European Union and other countries for the approved third line treatment. The change in fair value of the contingent consideration during the years ended December 31, 2020 and 2019 was due primarily to the passage of time as there were no other significant changes in the key assumptions.</w:t>
      </w:r>
    </w:p>
    <w:p>
      <w:pPr>
        <w:spacing w:after="0" w:line="18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make payments to Takeda quarterly based on the royalties or any additional milestone payments earned in the previous quarter. As of December 31, 2020 and 2019, contingent consideration earned but not yet paid was $9.6 million and $23.0 million, respectively, and was included in accrued and other current liabilities.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During the years ended December 31, 2020 and 2019, there were no measurements required for any assets or liabilities at fair value on a non-recurring basis.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Concentrations of Credit Risk and Current Expected Credit Losses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In December 2009, we entered into a license, development and commercialization agreement with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42% and 30% of the accounts receivable balance as of December 31, 2020 and 2019, respectively. For further information relating to these collaboration and license agreements, refer to Note 6.</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November 2011, we began commercialization and distribution of JAKAFI and in April 2020, we began commercialization and distribution of PEMAZYRE to a number of customers. Our product revenues are concentrated in a number of these customers. The concentration of credit risk related to our JAKAFI and PEMAZYRE product revenues is as follows: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Percentage of Total Net</w:t>
      </w:r>
    </w:p>
    <w:p>
      <w:pPr>
        <w:jc w:val="center"/>
        <w:ind w:left="5900"/>
        <w:spacing w:after="0" w:line="226" w:lineRule="auto"/>
        <w:rPr>
          <w:sz w:val="20"/>
          <w:szCs w:val="20"/>
          <w:color w:val="auto"/>
        </w:rPr>
      </w:pPr>
      <w:r>
        <w:rPr>
          <w:rFonts w:ascii="Arial" w:cs="Arial" w:eastAsia="Arial" w:hAnsi="Arial"/>
          <w:sz w:val="14"/>
          <w:szCs w:val="14"/>
          <w:b w:val="1"/>
          <w:bCs w:val="1"/>
          <w:color w:val="auto"/>
        </w:rPr>
        <w:t>Product Revenues for the</w:t>
      </w:r>
    </w:p>
    <w:p>
      <w:pPr>
        <w:jc w:val="center"/>
        <w:ind w:left="5900"/>
        <w:spacing w:after="0" w:line="221" w:lineRule="auto"/>
        <w:rPr>
          <w:sz w:val="20"/>
          <w:szCs w:val="20"/>
          <w:color w:val="auto"/>
        </w:rPr>
      </w:pPr>
      <w:r>
        <w:rPr>
          <w:rFonts w:ascii="Arial" w:cs="Arial" w:eastAsia="Arial" w:hAnsi="Arial"/>
          <w:sz w:val="14"/>
          <w:szCs w:val="14"/>
          <w:b w:val="1"/>
          <w:bCs w:val="1"/>
          <w:color w:val="auto"/>
        </w:rPr>
        <w:t>Years Ended,</w:t>
      </w:r>
    </w:p>
    <w:p>
      <w:pPr>
        <w:jc w:val="center"/>
        <w:ind w:left="590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1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Customer B</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Customer D</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bl>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and D comprised, in the aggregate, 29% and 39% of the accounts receivable balance as of December 31, 2020 and 2019, respectively. The concentration of credit risk relating to ICLUSIG product revenues or accounts receivable is not significant.</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assessed our collaborative and customer receivable assets as of December 31, 2020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4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21,242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8,634</w:t>
            </w:r>
          </w:p>
        </w:tc>
        <w:tc>
          <w:tcPr>
            <w:tcW w:w="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40" w:type="dxa"/>
            <w:vAlign w:val="bottom"/>
            <w:shd w:val="clear" w:color="auto" w:fill="CCEEFF"/>
          </w:tcPr>
          <w:p>
            <w:pPr>
              <w:spacing w:after="0"/>
              <w:rPr>
                <w:sz w:val="18"/>
                <w:szCs w:val="18"/>
                <w:color w:val="auto"/>
              </w:rPr>
            </w:pPr>
          </w:p>
        </w:tc>
      </w:tr>
      <w:tr>
        <w:trPr>
          <w:trHeight w:val="210"/>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35,973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16,505</w:t>
            </w:r>
          </w:p>
        </w:tc>
        <w:tc>
          <w:tcPr>
            <w:tcW w:w="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11,400</w:t>
            </w:r>
          </w:p>
        </w:tc>
        <w:tc>
          <w:tcPr>
            <w:tcW w:w="40" w:type="dxa"/>
            <w:vAlign w:val="bottom"/>
            <w:shd w:val="clear" w:color="auto" w:fill="CCEEFF"/>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Inventories-noncurrent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19,548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4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work-in-process and finished goods. At December 31, 2020, $16.4 million of inventory was classified as current on the consolidated balance sheet as we expect this inventory to be consumed for commercial use within the next twelve months. At December 31, 2020, $19.5 million of inventory was classified as non-current on the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sales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w:t>
      </w:r>
    </w:p>
    <w:p>
      <w:pPr>
        <w:spacing w:after="0" w:line="15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Exclusive of the upfront payment of $150.0 million received in 2009 and the immediate milestone of $60.0 million earned in 2010, we have recognized and received, in the aggregate, $157.0 million for the achievement of development milestones, $280.0 million for the achievement of regulatory milestones and $200.0 million for the achievement of sales milestones through December 31, 2020.</w:t>
      </w:r>
    </w:p>
    <w:p>
      <w:pPr>
        <w:spacing w:after="0" w:line="16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18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2020, we recognized a $25.0 million development milestone and a $45.0 million regulatory milestone for the FDA approval of capmatinib as TABRECTA for the treatment of adult patients with metastatic non-small cell lung cancer (NSCLC) whose tumors have a mutation that leads to MET exon 14 skipping (METex14) as detected by an FDA-approved test, a $20.0 million regulatory milestone for the Japanese Ministry of Health, Labour and Welfare approval of TABRECTA for METex14 mutation-positive advanced and/or recurrent unresectable non-small cell lung cancer and a $80.0 million sales milestone for Novartis achieving annual net sales of a JAK licensed product of $1.2 billion. In 2018, we recognized a $60.0 million sales milestone for Novartis achieving annual net sales of a JAK licensed product of $900.0 million.</w:t>
      </w:r>
    </w:p>
    <w:p>
      <w:pPr>
        <w:spacing w:after="0" w:line="16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future TABRECTA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years ended December 31, 2020, 2019 and 2018, such royalties payable to Novartis on net sales within the United States totaled $89.9 million, $77.6 million and $63.0 million, respectively, and were reflected in cost of product revenues on the consolidated statements of operations. At December 31, 2020 and 2019, $96.4 million and $50.2 million, respectively, of accrued royalties payable to Novartis were included in accrued and other current liabilities on the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7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5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Reimbursable costs incurred after the effective date of the agreement with Novartis are recorded net against the related research and development expenses. Research and development expenses for the years ended December 31, 2020, 2019 and 2018 were net of $0.3 million, $1.5 million, and $3.2 million, respectively, of costs reimbursed by Novartis. At December 31, 2020 and 2019, $0.2 million and $0.4 million, respectively, of reimbursable costs were included in accounts receivable on the consolidated balance sheets.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Milestone and contract revenue under the Novartis agreement was $170.0 million, $0.0 million and $60.0 million for the years ended December 31, 2020, 2019 and 2018, respectively. In addition, for the years ended December 31, 2020, 2019 and 2018, we recorded $277.9 million, $225.9 million and $194.7 million, respectively, of product royalty revenues related to Novartis net sales of JAKAVI outside the United States. For the year ended December 31, 2020 we recorded $4.1 million of product royalty revenues related to Novartis net sales of TABRECTA worldwide.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sales milestones. Exclusive of the upfront payment of $90.0 million received in 2009, we have recognized and received, in aggregate, $149.0 million for the achievement of development milestones and $265.0 million for the achievement of regulatory milestones through December 31, 2020.</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87"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 In October 2020, Lilly announced that the European Commission approved baricitinib as OLUMIANT for the treatment of moderate-to-severe atopic dermatitis in adult patients who are candidates for systemic therapy.</w:t>
      </w:r>
    </w:p>
    <w:p>
      <w:pPr>
        <w:spacing w:after="0" w:line="16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2020, we recognized a $20.0 million regulatory milestone for the European Commission approval of OLUMIANT and a $10.0 million regulatory milestone for the MHLW approval of OLUMIANT for the treatment of moderate-to-severe atopic dermatitis in adult patients who are candidates for systemic therapy. In 2018, we recognized a $20.0 million development milestone for the first patient treated in the systemic lupus erythematosus Phase III program for baricitinib and a $100.0 million regulatory milestone for the FDA approval of the 2mg dose of OLUMIANT for the treatment of adults with moderately-to-severely active rheumatoid arthritis.</w:t>
      </w:r>
    </w:p>
    <w:p>
      <w:pPr>
        <w:spacing w:after="0" w:line="17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recorded no research and development expense under the Lilly agreement for co-funding the development of baricitinib for the years ended December 31, 2020 and 2019. Research and development expenses recorded under the Lilly agreement representing 30% of the global development costs for baricitinib for the treatment of rheumatoid arthritis, psoriatic arthritis, atopic dermatitis, alopecia areata, systemic lupus erythematosus and axial spondyloarthritis for the year ended December 31, 2018 was $68.6 million.</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Milestone and contract revenue under the Lilly agreement was $30.0 million, $0.0 million and $120.0 million, respectively, for the years ended December 31, 2020, 2019 and 2018. In addition, for the years ended December 31, 2020, 2019 and 2018, we recorded $110.9 million, $80.4 million and $40.1 million, respectively, of product royalty revenues related to Lilly net sales of OLUMIANT outside the United States.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7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2017 under the Amended Agreement, we paid Agenus $20.0 million in accelerated milestones relating to the clinical development of the GITR and OX40 programs, which was recorded in research and development expense. Agenus was initially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2018, we paid Agenus a $5.0 million development milestone for the LAG-3 program and a $5.0 million development milestone for the TIM-3 program, which were recorded in research and development expense on the consolidated statement of operations for the year ended December 31, 2018.</w:t>
      </w:r>
    </w:p>
    <w:p>
      <w:pPr>
        <w:spacing w:after="0" w:line="17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pacing w:after="0" w:line="196"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We concluded Agenus Inc. is not a VIE because it has sufficient equity to finance its activities without additional subordinated financial support and its at-risk equity holders have the characteristics of a controlling financial interest. After completion of our stock purchases from Agenus Inc., we held an approximate ownership interest of 18% and, under circumstances present at that time, concluded that we had the ability to exercise significant influence, but not control, over Agenus Inc., primarily due to the level of intra-entity transactions between us and Agenus related to development expenses, as well as other qualitative factors. In the second quarter of 2020, we sold an aggregate of approximately 1.2 million shares of Agenus Inc. common stock, reducing our ownership interest to approximately 9.8% as of June 30, 2020. The sales transactions were priced at market, with per share pricing ranging from $3.57 to $4.21, resulting in gross proceeds of approximately $4.5 million. In the third quarter of 2020, we sold an aggregate of approximately 2.5 million shares of Agenus Inc. common stock, reducing our ownership interest to approximately 7% as of December 31, 2020. The sales transactions were priced at market, with per share pricing ranging from $4.28 to $5.25, resulting in gross proceeds of approximately $12.7 million. As a result of having a less than 10% ownership interest and the recent diversification of Agenus Inc.’s development pipeline with other collaboration partners, we concluded that we no longer have significant influence over Agenus Inc. As such, we no longer account for our equity investment in Agenus Inc. as an equity method investment previously accounted for under the fair value option. We account for our investment in Agenus Inc. at fair value, whereby the investment is marked to market through earnings in each reporting period. For the years ended December 31, 2020, 2019 and 2018, we recorded an unrealized loss of $10.3 million, an unrealized gain of $30.0 million and an unrealized loss of $15.6 million, respectively, based on the change in fair market value of Agenus Inc.’s common stock during these periods. The fair market value of our long term investment in Agenus Inc. as of December 31, 2020 and 2019 was $44.7 million and $72.3 million, respectively.</w:t>
      </w:r>
    </w:p>
    <w:p>
      <w:pPr>
        <w:spacing w:after="0" w:line="79"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Research and development expenses for the years ended December 31, 2020, 2019 and 2018, also included $0.0 million, $1.5 million and $4.6 million, respectively, of development costs incurred pursuant to the Agenus arrangement.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At December 31, 2020 and 2019, a total of $0.5 million and $1.6 million, respectively, of such costs were included in accrued and other liabilities on the consolidated balance sheets.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in December 2016, we entered into a Share Subscription Agreement with Merus, pursuant to which we agreed to purchase 3.2 million common shares of Merus for an aggregate purchase price of $80.0 million in cash, or $25.00 per share. We completed the purchase of the shares on January 23, 2017 when the closing price on The Nasdaq Stock Market for Merus shares was $24.50 per share. The shares we acquired were not registered under the Securities Act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The fair market value of our total long term investment in Merus as of December 31, 2020 and 2019 was $56.1 million and $45.1 million, respectively. In January 2021, we purchased 350,000 common shares in Merus’ underwritten public offering of 4,848,485 common shares at the public offering price of $24.75 per share, or an aggregate purchase price of $8.7 million.</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concluded Merus is not a VIE because it has sufficient equity to finance its activities without additional subordinated financial support and its at-risk equity holders have the characteristics of a controlling financial interest. As of December 31, 2020, we owned approximately 11% of the outstanding common shares of Merus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years ended December 31, 2020, 2019 and 2018, we recorded an unrealized gain of $11.0 million, an unrealized gain of $0.3 million, and an unrealized loss of $17.3 million, respectively, based on the change in fair market value of Merus’ common shares during these periods.</w:t>
      </w:r>
    </w:p>
    <w:p>
      <w:pPr>
        <w:spacing w:after="0" w:line="222" w:lineRule="exact"/>
        <w:rPr>
          <w:sz w:val="20"/>
          <w:szCs w:val="20"/>
          <w:color w:val="auto"/>
        </w:rPr>
      </w:pPr>
    </w:p>
    <w:p>
      <w:pPr>
        <w:jc w:val="both"/>
        <w:ind w:left="40" w:right="59" w:firstLine="720"/>
        <w:spacing w:after="0" w:line="259" w:lineRule="auto"/>
        <w:rPr>
          <w:sz w:val="20"/>
          <w:szCs w:val="20"/>
          <w:color w:val="auto"/>
        </w:rPr>
      </w:pPr>
      <w:r>
        <w:rPr>
          <w:rFonts w:ascii="Arial" w:cs="Arial" w:eastAsia="Arial" w:hAnsi="Arial"/>
          <w:sz w:val="18"/>
          <w:szCs w:val="18"/>
          <w:color w:val="auto"/>
        </w:rPr>
        <w:t>Research and development expenses for the years ended December 31, 2020, 2019 and 2018 included $8.9 million, $7.2 million and $10.3 million, respectively, of additional development costs incurred pursuant to the Merus agreement. At December 31, 2020 and 2019, a total of $1.6 million and $1.6 million, respectively, of such costs were included in accrued and other liabilities on the consolidated balance sheets.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w:t>
      </w:r>
    </w:p>
    <w:p>
      <w:pPr>
        <w:spacing w:after="0" w:line="196"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2017, Calithera earned a $12.0 million milestone payment from us for the achievement of pharmacokinetic and pharmacodynamics goals for CB-1158 which was recorded in research and development expense.</w:t>
      </w:r>
    </w:p>
    <w:p>
      <w:pPr>
        <w:spacing w:after="0" w:line="188"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In August 2020, Calithera delivered notice of its decision to opt out of its co-funding obligation, 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In addition, the total remaining potential development, regulatory and sales milestone payments will be $738.0 million and Calithera will have no further rights to research, develop or co-detail INCB001158 and we will have the right to take over the conduct of all activities related to the research, development and commercialization of INCB001158 for all indications in the hematology/oncology field.</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as of December 31, 2020 and 2019 was $8.4 million and $9.8 million, respectively.</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concluded Calithera is not a VIE because it has sufficient equity to finance its activities without additional subordinated financial support and its at-risk equity holders have the characteristics of a controlling financial interest. As of December 31, 2020, we owned approximately 2%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therefore, are accounting for our shares held in Calithera at fair value, and the investment is marked to market through earnings in each reporting period. Given our intent to hold the investment for the foreseeable future, we have classified the investment within long term investments on the accompanying consolidated balance sheets. For the years ended December 31, 2020, 2019 and 2018, we recorded an unrealized loss of $1.4 million, an unrealized gain of $2.9 million, and an unrealized loss of $7.5 million, respectively, based on the change in fair market value of Calithera’s common stock during these periods.</w:t>
      </w:r>
    </w:p>
    <w:p>
      <w:pPr>
        <w:spacing w:after="0" w:line="21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2020, 2019 and 2018 also included $8.9 million, $17.9 million and $12.0 million, respectively, of additional development costs incurred pursuant to the Calithera agreement. At December 31, 2020 and 2019, a total of $0.6 million and $1.1 million, respectively, of such costs were included in accrued and other liabilities on the consolidated balance sheets.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2017, we paid MacroGenics an upfront payment of $150.0 million, which was recorded in research and development expense. MacroGenics was initially eligible to receive up to $420.0 million in future contingent development and regulatory milestones and up to $330.0 million in commercial milestones as well as tiered royalties ranging from 15% to 24% of global net sales.</w:t>
      </w:r>
    </w:p>
    <w:p>
      <w:pPr>
        <w:spacing w:after="0" w:line="182"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2020, we paid MacroGenics $40.0 million in milestones for the achievement of certain clinical milestones as part of our collaboration and license agreement, which were recorded in research and development expense on our consolidated statement of operations for the year ended December 31, 2020. In 2018, we paid MacroGenics a $10.0 million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and a $5.0 million milestone for the achievement of certain clinical milestones as part of our collaboration and license agreement, which were recorded in research and development expense on our consolidated statement of operations for the year ended December 31, 2018.</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Research and development expenses for the years ended December 31, 2020, 2019 and 2018, also included $59.0 million, $51.1 million and $35.4 million, respectively, of additional development costs incurred pursuant to the MacroGenics agreement. At December 31, 2020 and 2019, a total of $0.1 million and $1.0 million, respectively, of such costs were included in accrued and other liabilities on the consolidated balance sheets.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5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 on our consolidated statement of operations for the year ended December 31, 2018.</w:t>
      </w:r>
    </w:p>
    <w:p>
      <w:pPr>
        <w:spacing w:after="0" w:line="16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on the consolidated statement of operations for the year ended December 31, 2018.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consolidated balance sheets. All acquired shares were subsequently registered under the Securities Act of 1933 in February 2018. The fair market value of our long term investment in Syros as of December 31, 2020 and 2019 was $10.2 million and $6.5 million, respectively.</w:t>
      </w:r>
    </w:p>
    <w:p>
      <w:pPr>
        <w:spacing w:after="0" w:line="167"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concluded Syros is not a VIE because it has sufficient equity to finance its activities without additional subordinated financial support and its at-risk equity holders have the characteristics of a controlling financial interest. As of December 31, 2020,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and the investment is marked to market through earnings in each reporting period. Given our intent to hold the investment for the foreseeable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future, we have classified the investment within long term investments on the accompanying consolidated balance sheets. For the years ended December 31, 2020, 2019 and 2018, we recorded an unrealized gain of $3.7 million, an unrealized gain of $1.3 million and an unrealized loss of $3.7 million, respectively, based on the change in fair market value of Syros’ common stock during these periods.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functional intellectual property related to the clinical-stage product candidates to Innovent, which was recorded in milestone and contract revenues on the consolidated statement of operations for the year ended December 31, 2019. The upfront milestone was recognized as revenue at a point in time upon our transfer of the licenses to Innovent for the right to use the functional intellectual property. In addition, we were initially eligible to receive up to an additional $129.0 million in potential development and regulatory milestones.</w:t>
      </w:r>
    </w:p>
    <w:p>
      <w:pPr>
        <w:spacing w:after="0" w:line="18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recognize development and regulatory milestones upon confirmation of achievement of the event, as development and regulatory approvals are events not controllable by us but rather development activities of Innovent and decisions made by regulatory agencies. In 2020, we recognized a $5.0 million milestone for the FDA approval of pemigatinib as PEMAZYRE. In 2019, we recognized the $20.0 million milestone for the first related IND filing in China.</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Research and development expenses for the years ended December 31, 2020 and 2019 were net of $5.4 million and $6.2 million, respectively, of costs reimbursed by Innovent. At December 31, 2020 and 2019, $1.2 million and $3.0 million, respectively, of reimbursable costs were included in accounts receivable on the consolidated balance sheets.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August 2019, we recognized an upfront payment under this agreement of $17.5 million upon our transfer of the functional intellectual property related to the licensed product candidate to Zai Lab, which was recorded in milestone and contract revenues on the consolidated statement of operations for the year ended December 31, 2019. The upfront milestone was recognized as revenue at a point in time upon our transfer of the license to Zai Lab for the right to use the functional intellectual property.</w:t>
      </w:r>
    </w:p>
    <w:p>
      <w:pPr>
        <w:spacing w:after="0" w:line="17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Research and development expenses for the year ended December 31, 2020 were net of $0.2 million of costs reimbursed by Zai Lab. At December 31, 2020 and 2019, $0.6 million and $0.5 million, respectively, of reimbursable costs were included in accounts receivable on the condensed consolidated balance sheets.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 The agreement became effective in March 2020 after clearance by the German and Austrian antitrust authorities and expiration of the waiting period under the Hart-Scott Rodino Antitrust Improvements Act of 1976.</w:t>
      </w:r>
    </w:p>
    <w:p>
      <w:pPr>
        <w:spacing w:after="0" w:line="18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March 2020, we paid MorphoSys an upfront non-refundable payment of $750.0 million which was recorded in research and development expense on the consolidated statement of operations for the year ended December 31, 2020.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July 2020, we and MorphoSys announced that the FDA approved MONJUVI® (tafasitamab-cxix) in combination with lenalidomide for the treatment of adult patients with relapsed or refractory diffuse large B-cell lymphoma (DLBCL) not otherwise specified, including DLBCL arising from low grade lymphoma, and who are not eligible for autologous stem cell transplant. MONJUVI was approved under accelerated approval based on overall response rate.</w:t>
      </w:r>
    </w:p>
    <w:p>
      <w:pPr>
        <w:spacing w:after="0" w:line="15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under the collaboration agreement and pursuant to a related purchase agreement, we agreed to purchase American Depositary Shares (“ADSs”), each representing 0.25 of an ordinary share of MorphoSys AG, for an aggregate purchase price of $150.0 million or $41.33 per ADS (such ADSs to be purchased, the “New ADSs”). We agreed, subject to limited exceptions, not to sell or otherwise transfer any of the New ADSs for an 18-month period after the closing date of the sale. We completed the purchase of the ADSs on March 3, 2020 when the closing price on The Nasdaq Stock Market was $27.65 per ADS. The New ADSs were not registered under the Securities Act of 1933 on the purchase date, and accordingly, we estimated a discount for lack of marketability on the shares of $4.9 million, which resulted in a net fair value of the shares on the issuance date of $95.5 million. Of the $150.0 million aggregate purchase price paid, $95.5 million was allocated to our stock purchase in MorphoSys and was recorded within long term investments and $54.5 million, representing the premium paid on the purchase, was allocated to research and development expense. The fair market value of our long term investment in MorphoSys as of December 31, 2020 was $102.9 million.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concluded MorphoSys is not a VIE because it has sufficient equity to finance its activities without additional subordinated financial support and its at-risk equity holders have the characteristics of a controlling financial interest. As of December 31, 2020, we owned approximately 3% of the outstanding shares of MorphoSys common stock and there are several other stockholders who hold larger positions of MorphoSys. As we do not hold a significant position of the voting shares of MorphoSys and lack the qualitative characteristics associated with the ability to exercise significant influence, our ownership interest does not meet the criteria to be accounted for as an equity method investment. We intend to hold the investment in MorphoSys for the foreseeable future and therefore, are accounting for our shares held in MorphoSys at fair value, and the investment is marked to market through earnings in each reporting period. Given our intent to hold the investment for the foreseeable future, we have classified the investment within long term investments on the accompanying consolidated balance sheets. For the year ended December 31, 2020, we recorded an unrealized gain of $7.4 million based on the change in fair market value of MorphoSys’ common stock during the period.</w:t>
      </w:r>
    </w:p>
    <w:p>
      <w:pPr>
        <w:spacing w:after="0" w:line="17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50% share of the United States loss for the commercialization of tafasitamab was $42.8 million for the year ended December 31, 2020 and is recorded as collaboration loss sharing on the consolidated statement of operations. Research and development expenses for the year ended December 31, 2020, included $88.2 million related to our 55% share of the co-development costs for tafasitamab. At December 31, 2020, $54.2 million was included in accrued and other liabilities on the consolidated balance sheet for amounts due to MorphoSys under the agreement.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Nimble</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September 2020, we entered into a collaboration and license agreement with Nimble Therapeutics, Inc. (“Nimble”). Under the terms of this agreement, Nimble will utilize their peptide synthesis, screening and optimization platform for discovery and validation of peptides against specified targets. Under the agreement, Nimble is eligible to 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royalties on net sales in the low single digits.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122"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7"/>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370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560" w:type="dxa"/>
            <w:vAlign w:val="bottom"/>
          </w:tcPr>
          <w:p>
            <w:pPr>
              <w:spacing w:after="0"/>
              <w:rPr>
                <w:sz w:val="13"/>
                <w:szCs w:val="13"/>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Laboratory equipment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86,021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Land</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238,042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703,999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499,437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accumulated depreciation and amortization</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(144,374)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(121,870)</w:t>
            </w:r>
          </w:p>
        </w:tc>
        <w:tc>
          <w:tcPr>
            <w:tcW w:w="560" w:type="dxa"/>
            <w:vAlign w:val="bottom"/>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559,625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3"/>
        </w:trPr>
        <w:tc>
          <w:tcPr>
            <w:tcW w:w="3700" w:type="dxa"/>
            <w:vAlign w:val="bottom"/>
          </w:tcPr>
          <w:p>
            <w:pPr>
              <w:ind w:left="80"/>
              <w:spacing w:after="0"/>
              <w:rPr>
                <w:sz w:val="20"/>
                <w:szCs w:val="20"/>
                <w:color w:val="auto"/>
              </w:rPr>
            </w:pPr>
            <w:r>
              <w:rPr>
                <w:rFonts w:ascii="Arial" w:cs="Arial" w:eastAsia="Arial" w:hAnsi="Arial"/>
                <w:sz w:val="18"/>
                <w:szCs w:val="18"/>
                <w:color w:val="auto"/>
                <w:w w:val="96"/>
              </w:rPr>
              <w:t>Depreciation  expense,  including  amortization</w:t>
            </w:r>
          </w:p>
        </w:tc>
        <w:tc>
          <w:tcPr>
            <w:tcW w:w="3020" w:type="dxa"/>
            <w:vAlign w:val="bottom"/>
            <w:gridSpan w:val="4"/>
          </w:tcPr>
          <w:p>
            <w:pPr>
              <w:ind w:left="80"/>
              <w:spacing w:after="0"/>
              <w:rPr>
                <w:sz w:val="20"/>
                <w:szCs w:val="20"/>
                <w:color w:val="auto"/>
              </w:rPr>
            </w:pPr>
            <w:r>
              <w:rPr>
                <w:rFonts w:ascii="Arial" w:cs="Arial" w:eastAsia="Arial" w:hAnsi="Arial"/>
                <w:sz w:val="18"/>
                <w:szCs w:val="18"/>
                <w:color w:val="auto"/>
                <w:w w:val="94"/>
              </w:rPr>
              <w:t>expense  of  leasehold  improvements,</w:t>
            </w:r>
          </w:p>
        </w:tc>
        <w:tc>
          <w:tcPr>
            <w:tcW w:w="40" w:type="dxa"/>
            <w:vAlign w:val="bottom"/>
          </w:tcPr>
          <w:p>
            <w:pPr>
              <w:spacing w:after="0"/>
              <w:rPr>
                <w:sz w:val="24"/>
                <w:szCs w:val="24"/>
                <w:color w:val="auto"/>
              </w:rPr>
            </w:pPr>
          </w:p>
        </w:tc>
        <w:tc>
          <w:tcPr>
            <w:tcW w:w="1580" w:type="dxa"/>
            <w:vAlign w:val="bottom"/>
            <w:gridSpan w:val="4"/>
          </w:tcPr>
          <w:p>
            <w:pPr>
              <w:ind w:left="60"/>
              <w:spacing w:after="0"/>
              <w:rPr>
                <w:sz w:val="20"/>
                <w:szCs w:val="20"/>
                <w:color w:val="auto"/>
              </w:rPr>
            </w:pPr>
            <w:r>
              <w:rPr>
                <w:rFonts w:ascii="Arial" w:cs="Arial" w:eastAsia="Arial" w:hAnsi="Arial"/>
                <w:sz w:val="18"/>
                <w:szCs w:val="18"/>
                <w:color w:val="auto"/>
                <w:w w:val="97"/>
              </w:rPr>
              <w:t>was  $29.6  million,</w:t>
            </w:r>
          </w:p>
        </w:tc>
      </w:tr>
    </w:tbl>
    <w:p>
      <w:pPr>
        <w:ind w:left="40"/>
        <w:spacing w:after="0"/>
        <w:rPr>
          <w:sz w:val="20"/>
          <w:szCs w:val="20"/>
          <w:color w:val="auto"/>
        </w:rPr>
      </w:pPr>
      <w:r>
        <w:rPr>
          <w:rFonts w:ascii="Arial" w:cs="Arial" w:eastAsia="Arial" w:hAnsi="Arial"/>
          <w:sz w:val="18"/>
          <w:szCs w:val="18"/>
          <w:color w:val="auto"/>
        </w:rPr>
        <w:t>$32.1 million and $32.3 million for the years ended December 31, 2020, 2019 and 2018, respectively.</w:t>
      </w:r>
    </w:p>
    <w:p>
      <w:pPr>
        <w:spacing w:after="0" w:line="21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March 2017, we acquired additional adjacent buildings to our global headquarters in Wilmington, Delaware and in 2019, began demolition of these buildings and construction of a new laboratory and office building totaling approximately 200,000 square feet. As of December 31, 2020, we have capitalized approximately $79.5 million in on site preparation, design and construction costs and currently expect the building to be completed in the second half of 2021.</w:t>
      </w:r>
    </w:p>
    <w:p>
      <w:pPr>
        <w:spacing w:after="0" w:line="157"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plus one year of free rent, with multiple options to extend for an additional 20 years. The building serves as our new</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At that time, we determined the lease to be a finance lease and recorded a lease liability of $31.1 million and a finance lease right-of-use asset of $29.1 million, net of a lease incentive from our landlord of $2.0 million. As of December 31, 2020, we have capitalized approximately $17.9 million in leasehold improvements.</w:t>
      </w:r>
    </w:p>
    <w:p>
      <w:pPr>
        <w:spacing w:after="0" w:line="17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December 31, 2020, we have capitalized approximately $167.4 million in costs for construction, ground preparation and architectural and engineering studies. We currently expect the facility will be operational in the second half of 2021.</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consolidated balance sheets and are as follows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12,674</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Noncurrent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w:t>
            </w:r>
          </w:p>
        </w:tc>
        <w:tc>
          <w:tcPr>
            <w:tcW w:w="5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660"/>
              <w:spacing w:after="0"/>
              <w:rPr>
                <w:sz w:val="20"/>
                <w:szCs w:val="20"/>
                <w:color w:val="auto"/>
              </w:rPr>
            </w:pPr>
            <w:r>
              <w:rPr>
                <w:rFonts w:ascii="Arial" w:cs="Arial" w:eastAsia="Arial" w:hAnsi="Arial"/>
                <w:sz w:val="18"/>
                <w:szCs w:val="18"/>
                <w:color w:val="auto"/>
              </w:rPr>
              <w:t>The maturity of our lease liabilities are as follows (in thousands):</w:t>
            </w: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2025</w:t>
            </w:r>
          </w:p>
        </w:tc>
        <w:tc>
          <w:tcPr>
            <w:tcW w:w="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lease cash payments</w:t>
            </w:r>
          </w:p>
        </w:tc>
        <w:tc>
          <w:tcPr>
            <w:tcW w:w="6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60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cash paid for amounts included in the measurement of our operating lease liabilities for the years ended December 31, 2020 and 2019 was $12.1 million and $11.9 million, respectively, in operating cash flows. The cash paid for amounts included in the measurement of our finance lease liabilities for the years ended December 31, 2020 and 2019 was $0.8 million in financing cash flows.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As of December 31, 2020, our finance and operating leases had a weighted average lease term of approximately 14.2 and 4.7 years, respectively. The discount rate of our leases is an approximation of an estimated incremental borrowing rate and is dependent upon the term and economics of each agreement. The weighted average discount rate of our finance and operating leases is approximately 3.7% and 4.7%, respectively. As of December 31, 2019, our finance and operating leases had a weighted average lease term of approximately 15.8 and 3.0 years, respectively, and the weighted average discount rate of our finance and operating leases was approximately 3.6% and 4.5%, respectively.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For the year ended December 31, 2020, we incurred approximately $12.5 million of expense related to our operating leases, approximately $2.6 million of amortization on our finance lease right-of-use assets and approximately $1.2 million of interest expense on our finance lease liabilities. For the year ended December 31, 2019, we incurred approximately $12.7 million of expense related to our operating leases, approximately $1.7 million of amortization on our finance lease right-of-use assets and approximately $0.6 million of interest expense on our finance lease liabilities. For the years ended December 31, 2020 and 2019, the cost of our short term leases with a term less than 12 months was approximately $1.9 million and $1.1 million, respectively.</w:t>
      </w:r>
    </w:p>
    <w:p>
      <w:pPr>
        <w:spacing w:after="0" w:line="191" w:lineRule="exact"/>
        <w:rPr>
          <w:sz w:val="20"/>
          <w:szCs w:val="20"/>
          <w:color w:val="auto"/>
        </w:rPr>
      </w:pPr>
    </w:p>
    <w:p>
      <w:pPr>
        <w:jc w:val="center"/>
        <w:ind w:right="5959"/>
        <w:spacing w:after="0"/>
        <w:rPr>
          <w:sz w:val="20"/>
          <w:szCs w:val="20"/>
          <w:color w:val="auto"/>
        </w:rPr>
      </w:pPr>
      <w:r>
        <w:rPr>
          <w:rFonts w:ascii="Arial" w:cs="Arial" w:eastAsia="Arial" w:hAnsi="Arial"/>
          <w:sz w:val="16"/>
          <w:szCs w:val="16"/>
          <w:b w:val="1"/>
          <w:bCs w:val="1"/>
          <w:color w:val="auto"/>
        </w:rPr>
        <w:t>Note 8. Intangible Assets and Goodwill</w:t>
      </w:r>
    </w:p>
    <w:p>
      <w:pPr>
        <w:spacing w:after="0" w:line="212" w:lineRule="exact"/>
        <w:rPr>
          <w:sz w:val="20"/>
          <w:szCs w:val="20"/>
          <w:color w:val="auto"/>
        </w:rPr>
      </w:pPr>
    </w:p>
    <w:p>
      <w:pPr>
        <w:jc w:val="center"/>
        <w:ind w:right="6019"/>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intangible assets were as follows (in thousands, except for useful life):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Balance at December 31, 2020</w:t>
            </w:r>
          </w:p>
        </w:tc>
        <w:tc>
          <w:tcPr>
            <w:tcW w:w="160" w:type="dxa"/>
            <w:vAlign w:val="bottom"/>
          </w:tcPr>
          <w:p>
            <w:pPr>
              <w:spacing w:after="0"/>
              <w:rPr>
                <w:sz w:val="14"/>
                <w:szCs w:val="14"/>
                <w:color w:val="auto"/>
              </w:rPr>
            </w:pPr>
          </w:p>
        </w:tc>
        <w:tc>
          <w:tcPr>
            <w:tcW w:w="27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Balance at December 31, 2019</w:t>
            </w:r>
          </w:p>
        </w:tc>
        <w:tc>
          <w:tcPr>
            <w:tcW w:w="0" w:type="dxa"/>
            <w:vAlign w:val="bottom"/>
          </w:tcPr>
          <w:p>
            <w:pPr>
              <w:spacing w:after="0"/>
              <w:rPr>
                <w:sz w:val="1"/>
                <w:szCs w:val="1"/>
                <w:color w:val="auto"/>
              </w:rPr>
            </w:pPr>
          </w:p>
        </w:tc>
      </w:tr>
      <w:tr>
        <w:trPr>
          <w:trHeight w:val="187"/>
        </w:trPr>
        <w:tc>
          <w:tcPr>
            <w:tcW w:w="22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Useful</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Finite-lived intangible assets:</w:t>
            </w: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20"/>
              <w:spacing w:after="0"/>
              <w:rPr>
                <w:sz w:val="20"/>
                <w:szCs w:val="20"/>
                <w:color w:val="auto"/>
              </w:rPr>
            </w:pPr>
            <w:r>
              <w:rPr>
                <w:rFonts w:ascii="Arial" w:cs="Arial" w:eastAsia="Arial" w:hAnsi="Arial"/>
                <w:sz w:val="18"/>
                <w:szCs w:val="18"/>
                <w:color w:val="auto"/>
              </w:rPr>
              <w:t>Licensed IP</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  98,709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$ 172,291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  77,172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$ 193,828</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Amortization expense was $21.5 million for the years ended December 31, 2020, 2019 and 2018 and is recorded in cost of product revenues on the consolidated statement of operations. Estimated aggregate amortization expense based on the current carrying value of amortizable intangible assets will be as follows for the years ending December 31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2024</w:t>
            </w:r>
          </w:p>
        </w:tc>
        <w:tc>
          <w:tcPr>
            <w:tcW w:w="9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Thereafter</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21,536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21,536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21,536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21,536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64,611</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There were no changes to the carrying amount of goodwill for the years ended December 31, 2020 and 2019.</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4"/>
                <w:szCs w:val="14"/>
                <w:color w:val="auto"/>
              </w:rPr>
            </w:pPr>
          </w:p>
        </w:tc>
      </w:tr>
      <w:tr>
        <w:trPr>
          <w:trHeight w:val="155"/>
        </w:trPr>
        <w:tc>
          <w:tcPr>
            <w:tcW w:w="53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2019</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106,011</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Clinical related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115,897</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88,710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73,204</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22,807</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12,732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47,811</w:t>
            </w: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42,049</w:t>
            </w: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378,404</w:t>
            </w:r>
          </w:p>
        </w:tc>
        <w:tc>
          <w:tcPr>
            <w:tcW w:w="3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285,979</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Convertible Notes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carrying amount and fair value of our convertible notes were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Borders>
              <w:bottom w:val="single" w:sz="8" w:color="auto"/>
            </w:tcBorders>
            <w:gridSpan w:val="3"/>
          </w:tcPr>
          <w:p>
            <w:pPr>
              <w:jc w:val="right"/>
              <w:ind w:right="699"/>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9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Carrying</w:t>
            </w:r>
          </w:p>
        </w:tc>
        <w:tc>
          <w:tcPr>
            <w:tcW w:w="10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3"/>
            <w:vMerge w:val="continue"/>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18,300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32,511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fair value as of December 31, 2019 of the 1.25% Convertible Senior Notes that matured on November 15, 2020 (the “2020 Notes”) was based on data from readily available pricing sources which utilize market observable inputs and other characteristics for similar types of instruments, and, therefore, is classified within Level 2 in the fair value hierarchy.</w:t>
      </w:r>
    </w:p>
    <w:p>
      <w:pPr>
        <w:spacing w:after="0" w:line="187"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Prior to May 14, 2014, the 2020 Notes were not convertible except in connection with a make-whole fundamental change, as defined in the indenture. Beginning on, and including, May 15, 2014, the 2020 Notes were convertible prior to the close of business on the business day immediately preceding May 15, 2020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2020 Notes on each applicable trading day;</w:t>
      </w:r>
    </w:p>
    <w:p>
      <w:pPr>
        <w:spacing w:after="0" w:line="2" w:lineRule="exact"/>
        <w:rPr>
          <w:sz w:val="20"/>
          <w:szCs w:val="20"/>
          <w:color w:val="auto"/>
        </w:rPr>
      </w:pPr>
    </w:p>
    <w:p>
      <w:pPr>
        <w:jc w:val="both"/>
        <w:ind w:left="40" w:right="59" w:firstLine="4"/>
        <w:spacing w:after="0" w:line="288" w:lineRule="auto"/>
        <w:tabs>
          <w:tab w:leader="none" w:pos="312"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per $1,000 principal amount of the 2020 Notes for each trading day of the measurement period was less than 98% of the product of the last reported sale price of our common stock and the conversion rate for the 2020 Notes on each such trading day; or (iii) upon the occurrence of specified corporate events. On or after May 15, 2020 until the close of business on the second scheduled trading day immediately preceding the maturity date, the 2020 Notes were convertible at any time, regardless of the foregoing circumstances. Upon conversion we had the option to pay or deliver, as the case may be, cash, shares of common stock or a combination of cash and shares of common stock.</w:t>
      </w:r>
    </w:p>
    <w:p>
      <w:pPr>
        <w:spacing w:after="0" w:line="16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initial conversion rate for the 2020 Notes was 19.3207 shares of common stock per $1,000 principal amount, equivalent to an initial conversion price of approximately $51.76 per share.</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Prior to maturity on November 15, 2020, we settled, upon conversion, the remaining 2020 Notes principal balance in shares of common stock.</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are authorized to issue 5,000,000 shares of preferred stock, none of which was outstanding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2020 and 2019. The Board of Directors may determine the rights, preferences and privileges of any preferred stock issued in the future.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We are authorized to issue 400,000,000 shares of common stock.</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 xml:space="preserve">Stock Compensation Plans. </w:t>
      </w:r>
      <w:r>
        <w:rPr>
          <w:rFonts w:ascii="Arial" w:cs="Arial" w:eastAsia="Arial" w:hAnsi="Arial"/>
          <w:sz w:val="18"/>
          <w:szCs w:val="18"/>
          <w:color w:val="auto"/>
        </w:rPr>
        <w:t>As of December 31, 2020, we had a total of 6,460,660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future issuance related to our stock plans as described below.</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i w:val="1"/>
          <w:iCs w:val="1"/>
          <w:color w:val="auto"/>
        </w:rPr>
        <w:t xml:space="preserve">2010 Stock Incentive Plan. </w:t>
      </w:r>
      <w:r>
        <w:rPr>
          <w:rFonts w:ascii="Arial" w:cs="Arial" w:eastAsia="Arial" w:hAnsi="Arial"/>
          <w:sz w:val="16"/>
          <w:szCs w:val="16"/>
          <w:color w:val="auto"/>
        </w:rPr>
        <w:t>In May 2010 the Board of Directors adopted the 2010 Stock Incentive Plan (the “2010</w:t>
      </w:r>
      <w:r>
        <w:rPr>
          <w:rFonts w:ascii="Arial" w:cs="Arial" w:eastAsia="Arial" w:hAnsi="Arial"/>
          <w:sz w:val="16"/>
          <w:szCs w:val="16"/>
          <w:i w:val="1"/>
          <w:iCs w:val="1"/>
          <w:color w:val="auto"/>
        </w:rPr>
        <w:t xml:space="preserve"> </w:t>
      </w:r>
      <w:r>
        <w:rPr>
          <w:rFonts w:ascii="Arial" w:cs="Arial" w:eastAsia="Arial" w:hAnsi="Arial"/>
          <w:sz w:val="16"/>
          <w:szCs w:val="16"/>
          <w:color w:val="auto"/>
        </w:rPr>
        <w:t>Stock Plan”), which was most recently amended and restated in March 2019, for issuance of common stock to employees, non-employee directors, consultants, and scientific advisors. Options are granted to employees, consultants, and scientific advisors under the 2010 Stock Plan, pursuant to a formula determined by our Board of Directors. All options are exercisable at the fair market value of the stock on the date of grant. Non-employee director options expire after ten years.</w:t>
      </w:r>
    </w:p>
    <w:p>
      <w:pPr>
        <w:spacing w:after="0" w:line="161"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April 2019, our stockholders approved an increase in the number of shares of common stock reserved for issuance under the 2010 Stock Plan from 36,753,475 to 44,453,475.</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Option activity under the 2010 Stock Plan was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3"/>
              </w:rPr>
              <w:t>Outstanding Options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12,632,657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2,256,146</w:t>
            </w:r>
          </w:p>
        </w:tc>
        <w:tc>
          <w:tcPr>
            <w:tcW w:w="160" w:type="dxa"/>
            <w:vAlign w:val="bottom"/>
          </w:tcPr>
          <w:p>
            <w:pPr>
              <w:spacing w:after="0"/>
              <w:rPr>
                <w:sz w:val="18"/>
                <w:szCs w:val="18"/>
                <w:color w:val="auto"/>
              </w:rPr>
            </w:pP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92.82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(2,230,588)</w:t>
            </w:r>
          </w:p>
        </w:tc>
        <w:tc>
          <w:tcPr>
            <w:tcW w:w="68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(542,927)</w:t>
            </w: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92.66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12,115,288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88.31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7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Options to purchase a total of 6,732,942, 6,896,492 and 7,194,171 shares as of December 31, 2020, 2019 and 2018, respectively, were exercisable. The aggregate intrinsic value of options exercised for the years ended December 31, 2020, 2019 and 2018 were $87.5 million, $113.8 million and $73.9 million, respectively. At December 31, 2020, the aggregate intrinsic value of options outstanding and vested options are $86.3 million and $84.3 million, respectively.</w:t>
      </w:r>
    </w:p>
    <w:p>
      <w:pPr>
        <w:spacing w:after="0" w:line="157"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following table summarizes information about stock options outstanding as of December 31, 2020 under the 2010 Stock Plan:</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99"/>
              </w:rPr>
              <w:t>Options Outstanding</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ind w:left="6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Contractual Life</w:t>
            </w:r>
          </w:p>
        </w:tc>
        <w:tc>
          <w:tcPr>
            <w:tcW w:w="20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120" w:type="dxa"/>
            <w:vAlign w:val="bottom"/>
          </w:tcPr>
          <w:p>
            <w:pPr>
              <w:jc w:val="right"/>
              <w:ind w:right="93"/>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jc w:val="right"/>
              <w:ind w:right="114"/>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$18.97 - $68.62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1,659,221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1,106,486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$68.82 - $68.97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$72.27 - $72.27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$72.58</w:t>
            </w:r>
          </w:p>
        </w:tc>
        <w:tc>
          <w:tcPr>
            <w:tcW w:w="1300" w:type="dxa"/>
            <w:vAlign w:val="bottom"/>
          </w:tcPr>
          <w:p>
            <w:pPr>
              <w:ind w:left="20"/>
              <w:spacing w:after="0"/>
              <w:rPr>
                <w:sz w:val="20"/>
                <w:szCs w:val="20"/>
                <w:color w:val="auto"/>
              </w:rPr>
            </w:pPr>
            <w:r>
              <w:rPr>
                <w:rFonts w:ascii="Arial" w:cs="Arial" w:eastAsia="Arial" w:hAnsi="Arial"/>
                <w:sz w:val="18"/>
                <w:szCs w:val="18"/>
                <w:color w:val="auto"/>
              </w:rPr>
              <w:t>- $80.50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1,745,853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1,041,346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$80.56</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$85.01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$85.34</w:t>
            </w:r>
          </w:p>
        </w:tc>
        <w:tc>
          <w:tcPr>
            <w:tcW w:w="1300" w:type="dxa"/>
            <w:vAlign w:val="bottom"/>
          </w:tcPr>
          <w:p>
            <w:pPr>
              <w:ind w:left="20"/>
              <w:spacing w:after="0"/>
              <w:rPr>
                <w:sz w:val="20"/>
                <w:szCs w:val="20"/>
                <w:color w:val="auto"/>
              </w:rPr>
            </w:pPr>
            <w:r>
              <w:rPr>
                <w:rFonts w:ascii="Arial" w:cs="Arial" w:eastAsia="Arial" w:hAnsi="Arial"/>
                <w:sz w:val="18"/>
                <w:szCs w:val="18"/>
                <w:color w:val="auto"/>
              </w:rPr>
              <w:t>- $95.34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1,376,900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597,552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$95.54</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$106.47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$107.69 - $124.00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1,219,175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113.55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801,950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$124.03 - $134.38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$138.52 - $138.52</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25,272</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138.52</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138.52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12,115,288</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6,732,942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Stock Units and Performance Shares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January 2014, we began granting restricted stock units (“RSUs”) and performance shares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June 2018, we granted 190,000 RSUs and 446,500 PSUs under long term incentive plans with performance and/or service-based milestones with graded and/or cliff vesting over three to four years. In April 2019, we granted an additional 100,000 PSUs under one of the existing long term incentive plans with performance based milestones and cliff vesting. For one of the existing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will convert is at a multiplier of 142% based on the performance conditions being achieved as of March 31, 2019 and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will continue to vest through June 2022. For an existing long term incentive plan, under which 150,000 PSUs were granted, the actual number of shares of our common stock into which each PSU may convert was subject to a multiplier of up to 100% if all performance conditions were achieved or 0% if no performance conditions were achieved. The actual number of shares of our common stock into which each PSU will convert is at a multiplier of 100% based on the performance conditions being achieved as of December 31, 2019 and will cliff vest in June 2021. Compensation expense for the performance-based awards is recorded over the estimated service period for each milestone when the performance conditions are deemed probable of achievement. For the period ended December 31, 2020, the stock compensation expense recorded during the period was for service-based awards and performance conditions deemed probable of achievement and/or achieved. For PSUs containing performance conditions which were not deemed probable of achievement at December 31, 2020, no stock compensation expense was recognized.</w:t>
      </w:r>
    </w:p>
    <w:p>
      <w:pPr>
        <w:spacing w:after="0" w:line="18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 These PSUs will continue to vest through July 2022.</w:t>
      </w:r>
    </w:p>
    <w:p>
      <w:pPr>
        <w:spacing w:after="0" w:line="16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2019, we granted 86,975 PSUs to executives with a performance milestone and graded vesting over four years. The shares of our common stock into which each PSU may convert is subject to a multiplier up to 125%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will convert is at a multiplier of 101.8% based on the performance condition being achieved as of December 31, 2019. These PSUs will continue to vest through July 2023.</w:t>
      </w:r>
    </w:p>
    <w:p>
      <w:pPr>
        <w:spacing w:after="0" w:line="164"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July 2020, we granted 92,347 PSUs to executives with performance milestones and cliff vesting on the third anniversary from date of grant. The shares of our common stock into which each PSU may convert is subject to a multiplier up to 200% based on the level at which the financial and developmental performance conditions are achieved over the service period which ends December 31, 2022. Compensation expense for the performance-based awards is recorded over the estimated service period for each milestone when the performance conditions are deemed probable of achievement. For the period ended December 31, 2020, the stock compensation expense recorded during the period was for service-based awards and performance conditions deemed probable of achievement and/or achieved. For PSUs containing performance conditions which were not deemed probable of achievement at December 31, 2020, no stock compensation expense was recognized.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RSU and PSU award activity under the 2010 Stock Plan was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gridSpan w:val="4"/>
          </w:tcPr>
          <w:p>
            <w:pPr>
              <w:jc w:val="center"/>
              <w:ind w:left="481"/>
              <w:spacing w:after="0"/>
              <w:rPr>
                <w:sz w:val="20"/>
                <w:szCs w:val="20"/>
                <w:color w:val="auto"/>
              </w:rPr>
            </w:pPr>
            <w:r>
              <w:rPr>
                <w:rFonts w:ascii="Arial" w:cs="Arial" w:eastAsia="Arial" w:hAnsi="Arial"/>
                <w:sz w:val="14"/>
                <w:szCs w:val="14"/>
                <w:b w:val="1"/>
                <w:bCs w:val="1"/>
                <w:color w:val="auto"/>
                <w:w w:val="89"/>
              </w:rPr>
              <w:t>Shares Subject to</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Outstanding Awards</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Grant Date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3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2,602,376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RSUs granted</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1,356,377</w:t>
            </w:r>
          </w:p>
        </w:tc>
        <w:tc>
          <w:tcPr>
            <w:tcW w:w="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PSUs granted</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92,347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RSUs released</w:t>
            </w:r>
          </w:p>
        </w:tc>
        <w:tc>
          <w:tcPr>
            <w:tcW w:w="4360" w:type="dxa"/>
            <w:vAlign w:val="bottom"/>
            <w:gridSpan w:val="3"/>
          </w:tcPr>
          <w:p>
            <w:pPr>
              <w:jc w:val="right"/>
              <w:ind w:right="80"/>
              <w:spacing w:after="0"/>
              <w:rPr>
                <w:sz w:val="20"/>
                <w:szCs w:val="20"/>
                <w:color w:val="auto"/>
              </w:rPr>
            </w:pPr>
            <w:r>
              <w:rPr>
                <w:rFonts w:ascii="Arial" w:cs="Arial" w:eastAsia="Arial" w:hAnsi="Arial"/>
                <w:sz w:val="18"/>
                <w:szCs w:val="18"/>
                <w:color w:val="auto"/>
              </w:rPr>
              <w:t>(572,810)</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PSUs released</w:t>
            </w:r>
          </w:p>
        </w:tc>
        <w:tc>
          <w:tcPr>
            <w:tcW w:w="4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(35,455)</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RSUs cancelled</w:t>
            </w:r>
          </w:p>
        </w:tc>
        <w:tc>
          <w:tcPr>
            <w:tcW w:w="4360" w:type="dxa"/>
            <w:vAlign w:val="bottom"/>
            <w:gridSpan w:val="3"/>
          </w:tcPr>
          <w:p>
            <w:pPr>
              <w:jc w:val="right"/>
              <w:ind w:right="80"/>
              <w:spacing w:after="0"/>
              <w:rPr>
                <w:sz w:val="20"/>
                <w:szCs w:val="20"/>
                <w:color w:val="auto"/>
              </w:rPr>
            </w:pPr>
            <w:r>
              <w:rPr>
                <w:rFonts w:ascii="Arial" w:cs="Arial" w:eastAsia="Arial" w:hAnsi="Arial"/>
                <w:sz w:val="18"/>
                <w:szCs w:val="18"/>
                <w:color w:val="auto"/>
              </w:rPr>
              <w:t>(141,002)</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PSUs cancelled</w:t>
            </w:r>
          </w:p>
        </w:tc>
        <w:tc>
          <w:tcPr>
            <w:tcW w:w="4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(17,250)</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33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3,284,583</w:t>
            </w:r>
          </w:p>
        </w:tc>
        <w:tc>
          <w:tcPr>
            <w:tcW w:w="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360" w:type="dxa"/>
            <w:vAlign w:val="bottom"/>
            <w:vMerge w:val="restart"/>
          </w:tcPr>
          <w:p>
            <w:pPr>
              <w:jc w:val="right"/>
              <w:ind w:right="1950"/>
              <w:spacing w:after="0"/>
              <w:rPr>
                <w:sz w:val="20"/>
                <w:szCs w:val="20"/>
                <w:color w:val="auto"/>
              </w:rPr>
            </w:pPr>
            <w:r>
              <w:rPr>
                <w:rFonts w:ascii="Arial" w:cs="Arial" w:eastAsia="Arial" w:hAnsi="Arial"/>
                <w:sz w:val="18"/>
                <w:szCs w:val="18"/>
                <w:color w:val="auto"/>
              </w:rPr>
              <w:t>111</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2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following table summarizes our shares available for grant under the 2010 Plan. Each RSU and PSU grant reduces the available share pool by 2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Shares Available</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for Grant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9,882,122</w:t>
      </w:r>
    </w:p>
    <w:p>
      <w:pPr>
        <w:spacing w:after="0" w:line="1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(5,153,982)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787,042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13335</wp:posOffset>
            </wp:positionV>
            <wp:extent cx="8661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5,515,182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21590</wp:posOffset>
            </wp:positionV>
            <wp:extent cx="866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38735</wp:posOffset>
            </wp:positionV>
            <wp:extent cx="8661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900" w:space="720"/>
            <w:col w:w="1399"/>
          </w:cols>
          <w:pgMar w:left="1440" w:top="517" w:right="1440" w:bottom="1440" w:gutter="0" w:footer="0" w:header="0"/>
          <w:type w:val="continuous"/>
        </w:sectPr>
      </w:pPr>
    </w:p>
    <w:p>
      <w:pPr>
        <w:spacing w:after="0" w:line="5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On May 21, 1997, our stockholders adopted the 1997 Employee Stock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Plan, which was most recently amended in April 2020 (the “ESPP”). Each regular full-time and part-time employee working 20 hours or more per week is eligible to participate after one month of employment. We issued 258,453, 239,590 and 233,712 shares under the ESPP in 2020, 2019 and 2018, respectively. For the years ended December 31, 2020, 2019 and 2018, we recorded stock compensation expense of $4.6 million, $3.4 million and $3.7 million, respectively, as the ESPP is considered compensatory under the FASB stock compensation rules. As of December 31, 2020, 945,478 shares remain available for issuance under the ESPP.</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Stock Compensation</w:t>
      </w:r>
    </w:p>
    <w:p>
      <w:pPr>
        <w:spacing w:after="0" w:line="229"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recorded $177.9 million, $166.6 million and $148.2 million, respectively, of stock compensation expense for the years ended December 31, 2020, 2019 and 2018. Stock compensation expense within our consolidated statements of operations included research and development expense for the years ended December 31, 2020, 2019 and 2018 of $120.4 million, $114.0 million and $101.1 million, respectively. Stock compensation expense within our consolidated statements of operations also included selling, general and administrative expense for the years ended December 31, 2020, 2019 and 2018 of $56.6 million, $51.9 million and $47.1 million, respectively. Stock compensation expense within our consolidated statements of operations also included cost of product revenues for the years ended December 31, 2020 and 2019 of $1.0 million and $0.7 million respectively. For the years ended December 31, 2020, 2019 and 2018, we capitalized $0.6 million, $0.4 million and $0.1 million, respectively, of stock compensation expense as part of the cost of an asset.</w:t>
      </w:r>
    </w:p>
    <w:p>
      <w:pPr>
        <w:spacing w:after="0" w:line="16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options granted, with the following weighted-average assumptions: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Employee Stock Options</w:t>
            </w:r>
          </w:p>
        </w:tc>
        <w:tc>
          <w:tcPr>
            <w:tcW w:w="240" w:type="dxa"/>
            <w:vAlign w:val="bottom"/>
          </w:tcPr>
          <w:p>
            <w:pPr>
              <w:spacing w:after="0"/>
              <w:rPr>
                <w:sz w:val="14"/>
                <w:szCs w:val="14"/>
                <w:color w:val="auto"/>
              </w:rPr>
            </w:pPr>
          </w:p>
        </w:tc>
        <w:tc>
          <w:tcPr>
            <w:tcW w:w="2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Employee Stock Purchase Plan</w:t>
            </w:r>
          </w:p>
        </w:tc>
        <w:tc>
          <w:tcPr>
            <w:tcW w:w="16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240" w:type="dxa"/>
            <w:vAlign w:val="bottom"/>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160" w:type="dxa"/>
            <w:vAlign w:val="bottom"/>
          </w:tcPr>
          <w:p>
            <w:pPr>
              <w:spacing w:after="0"/>
              <w:rPr>
                <w:sz w:val="14"/>
                <w:szCs w:val="1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Average expected life (in years)</w:t>
            </w:r>
          </w:p>
        </w:tc>
        <w:tc>
          <w:tcPr>
            <w:tcW w:w="58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40 %</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45 %</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Weighted-average fair value (in dollars)</w:t>
            </w:r>
          </w:p>
        </w:tc>
        <w:tc>
          <w:tcPr>
            <w:tcW w:w="580" w:type="dxa"/>
            <w:vAlign w:val="bottom"/>
          </w:tcPr>
          <w:p>
            <w:pPr>
              <w:jc w:val="right"/>
              <w:spacing w:after="0"/>
              <w:rPr>
                <w:sz w:val="20"/>
                <w:szCs w:val="20"/>
                <w:color w:val="auto"/>
              </w:rPr>
            </w:pPr>
            <w:r>
              <w:rPr>
                <w:rFonts w:ascii="Arial" w:cs="Arial" w:eastAsia="Arial" w:hAnsi="Arial"/>
                <w:sz w:val="18"/>
                <w:szCs w:val="18"/>
                <w:color w:val="auto"/>
              </w:rPr>
              <w:t>32.65</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34.20</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19.13</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PSUs and RSUs. Under the true-up provisions of the stock compensation guidance, we will record additional expense as the awards vest if the actual forfeiture rate is lower than we estimated, and will record a recovery of prior expense if the actual forfeiture is higher than we estimated.</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Total compensation cost of options granted but not yet vested as of December 31, 2020, was $75.0 million, which is expected to be recognized over the weighted average period of 1.2 years. Total compensation cost of RSUs granted but not yet vested, as of December 31, 2020, was $119.0 million, which is expected to be recognized over the weighted average period of 1.7 years. Total compensation cost of PSUs granted but not yet vested, as of December 31, 2020, was $25.7 million, which is expected to be recognized over the weighted average period of 1.3 years, should the underlying performance conditions be deemed probable of achievement.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are subject to U.S. federal, state and foreign corporate income taxes. The provision for income taxes is based on income (loss) before provision for income taxes as follows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712,486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Non-U.S.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
              <w:spacing w:after="0"/>
              <w:rPr>
                <w:sz w:val="20"/>
                <w:szCs w:val="20"/>
                <w:color w:val="auto"/>
              </w:rPr>
            </w:pPr>
            <w:r>
              <w:rPr>
                <w:rFonts w:ascii="Arial" w:cs="Arial" w:eastAsia="Arial" w:hAnsi="Arial"/>
                <w:sz w:val="18"/>
                <w:szCs w:val="18"/>
                <w:color w:val="auto"/>
                <w:w w:val="98"/>
              </w:rPr>
              <w:t>(215,609)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(225,695)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(362,703)</w:t>
            </w: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486,791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3"/>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6080" w:type="dxa"/>
            <w:vAlign w:val="bottom"/>
            <w:gridSpan w:val="6"/>
          </w:tcPr>
          <w:p>
            <w:pPr>
              <w:ind w:left="660"/>
              <w:spacing w:after="0"/>
              <w:rPr>
                <w:sz w:val="20"/>
                <w:szCs w:val="20"/>
                <w:color w:val="auto"/>
              </w:rPr>
            </w:pPr>
            <w:r>
              <w:rPr>
                <w:rFonts w:ascii="Arial" w:cs="Arial" w:eastAsia="Arial" w:hAnsi="Arial"/>
                <w:sz w:val="18"/>
                <w:szCs w:val="18"/>
                <w:color w:val="auto"/>
                <w:w w:val="95"/>
              </w:rPr>
              <w:t>Our provision for income taxes consists of the following (in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8"/>
        </w:trPr>
        <w:tc>
          <w:tcPr>
            <w:tcW w:w="4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0"/>
          </w:tcPr>
          <w:p>
            <w:pPr>
              <w:jc w:val="right"/>
              <w:ind w:right="149"/>
              <w:spacing w:after="0"/>
              <w:rPr>
                <w:sz w:val="20"/>
                <w:szCs w:val="20"/>
                <w:color w:val="auto"/>
              </w:rPr>
            </w:pPr>
            <w:r>
              <w:rPr>
                <w:rFonts w:ascii="Arial" w:cs="Arial" w:eastAsia="Arial" w:hAnsi="Arial"/>
                <w:sz w:val="14"/>
                <w:szCs w:val="14"/>
                <w:b w:val="1"/>
                <w:bCs w:val="1"/>
                <w:color w:val="auto"/>
                <w:w w:val="96"/>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0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43,595</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23,526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3"/>
          </w:tcPr>
          <w:p>
            <w:pPr>
              <w:jc w:val="right"/>
              <w:ind w:right="89"/>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18,881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1,353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10"/>
        </w:trPr>
        <w:tc>
          <w:tcPr>
            <w:tcW w:w="4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63,829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Deferred: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10"/>
        </w:trPr>
        <w:tc>
          <w:tcPr>
            <w:tcW w:w="4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860" w:type="dxa"/>
            <w:vAlign w:val="bottom"/>
            <w:gridSpan w:val="2"/>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63,479</w:t>
            </w:r>
          </w:p>
        </w:tc>
        <w:tc>
          <w:tcPr>
            <w:tcW w:w="24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39,885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 reconciliation of income taxes at the U.S. federal statutory rate to the provision for income taxes is as follows (in thousands):</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9"/>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at U.S. federal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(48,766)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102,226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24,223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Unbenefited future tax deductions and tax credits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105,923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(73,666)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(51,861)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related to share-based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37,061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officer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Foreign-derived intangible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(22,830)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shd w:val="clear" w:color="auto" w:fill="CCEEFF"/>
          </w:tcPr>
          <w:p>
            <w:pPr>
              <w:spacing w:after="0"/>
              <w:rPr>
                <w:sz w:val="18"/>
                <w:szCs w:val="18"/>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63,479</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foreign tax rate differential in the table above reflects the impact of operations in jurisdictions with tax rates that differ from the U.S. federal statutory rate.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1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128,088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research credits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Capitalized research and development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accruals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Non-cash compensation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Intangibles, net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289,848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Less valuation allowance for deferred tax assets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(930,209)</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(770,497)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(22,841)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(19,095)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0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2,054</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net deferred tax asset balance is reported in other assets, net on the consolidated balance sheets as of December 31, 2020 and 2019.</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of December 31, 2020, the Company has net operating loss (“NOL”) carryforwards, research and development credit carryforwards and orphan drug tax credit carryforwards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Expiring if not utilized</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tcPr>
          <w:p>
            <w:pPr>
              <w:ind w:left="120"/>
              <w:spacing w:after="0"/>
              <w:rPr>
                <w:sz w:val="20"/>
                <w:szCs w:val="20"/>
                <w:color w:val="auto"/>
              </w:rPr>
            </w:pPr>
            <w:r>
              <w:rPr>
                <w:rFonts w:ascii="Arial" w:cs="Arial" w:eastAsia="Arial" w:hAnsi="Arial"/>
                <w:sz w:val="18"/>
                <w:szCs w:val="18"/>
                <w:color w:val="auto"/>
              </w:rPr>
              <w:t>State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361,890</w:t>
            </w:r>
          </w:p>
        </w:tc>
        <w:tc>
          <w:tcPr>
            <w:tcW w:w="160" w:type="dxa"/>
            <w:vAlign w:val="bottom"/>
          </w:tcPr>
          <w:p>
            <w:pPr>
              <w:spacing w:after="0"/>
              <w:rPr>
                <w:sz w:val="19"/>
                <w:szCs w:val="19"/>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2021 through 2039; indefinite</w:t>
            </w:r>
          </w:p>
        </w:tc>
      </w:tr>
      <w:tr>
        <w:trPr>
          <w:trHeight w:val="230"/>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1,250,048</w:t>
            </w:r>
          </w:p>
        </w:tc>
        <w:tc>
          <w:tcPr>
            <w:tcW w:w="1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2021 through 2027</w:t>
            </w: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Research and development credit carryforwards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150,598</w:t>
            </w:r>
          </w:p>
        </w:tc>
        <w:tc>
          <w:tcPr>
            <w:tcW w:w="1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2036 through 2040</w:t>
            </w:r>
          </w:p>
        </w:tc>
      </w:tr>
      <w:tr>
        <w:trPr>
          <w:trHeight w:val="230"/>
        </w:trPr>
        <w:tc>
          <w:tcPr>
            <w:tcW w:w="4120" w:type="dxa"/>
            <w:vAlign w:val="bottom"/>
          </w:tcPr>
          <w:p>
            <w:pPr>
              <w:ind w:left="120"/>
              <w:spacing w:after="0"/>
              <w:rPr>
                <w:sz w:val="20"/>
                <w:szCs w:val="20"/>
                <w:color w:val="auto"/>
              </w:rPr>
            </w:pPr>
            <w:r>
              <w:rPr>
                <w:rFonts w:ascii="Arial" w:cs="Arial" w:eastAsia="Arial" w:hAnsi="Arial"/>
                <w:sz w:val="18"/>
                <w:szCs w:val="18"/>
                <w:color w:val="auto"/>
              </w:rPr>
              <w:t>State</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23,986</w:t>
            </w:r>
          </w:p>
        </w:tc>
        <w:tc>
          <w:tcPr>
            <w:tcW w:w="160" w:type="dxa"/>
            <w:vAlign w:val="bottom"/>
          </w:tcPr>
          <w:p>
            <w:pPr>
              <w:spacing w:after="0"/>
              <w:rPr>
                <w:sz w:val="19"/>
                <w:szCs w:val="19"/>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2021 through 2039; indefinite</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Orphan drug tax credit carryforwards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162,653</w:t>
            </w:r>
          </w:p>
        </w:tc>
        <w:tc>
          <w:tcPr>
            <w:tcW w:w="1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2035 through 2040</w:t>
            </w:r>
          </w:p>
        </w:tc>
      </w:tr>
    </w:tbl>
    <w:p>
      <w:pPr>
        <w:spacing w:after="0" w:line="20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valuation allowance for deferred tax assets increased by approximately $159.7 million during the year ended December 31, 2020, decreased by approximately $66.5 million during the year ended December 31, 2019 and increased by approximately $2.2 million during the year ended December 31, 2018. The net valuation allowance increase during 2020 was primarily due to the generation of future deductible temporary differences and foreign NOLs offset by a net utilization of research and development (“R&amp;D”) and orphan drug credits in the U.S.</w:t>
      </w:r>
    </w:p>
    <w:p>
      <w:pPr>
        <w:spacing w:after="0" w:line="1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Valuation allowances require an assessment of both positive and negative evidence when determining whether it is more likely than not that deferred tax assets are recoverable. Such assessment is required on a jurisdiction-by-jurisdiction basis. The ultimate realization of deferred tax assets is dependent upon the generation of future taxable income during the periods in which those temporary differences become deductible.</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Based upon our analysis of our historical operating results, as well as projections of our future taxable income (losses) during the periods in which the temporary differences will be recoverable, management believes the uncertainty regarding the realization of our U.S. and Swiss net deferred tax assets requires a full valuation allowance against such net assets as of December 31, 2020. When performing our assessment on projections of future taxable income (losses), we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consider factors such as the likelihood of regulatory approval and commercial success of products currently under development, among other factors.</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financial statement recognition of the benefit for a tax position is dependent upon the benefit being more likely than not to be sustainable upon audit by the applicable taxing authority. If this threshold is met, the tax benefit is then measured and recognized at the largest amount that is greater than 50% likely of being realized upon ultimate settlement. If such unrecognized tax benefits were realized and not subject to valuation allowances, we would recognize a tax benefit of $31.6 million. The following table summarizes the gross amounts of unrecognized tax benefits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Additions related to prior periods tax positions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related to prior periods tax positions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Additions related to current period tax positions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1,835</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Reductions due to lapse of applicable statute of limitations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24,251</w:t>
            </w:r>
          </w:p>
        </w:tc>
        <w:tc>
          <w:tcPr>
            <w:tcW w:w="6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policy is to recognize interest and penalties related to uncertain tax positions, if any, as a component of income tax expense. During the year ended December 31, 2020, we recorded a negligible reduction to interest and penalties as a component of income tax expense. During the years ending December 31, 2019 and 2018, we recorded interest and penalties as a component of income tax expense of $0.2 million and $0.1 million, respectively. We do not anticipate any significant changes to our unrecognized tax benefits during the next twelve months.</w:t>
      </w:r>
    </w:p>
    <w:p>
      <w:pPr>
        <w:spacing w:after="0" w:line="17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Company files U.S. federal, state and local income tax returns and income tax returns in various foreign jurisdictions, with statutes of limitation generally ranging from three to five years during which such tax returns may be audited by the relevant tax authorities. Those statutes could be extended due to NOL or tax credit carryforwards generated during these periods that are subsequently utilized in open tax periods. In general, tax authorities have the ability to adjust the NOL carryforward or tax credits for three years after utilization of that year’s tax attribute carryforward.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 Net Income (Loss) Per Share</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Our basic net income (loss) per share is computed by dividing the net income (loss) by the number of weighted average common shares outstanding during the period. Our diluted net income (loss) per share is computed by dividing net income (loss) by the weighted average common shares outstanding during the period assuming potentially dilutive common shares of stock options, RSUs, PSUs and common shares issuable upon conversion of the 2020 Notes using the if-converted method. Common shares issuable upon conversion of the 2020 Notes were excluded from the diluted net income (loss) per share computation for all periods presented as their share effect was anti-dilutive.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4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auto"/>
            </w:tcBorders>
            <w:gridSpan w:val="4"/>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9"/>
        </w:trPr>
        <w:tc>
          <w:tcPr>
            <w:tcW w:w="1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Basic Net Income (Loss) Per Share</w:t>
            </w:r>
          </w:p>
        </w:tc>
        <w:tc>
          <w:tcPr>
            <w:tcW w:w="322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Basic 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(295,697)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446,906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109,493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214,913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212,383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Diluted Net Income (Loss) Per Share</w:t>
            </w:r>
          </w:p>
        </w:tc>
        <w:tc>
          <w:tcPr>
            <w:tcW w:w="3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Diluted 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(295,697)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446,906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109,493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214,913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212,383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stock options and awards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Weighted average shares used to compute diluted net income (loss)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217,657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215,635</w:t>
            </w:r>
          </w:p>
        </w:tc>
        <w:tc>
          <w:tcPr>
            <w:tcW w:w="0" w:type="dxa"/>
            <w:vAlign w:val="bottom"/>
          </w:tcPr>
          <w:p>
            <w:pPr>
              <w:spacing w:after="0"/>
              <w:rPr>
                <w:sz w:val="1"/>
                <w:szCs w:val="1"/>
                <w:color w:val="auto"/>
              </w:rPr>
            </w:pPr>
          </w:p>
        </w:tc>
      </w:tr>
      <w:tr>
        <w:trPr>
          <w:trHeight w:val="216"/>
        </w:trPr>
        <w:tc>
          <w:tcPr>
            <w:tcW w:w="1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potential common shares were excluded from the calculation as their effect would be anti-dilutive:</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15,274,871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9,349,889</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8,255,992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99"/>
              </w:rPr>
              <w:t>Common shares issuable upon conversion of the 2020 Notes</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368,939</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368,939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potential common shares excluded from diluted net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15,274,871</w:t>
            </w:r>
          </w:p>
        </w:tc>
        <w:tc>
          <w:tcPr>
            <w:tcW w:w="3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9,718,828</w:t>
            </w:r>
          </w:p>
        </w:tc>
        <w:tc>
          <w:tcPr>
            <w:tcW w:w="3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8,624,931</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per share computation</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was $13.4 million, $11.7 million and $10.5 million for the years ended December 31, 2020, 2019 and 2018, respectively. Included in the 2020, 2019 and 2018 defined contribution expense was $1.7 million, $1.6 million and $1.4 million, respectively, of expense related to matching contributions under the non-U.S. defined contribution plans.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49"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pension plans assumptions reflect the expected investment return and discount rate on plan assets and disability rate probabilities. The benefit obligation at December 31, 2020 for the plans was determined using a discount rate of 0.10% and rate of compensation increase of 2.00%. The 2020 net periodic benefit cost for the plans was determined using discount rates of 0.30%, rates of compensation increase of 2.25% and long-term expected return on plan assets of 0.30%. The benefit obligation at December 31, 2019 for the plans was determined using a discount rate of 0.30% and rate of compensation increase of 2.25%. The 2019 net periodic benefit cost for the plans was determined using discount rates of 0.75%, rates of compensation increase of 2.25% and long-term expected return on plan assets of 0.75%.</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Summarized information regarding changes in the obligations and plan assets, the funded status and the amounts recorded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beginning of year</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62,770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46,038</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Employer service cost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6,047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5,195</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Transfer of benefits net of payments from fund</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11,057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2,184</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Expenses paid from assets</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Translation loss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97,959</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62,770</w:t>
            </w:r>
          </w:p>
        </w:tc>
        <w:tc>
          <w:tcPr>
            <w:tcW w:w="160" w:type="dxa"/>
            <w:vAlign w:val="bottom"/>
            <w:shd w:val="clear" w:color="auto" w:fill="CCEEFF"/>
          </w:tcPr>
          <w:p>
            <w:pPr>
              <w:spacing w:after="0"/>
              <w:rPr>
                <w:sz w:val="18"/>
                <w:szCs w:val="18"/>
                <w:color w:val="auto"/>
              </w:rPr>
            </w:pPr>
          </w:p>
        </w:tc>
      </w:tr>
      <w:tr>
        <w:trPr>
          <w:trHeight w:val="209"/>
        </w:trPr>
        <w:tc>
          <w:tcPr>
            <w:tcW w:w="5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beginning of year</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38,662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30,368</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Transfer of benefits net of payments from fund</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11,057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Expenses paid from assets</w:t>
            </w:r>
          </w:p>
        </w:tc>
        <w:tc>
          <w:tcPr>
            <w:tcW w:w="10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0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r>
      <w:tr>
        <w:trPr>
          <w:trHeight w:val="210"/>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 end of year</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61,265</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38,662</w:t>
            </w:r>
          </w:p>
        </w:tc>
        <w:tc>
          <w:tcPr>
            <w:tcW w:w="160" w:type="dxa"/>
            <w:vAlign w:val="bottom"/>
            <w:tcBorders>
              <w:bottom w:val="single" w:sz="8" w:color="CCEEFF"/>
            </w:tcBorders>
          </w:tcPr>
          <w:p>
            <w:pPr>
              <w:spacing w:after="0"/>
              <w:rPr>
                <w:sz w:val="18"/>
                <w:szCs w:val="18"/>
                <w:color w:val="auto"/>
              </w:rPr>
            </w:pPr>
          </w:p>
        </w:tc>
      </w:tr>
      <w:tr>
        <w:trPr>
          <w:trHeight w:val="209"/>
        </w:trPr>
        <w:tc>
          <w:tcPr>
            <w:tcW w:w="53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Unfunded liability, end of year</w:t>
            </w: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36,694</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24,108</w:t>
            </w:r>
          </w:p>
        </w:tc>
        <w:tc>
          <w:tcPr>
            <w:tcW w:w="16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unfunded liability is reported in other liabilities on the consolidated balance sheets as of December 31, 2020 and 2019. The accumulated benefit obligation is $83.2 million and $52.9 million as of December 31, 2020 and 2019,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5"/>
              </w:rPr>
              <w:t>Year Ended December 31,</w:t>
            </w: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4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1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100" w:type="dxa"/>
            <w:vAlign w:val="bottom"/>
          </w:tcPr>
          <w:p>
            <w:pPr>
              <w:spacing w:after="0"/>
              <w:rPr>
                <w:sz w:val="18"/>
                <w:szCs w:val="18"/>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6,997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14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consolidated statements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Other changes in the plans assets and the benefit obligation that is recognized in accumulated other comprehensive loss were as follows, net of tax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beginning of year</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prior service costs</w:t>
            </w: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8"/>
                <w:szCs w:val="18"/>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Pension liability, end of year</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15,468</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1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expect to contribute a total of $6.0 million to the pension plans in 2021. The following benefit payments, which reflect expected future service, as appropriate, are expected to be paid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3,413</w:t>
            </w:r>
          </w:p>
        </w:tc>
        <w:tc>
          <w:tcPr>
            <w:tcW w:w="1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3,506</w:t>
            </w:r>
          </w:p>
        </w:tc>
        <w:tc>
          <w:tcPr>
            <w:tcW w:w="1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60" w:type="dxa"/>
            <w:vAlign w:val="bottom"/>
            <w:shd w:val="clear" w:color="auto" w:fill="CCEEFF"/>
          </w:tcPr>
          <w:p>
            <w:pPr>
              <w:spacing w:after="0"/>
              <w:rPr>
                <w:sz w:val="18"/>
                <w:szCs w:val="18"/>
                <w:color w:val="auto"/>
              </w:rPr>
            </w:pPr>
          </w:p>
        </w:tc>
      </w:tr>
      <w:tr>
        <w:trPr>
          <w:trHeight w:val="216"/>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2026-2030</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22,498</w:t>
            </w:r>
          </w:p>
        </w:tc>
        <w:tc>
          <w:tcPr>
            <w:tcW w:w="160" w:type="dxa"/>
            <w:vAlign w:val="bottom"/>
            <w:tcBorders>
              <w:bottom w:val="single" w:sz="8" w:color="CCEEFF"/>
            </w:tcBorders>
          </w:tcPr>
          <w:p>
            <w:pPr>
              <w:spacing w:after="0"/>
              <w:rPr>
                <w:sz w:val="18"/>
                <w:szCs w:val="18"/>
                <w:color w:val="auto"/>
              </w:rPr>
            </w:pPr>
          </w:p>
        </w:tc>
      </w:tr>
      <w:tr>
        <w:trPr>
          <w:trHeight w:val="209"/>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 Information on our future lease obligations are described in Note 7.</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entered into the collaboration agreements described in Note 6,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 xml:space="preserve">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We have cooperated with this inquiry. In November 2019,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underlying the DOJ inquiry was unsealed (“Complaint”), at which time we learned that a former employee whom we had terminated had made certain allegations relating to the programs described above (“Relator”). The DOJ has not intervened to date. We filed an Answer to the Complaint on January 22, 2020 and on November 12, 2020, we filed a Motion for Summary Judgment (Motion). All briefing on the Motion was completed on December 22, 2020 and the Judge will rule on the Motion based on these filings in due course. A trial date has not been set. We intend to continue defending ourselves vigorously against these allegations. We cannot predict the outcome or the timing of the ultimate resolution of the investigation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or reasonably estimate the possible range of loss, if any, that may result from these matters. Accordingly, no reserve has been made with respect to these matters as of December 31, 2020.</w:t>
      </w:r>
    </w:p>
    <w:p>
      <w:pPr>
        <w:spacing w:after="0" w:line="179"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Segment Information</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currently operate in one operating business segment focused on the discovery, development and commercialization of proprietary therapeutics. Our chief operating decision-maker manages the operations of our company as a single operating segment. We do not operate in any material separate lines of business or separate business entities with respect to our products or product development.</w:t>
      </w:r>
    </w:p>
    <w:p>
      <w:pPr>
        <w:spacing w:after="0" w:line="187"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During the year ended December 31, 2020, total revenues generated by subsidiaries in the United States was $2.6 billion and total revenues generated from subsidiaries in Europe was $105.0 million. During the year ended December 31, 2019, total revenues generated by subsidiaries in the United States was $2.1 billion and total revenues generated from subsidiaries in Europe was $90.0 million. During the year ended December 31, 2018, total revenues generated by subsidiaries in the United States was $1.8 billion and total revenues generated from subsidiaries in Europe was $79.9 million. As of December 31, 2020, property and equipment, net was approximately $336.9 million in the United States, approximately $218.0 million in Europe and approximately $4.7 million in Japan. As of December 31, 2019, property and equipment, net was approximately $261.7 million in the United States and approximately $109.9 million in Europe.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18. Interim Consolidated Financial Information (Unaudited)</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Fiscal 2020 Quarter Ended</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June 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Revenues</w:t>
            </w:r>
            <w:r>
              <w:rPr>
                <w:rFonts w:ascii="Arial" w:cs="Arial" w:eastAsia="Arial" w:hAnsi="Arial"/>
                <w:sz w:val="24"/>
                <w:szCs w:val="24"/>
                <w:color w:val="auto"/>
                <w:vertAlign w:val="superscript"/>
              </w:rPr>
              <w:t>(1)</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568,507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688,043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620,643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789,509</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(720,642)</w:t>
            </w:r>
          </w:p>
        </w:tc>
        <w:tc>
          <w:tcPr>
            <w:tcW w:w="180" w:type="dxa"/>
            <w:vAlign w:val="bottom"/>
          </w:tcPr>
          <w:p>
            <w:pPr>
              <w:spacing w:after="0"/>
              <w:rPr>
                <w:sz w:val="18"/>
                <w:szCs w:val="18"/>
                <w:color w:val="auto"/>
              </w:rPr>
            </w:pPr>
          </w:p>
        </w:tc>
        <w:tc>
          <w:tcPr>
            <w:tcW w:w="160" w:type="dxa"/>
            <w:vAlign w:val="bottom"/>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290,298</w:t>
            </w:r>
          </w:p>
        </w:tc>
        <w:tc>
          <w:tcPr>
            <w:tcW w:w="420" w:type="dxa"/>
            <w:vAlign w:val="bottom"/>
            <w:gridSpan w:val="4"/>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(15,203)</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149,850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2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160" w:type="dxa"/>
            <w:vAlign w:val="bottom"/>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420" w:type="dxa"/>
            <w:vAlign w:val="bottom"/>
            <w:gridSpan w:val="4"/>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Shares used in computation of basic net income (loss) per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217,549</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218,784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219,239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Shares used in computation of diluted net income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216,721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220,434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218,784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221,228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Fiscal 2019 Quarter Ended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31,</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Revenues</w:t>
            </w:r>
            <w:r>
              <w:rPr>
                <w:rFonts w:ascii="Arial" w:cs="Arial" w:eastAsia="Arial" w:hAnsi="Arial"/>
                <w:sz w:val="24"/>
                <w:szCs w:val="24"/>
                <w:color w:val="auto"/>
                <w:vertAlign w:val="superscript"/>
              </w:rPr>
              <w:t>(2)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497,857</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529,932</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551,581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579,389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102,312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105,318</w:t>
            </w:r>
          </w:p>
        </w:tc>
        <w:tc>
          <w:tcPr>
            <w:tcW w:w="42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128,271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111,005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20" w:type="dxa"/>
            <w:vAlign w:val="bottom"/>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0.48</w:t>
            </w:r>
          </w:p>
        </w:tc>
        <w:tc>
          <w:tcPr>
            <w:tcW w:w="42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used in computation of basic net income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3"/>
              </w:rPr>
              <w:t>Shares used in computation of diluted net income per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217,061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217,483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217,791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218,542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jc w:val="both"/>
        <w:ind w:left="360" w:right="59" w:hanging="316"/>
        <w:spacing w:after="0" w:line="254"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quarters ended March 31, 2020, June 30, 2020, September 30, 2020 and December 31, 2020 include $486.7 million, $500.3 million, $522.3 million, and $559.5 million, respectively, of product revenues, net, relating to JAKAFI, ICLUSIG and PEMAZYRE. The quarters ended March 31, 2020, June 30, 2020, September 30, 2020 and December 31, 2020 include $81.8 million, $92.8 million, $98.4 million and $119.9 million, respectively, of product royalty revenues related to the sale of JAKAVI and OLUMIANT outside the United States and TABRECTA worldwide. The quarters ended March 31, 2020, June 30, 2020, September 30, 2020 and December 31, 2020 include $0.0 million, $95.0 million, $0.0 million and $110.0 million, respectively, of milestone and contract revenues relating to the Innovent, Lilly and Novartis agreements.</w:t>
      </w:r>
    </w:p>
    <w:p>
      <w:pPr>
        <w:spacing w:after="0" w:line="191" w:lineRule="exact"/>
        <w:rPr>
          <w:rFonts w:ascii="Arial" w:cs="Arial" w:eastAsia="Arial" w:hAnsi="Arial"/>
          <w:sz w:val="18"/>
          <w:szCs w:val="18"/>
          <w:color w:val="auto"/>
        </w:rPr>
      </w:pPr>
    </w:p>
    <w:p>
      <w:pPr>
        <w:jc w:val="both"/>
        <w:ind w:left="360" w:right="59" w:hanging="316"/>
        <w:spacing w:after="0" w:line="291"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quarters ended March 31, 2019, June 30, 2019, September 30, 2019 and December 31, 2019 include $396.2 million, $433.9 million, $454.0 million, and $490.8 million, respectively, of product revenues, net, relating to JAKAFI and ICLUSIG. The quarters ended March 31, 2019, June 30, 2019, September 30, 2019 and December 31, 2019 include $61.6 million, $76.0 million, $80.1 million and $88.6 million, respectively, of product royalty revenues related to the sale of JAKAVI and OLUMIANT outside the United States. In December 2018 and July 2019, we entered into collaborative research and license agreements with Innovent and Zai Lab, respectively. The quarters ended March 31, 2019, June 30, 2019, September 30, 2019 and December 31, 2019 include $40.0 million,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right="79"/>
        <w:spacing w:after="0" w:line="277" w:lineRule="auto"/>
        <w:rPr>
          <w:sz w:val="20"/>
          <w:szCs w:val="20"/>
          <w:color w:val="auto"/>
        </w:rPr>
      </w:pPr>
      <w:r>
        <w:rPr>
          <w:rFonts w:ascii="Arial" w:cs="Arial" w:eastAsia="Arial" w:hAnsi="Arial"/>
          <w:sz w:val="18"/>
          <w:szCs w:val="18"/>
          <w:color w:val="auto"/>
        </w:rPr>
        <w:t>$20.0 million, $17.5 million and $0.0 million, respectively, of milestone and contract revenues relating to these agreements.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 term</w:t>
      </w:r>
      <w:r>
        <w:rPr>
          <w:rFonts w:ascii="Arial" w:cs="Arial" w:eastAsia="Arial" w:hAnsi="Arial"/>
          <w:sz w:val="17"/>
          <w:szCs w:val="17"/>
          <w:i w:val="1"/>
          <w:iCs w:val="1"/>
          <w:color w:val="auto"/>
        </w:rPr>
        <w:t xml:space="preserve"> </w:t>
      </w:r>
      <w:r>
        <w:rPr>
          <w:rFonts w:ascii="Arial" w:cs="Arial" w:eastAsia="Arial" w:hAnsi="Arial"/>
          <w:sz w:val="17"/>
          <w:szCs w:val="17"/>
          <w:color w:val="auto"/>
        </w:rPr>
        <w:t>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Annual Report on Form 10-K,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(as defined in Rules 13a-15(f) and 15d-15(f) under the Exchange Act) for the quarter ended December 31, 2020, that materially affected or are reasonably likely to materially affect our internal control over financial reporting.</w:t>
      </w:r>
    </w:p>
    <w:p>
      <w:pPr>
        <w:spacing w:after="0" w:line="14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Our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establishing and maintaining adequate internal control over financial reporting, as such term is defined in Exchange Act Rules 13a-15(f). 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 deteriorate. Our management, with the participation of our Chief Executive Officer and Chief Financial Officer, conducted an evaluation of the effectiveness of our internal control over financial reporting based on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(2013 framework). Based on our evaluation under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concluded that our internal control over financial reporting was effective as of December 31, 2020. The effectiveness of our internal control over financial reporting as of December 31, 2020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right="3979"/>
        <w:spacing w:after="0" w:line="466" w:lineRule="auto"/>
        <w:rPr>
          <w:sz w:val="20"/>
          <w:szCs w:val="20"/>
          <w:color w:val="auto"/>
        </w:rPr>
      </w:pPr>
      <w:r>
        <w:rPr>
          <w:rFonts w:ascii="Arial" w:cs="Arial" w:eastAsia="Arial" w:hAnsi="Arial"/>
          <w:sz w:val="16"/>
          <w:szCs w:val="16"/>
          <w:color w:val="auto"/>
        </w:rPr>
        <w:t xml:space="preserve">To the Stockholders and the Board of Directors of Incyte Corporation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ind w:left="40" w:right="239"/>
        <w:spacing w:after="0" w:line="257" w:lineRule="auto"/>
        <w:rPr>
          <w:sz w:val="20"/>
          <w:szCs w:val="20"/>
          <w:color w:val="auto"/>
        </w:rPr>
      </w:pPr>
      <w:r>
        <w:rPr>
          <w:rFonts w:ascii="Arial" w:cs="Arial" w:eastAsia="Arial" w:hAnsi="Arial"/>
          <w:sz w:val="18"/>
          <w:szCs w:val="18"/>
          <w:color w:val="auto"/>
        </w:rPr>
        <w:t>We have audited Incyte Corporation’s internal control over financial reporting as of December 31, 2020, based on criteria established in Internal Control—Integrated Framework issued by the Committee of Sponsoring Organizations of the Treadway Commission (2013 framework) (the COSO criteria). In our opinion, Incyte Corporation (the Company) maintained, in all material respects, effective internal control over financial reporting as of December 31, 2020, based on the COSO criteria.</w:t>
      </w:r>
    </w:p>
    <w:p>
      <w:pPr>
        <w:spacing w:after="0" w:line="120"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Incyte Corporation as of December 31, 2020 and 2019, the related consolidated statements of operations, comprehensive income (loss), stockholders’ equity and cash flows for each of the three years in the period ended December 31, 2020, and the related notes and our report dated February 9, 2021 expressed an unqualified opinion thereon.</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ind w:left="40" w:right="9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ind w:left="40" w:right="7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ind w:left="40" w:right="11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ind w:left="4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9,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2021 Annual Meeting of Stockholders to be held on May 26, 2021 (the “Proxy Statement”). Certain information required by this item concerning executive officers is set forth in Part I of this Report under the caption “Information about our Executive Officers” and is incorporated herein by reference.</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To the extent disclosure for delinquent reports is being made, it can be found under the caption “Delinquent Section 16(a) Reports” in the Proxy Statement and is incorporated herein by reference.</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 xml:space="preserve">We have adopted a Code of Business Conduct and Ethics that applies to all of our officers and employees, including our Chief Executive Officer, Chief Financial Officer, Principal Accounting Officer, Corporate Controller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Chief Executive Officer, Chief Financial Officer, Principal Accounting Officer, Corporate Controller, and others providing similar functions. Stockholders may request a free copy of our Code of Business Conduct and Ethics and our Senior Financial Officers’ Code of Ethics by contacting Incyte Corporation, Attention: Investor Relations, 1801 Augustine Cut-Off, Wilmington, DE 19803 or by visiting the Corporate Governance section of our website at </w:t>
      </w:r>
      <w:r>
        <w:rPr>
          <w:rFonts w:ascii="Arial" w:cs="Arial" w:eastAsia="Arial" w:hAnsi="Arial"/>
          <w:sz w:val="17"/>
          <w:szCs w:val="17"/>
          <w:i w:val="1"/>
          <w:iCs w:val="1"/>
          <w:color w:val="auto"/>
        </w:rPr>
        <w:t>investor.incyte.com/corporate-governance</w:t>
      </w:r>
      <w:r>
        <w:rPr>
          <w:rFonts w:ascii="Arial" w:cs="Arial" w:eastAsia="Arial" w:hAnsi="Arial"/>
          <w:sz w:val="17"/>
          <w:szCs w:val="17"/>
          <w:color w:val="auto"/>
        </w:rPr>
        <w:t>. Our website address listed in the prior sentence and below is intended to be an inactive, textual reference only. None of the materials on, or accessible through, our website is part of this report or is incorporated by reference herein.</w:t>
      </w:r>
    </w:p>
    <w:p>
      <w:pPr>
        <w:spacing w:after="0" w:line="18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any waivers, if and when granted, of our Code of Business Conduct and Ethics or Senior Financial Officers’ Code of Ethics on our website at </w:t>
      </w:r>
      <w:r>
        <w:rPr>
          <w:rFonts w:ascii="Arial" w:cs="Arial" w:eastAsia="Arial" w:hAnsi="Arial"/>
          <w:sz w:val="18"/>
          <w:szCs w:val="18"/>
          <w:i w:val="1"/>
          <w:iCs w:val="1"/>
          <w:color w:val="auto"/>
        </w:rPr>
        <w:t>www.incyte.com</w:t>
      </w:r>
      <w:r>
        <w:rPr>
          <w:rFonts w:ascii="Arial" w:cs="Arial" w:eastAsia="Arial" w:hAnsi="Arial"/>
          <w:sz w:val="18"/>
          <w:szCs w:val="18"/>
          <w:color w:val="auto"/>
        </w:rPr>
        <w:t xml:space="preserve"> within four business days following the date of such amendment or waiver.</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Board of Directors has appointed an Audit and Finance Committee of three directors, currently comprised of Mr. Paul J. Clancy, as Chairman, Dr. Wendy L. Dixon and Dr. Jacqualyn A. Fouse. The Board of Directors has also determined that Mr. Clancy and Dr. Fouse are each qualified as an Audit Committee Financial Expert under the definition outlined by the Securities and Exchange Commission. In addition, each of the members of the Audit Committee qualifies as an “independent director” under the applicable standards of The Nasdaq Stock Market.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“Compensation of Directors” and “Executive Compensation” contained in the Proxy Statement.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“Equity Compensation Plan Information” and “Security Ownership of Certain Beneficial Owners and Management” contained in the Proxy Statement.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“Corporate Governance—Certain Relationships and Related Transactions” and “Corporate Governance—Director Independence” contained in the Proxy Statement.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Independent Registered Public Accounting Firm” contained in the Proxy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ind w:left="700" w:hanging="656"/>
        <w:spacing w:after="0"/>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229" w:lineRule="exact"/>
        <w:rPr>
          <w:rFonts w:ascii="Arial" w:cs="Arial" w:eastAsia="Arial" w:hAnsi="Arial"/>
          <w:sz w:val="18"/>
          <w:szCs w:val="18"/>
          <w:b w:val="1"/>
          <w:bCs w:val="1"/>
          <w:color w:val="auto"/>
        </w:rPr>
      </w:pPr>
    </w:p>
    <w:p>
      <w:pPr>
        <w:ind w:left="1360" w:hanging="641"/>
        <w:spacing w:after="0"/>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340" w:right="59"/>
        <w:spacing w:after="0" w:line="277" w:lineRule="auto"/>
        <w:rPr>
          <w:sz w:val="20"/>
          <w:szCs w:val="20"/>
          <w:color w:val="auto"/>
        </w:rPr>
      </w:pPr>
      <w:r>
        <w:rPr>
          <w:rFonts w:ascii="Arial" w:cs="Arial" w:eastAsia="Arial" w:hAnsi="Arial"/>
          <w:sz w:val="18"/>
          <w:szCs w:val="18"/>
          <w:color w:val="auto"/>
        </w:rPr>
        <w:t>Reference is made to the Index to Consolidated Financial Statements of Incyte Corporation under Item 8 of Part II hereof.</w:t>
      </w:r>
    </w:p>
    <w:p>
      <w:pPr>
        <w:spacing w:after="0" w:line="170" w:lineRule="exact"/>
        <w:rPr>
          <w:sz w:val="20"/>
          <w:szCs w:val="20"/>
          <w:color w:val="auto"/>
        </w:rPr>
      </w:pPr>
    </w:p>
    <w:p>
      <w:pPr>
        <w:ind w:left="1360" w:hanging="641"/>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both"/>
        <w:ind w:left="1340" w:right="59"/>
        <w:spacing w:after="0" w:line="263" w:lineRule="auto"/>
        <w:rPr>
          <w:sz w:val="20"/>
          <w:szCs w:val="20"/>
          <w:color w:val="auto"/>
        </w:rPr>
      </w:pPr>
      <w:r>
        <w:rPr>
          <w:rFonts w:ascii="Arial" w:cs="Arial" w:eastAsia="Arial" w:hAnsi="Arial"/>
          <w:sz w:val="18"/>
          <w:szCs w:val="18"/>
          <w:color w:val="auto"/>
        </w:rPr>
        <w:t>All financial statement schedules have been omitted because they are not applicable or not required or because the information is included elsewhere in the Consolidated Financial Statements or the Notes thereto.</w:t>
      </w:r>
    </w:p>
    <w:p>
      <w:pPr>
        <w:spacing w:after="0" w:line="184" w:lineRule="exact"/>
        <w:rPr>
          <w:sz w:val="20"/>
          <w:szCs w:val="20"/>
          <w:color w:val="auto"/>
        </w:rPr>
      </w:pPr>
    </w:p>
    <w:p>
      <w:pPr>
        <w:ind w:left="1360" w:hanging="641"/>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40" w:right="59"/>
        <w:spacing w:after="0" w:line="277" w:lineRule="auto"/>
        <w:rPr>
          <w:sz w:val="20"/>
          <w:szCs w:val="20"/>
          <w:color w:val="auto"/>
        </w:rPr>
      </w:pPr>
      <w:r>
        <w:rPr>
          <w:rFonts w:ascii="Arial" w:cs="Arial" w:eastAsia="Arial" w:hAnsi="Arial"/>
          <w:sz w:val="18"/>
          <w:szCs w:val="18"/>
          <w:color w:val="auto"/>
        </w:rPr>
        <w:t>See Item 15(b) below. Each management contract or compensatory plan or arrangement required to be filed has been identified.</w:t>
      </w:r>
    </w:p>
    <w:p>
      <w:pPr>
        <w:spacing w:after="0" w:line="166" w:lineRule="exact"/>
        <w:rPr>
          <w:sz w:val="20"/>
          <w:szCs w:val="20"/>
          <w:color w:val="auto"/>
        </w:rPr>
      </w:pPr>
    </w:p>
    <w:p>
      <w:pPr>
        <w:ind w:left="700" w:hanging="656"/>
        <w:spacing w:after="0"/>
        <w:tabs>
          <w:tab w:leader="none" w:pos="7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jc w:val="right"/>
              <w:ind w:right="555"/>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760" w:type="dxa"/>
            <w:vAlign w:val="bottom"/>
            <w:gridSpan w:val="13"/>
            <w:vMerge w:val="restart"/>
          </w:tcPr>
          <w:p>
            <w:pPr>
              <w:ind w:left="10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60"/>
              <w:spacing w:after="0" w:line="169" w:lineRule="exact"/>
              <w:rPr>
                <w:sz w:val="20"/>
                <w:szCs w:val="20"/>
                <w:color w:val="auto"/>
              </w:rPr>
            </w:pPr>
            <w:r>
              <w:rPr>
                <w:rFonts w:ascii="Arial" w:cs="Arial" w:eastAsia="Arial" w:hAnsi="Arial"/>
                <w:sz w:val="18"/>
                <w:szCs w:val="18"/>
                <w:color w:val="auto"/>
              </w:rPr>
              <w:t>3(i)</w:t>
            </w:r>
          </w:p>
        </w:tc>
        <w:tc>
          <w:tcPr>
            <w:tcW w:w="7480" w:type="dxa"/>
            <w:vAlign w:val="bottom"/>
            <w:tcBorders>
              <w:bottom w:val="single" w:sz="8" w:color="0000EE"/>
            </w:tcBorders>
            <w:gridSpan w:val="10"/>
          </w:tcPr>
          <w:p>
            <w:pPr>
              <w:spacing w:after="0" w:line="169"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Integrated copy of the Restated Certificate of Incorporation, as amended, of the Company (incorporated</w:t>
              </w:r>
            </w:hyperlink>
          </w:p>
        </w:tc>
        <w:tc>
          <w:tcPr>
            <w:tcW w:w="2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5"/>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by reference to Exhibit 3(i) to the Company’s Annual Report on Form 10-K for the year ended December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31, 2009).</w:t>
              </w:r>
            </w:hyperlink>
          </w:p>
        </w:tc>
        <w:tc>
          <w:tcPr>
            <w:tcW w:w="1260" w:type="dxa"/>
            <w:vAlign w:val="bottom"/>
            <w:tcBorders>
              <w:top w:val="single" w:sz="8" w:color="0000EE"/>
            </w:tcBorders>
          </w:tcPr>
          <w:p>
            <w:pPr>
              <w:spacing w:after="0"/>
              <w:rPr>
                <w:sz w:val="17"/>
                <w:szCs w:val="17"/>
                <w:color w:val="auto"/>
              </w:rPr>
            </w:pPr>
          </w:p>
        </w:tc>
        <w:tc>
          <w:tcPr>
            <w:tcW w:w="3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60"/>
              <w:spacing w:after="0" w:line="196" w:lineRule="exact"/>
              <w:rPr>
                <w:sz w:val="20"/>
                <w:szCs w:val="20"/>
                <w:color w:val="auto"/>
              </w:rPr>
            </w:pPr>
            <w:r>
              <w:rPr>
                <w:rFonts w:ascii="Arial" w:cs="Arial" w:eastAsia="Arial" w:hAnsi="Arial"/>
                <w:sz w:val="18"/>
                <w:szCs w:val="18"/>
                <w:color w:val="auto"/>
              </w:rPr>
              <w:t>3(ii)</w:t>
            </w:r>
          </w:p>
        </w:tc>
        <w:tc>
          <w:tcPr>
            <w:tcW w:w="7760" w:type="dxa"/>
            <w:vAlign w:val="bottom"/>
            <w:gridSpan w:val="15"/>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Bylaws of the Company, as amended as of November 15, 2017 (incorporated by reference to Exhibit 3.1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to the Company’s Current Report on Form 8-K filed November 17, 2017).</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60"/>
              <w:spacing w:after="0" w:line="196" w:lineRule="exact"/>
              <w:rPr>
                <w:sz w:val="20"/>
                <w:szCs w:val="20"/>
                <w:color w:val="auto"/>
              </w:rPr>
            </w:pPr>
            <w:r>
              <w:rPr>
                <w:rFonts w:ascii="Arial" w:cs="Arial" w:eastAsia="Arial" w:hAnsi="Arial"/>
                <w:sz w:val="18"/>
                <w:szCs w:val="18"/>
                <w:color w:val="auto"/>
              </w:rPr>
              <w:t>4.1</w:t>
            </w:r>
          </w:p>
        </w:tc>
        <w:tc>
          <w:tcPr>
            <w:tcW w:w="7760" w:type="dxa"/>
            <w:vAlign w:val="bottom"/>
            <w:gridSpan w:val="15"/>
          </w:tcPr>
          <w:p>
            <w:pPr>
              <w:spacing w:after="0" w:line="196" w:lineRule="exact"/>
              <w:rPr>
                <w:rFonts w:ascii="Arial" w:cs="Arial" w:eastAsia="Arial" w:hAnsi="Arial"/>
                <w:sz w:val="18"/>
                <w:szCs w:val="18"/>
                <w:color w:val="0000EE"/>
                <w:w w:val="99"/>
              </w:rPr>
            </w:pPr>
            <w:hyperlink r:id="rId146">
              <w:r>
                <w:rPr>
                  <w:rFonts w:ascii="Arial" w:cs="Arial" w:eastAsia="Arial" w:hAnsi="Arial"/>
                  <w:sz w:val="18"/>
                  <w:szCs w:val="18"/>
                  <w:color w:val="0000EE"/>
                  <w:w w:val="99"/>
                </w:rPr>
                <w:t>Form of Common Stock Certificate (incorporated by reference to the Exhibit 4.1 to the Company’s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Annual Report on Form 10-K for the year ended December 31, 2002).</w:t>
              </w:r>
            </w:hyperlink>
          </w:p>
        </w:tc>
        <w:tc>
          <w:tcPr>
            <w:tcW w:w="2060" w:type="dxa"/>
            <w:vAlign w:val="bottom"/>
            <w:tcBorders>
              <w:top w:val="single" w:sz="8" w:color="0000EE"/>
            </w:tcBorders>
            <w:gridSpan w:val="3"/>
          </w:tcPr>
          <w:p>
            <w:pPr>
              <w:spacing w:after="0"/>
              <w:rPr>
                <w:sz w:val="17"/>
                <w:szCs w:val="17"/>
                <w:color w:val="auto"/>
              </w:rPr>
            </w:pPr>
          </w:p>
        </w:tc>
        <w:tc>
          <w:tcPr>
            <w:tcW w:w="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60"/>
              <w:spacing w:after="0" w:line="196" w:lineRule="exact"/>
              <w:rPr>
                <w:sz w:val="20"/>
                <w:szCs w:val="20"/>
                <w:color w:val="auto"/>
              </w:rPr>
            </w:pPr>
            <w:r>
              <w:rPr>
                <w:rFonts w:ascii="Arial" w:cs="Arial" w:eastAsia="Arial" w:hAnsi="Arial"/>
                <w:sz w:val="18"/>
                <w:szCs w:val="18"/>
                <w:color w:val="auto"/>
              </w:rPr>
              <w:t>4.2</w:t>
            </w:r>
          </w:p>
        </w:tc>
        <w:tc>
          <w:tcPr>
            <w:tcW w:w="7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Description of Registrant’s Securities Registered under Section 12 of the Securities Exchange Act of 1934</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(incorporated by reference to Exhibit 4.3 to the Company’s Annual Report on Form 10-K for the year</w:t>
              </w:r>
            </w:hyperlink>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5"/>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ended December 31, 2019).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right"/>
              <w:ind w:right="555"/>
              <w:spacing w:after="0" w:line="196" w:lineRule="exact"/>
              <w:rPr>
                <w:sz w:val="20"/>
                <w:szCs w:val="20"/>
                <w:color w:val="auto"/>
              </w:rPr>
            </w:pPr>
            <w:r>
              <w:rPr>
                <w:rFonts w:ascii="Arial" w:cs="Arial" w:eastAsia="Arial" w:hAnsi="Arial"/>
                <w:sz w:val="18"/>
                <w:szCs w:val="18"/>
                <w:color w:val="auto"/>
              </w:rPr>
              <w:t>10.1#</w:t>
            </w:r>
          </w:p>
        </w:tc>
        <w:tc>
          <w:tcPr>
            <w:tcW w:w="7760" w:type="dxa"/>
            <w:vAlign w:val="bottom"/>
            <w:gridSpan w:val="15"/>
          </w:tcPr>
          <w:p>
            <w:pPr>
              <w:spacing w:after="0" w:line="196" w:lineRule="exact"/>
              <w:rPr>
                <w:rFonts w:ascii="Arial" w:cs="Arial" w:eastAsia="Arial" w:hAnsi="Arial"/>
                <w:sz w:val="18"/>
                <w:szCs w:val="18"/>
                <w:color w:val="0000EE"/>
                <w:w w:val="97"/>
              </w:rPr>
            </w:pPr>
            <w:hyperlink r:id="rId148">
              <w:r>
                <w:rPr>
                  <w:rFonts w:ascii="Arial" w:cs="Arial" w:eastAsia="Arial" w:hAnsi="Arial"/>
                  <w:sz w:val="18"/>
                  <w:szCs w:val="18"/>
                  <w:color w:val="0000EE"/>
                  <w:w w:val="97"/>
                </w:rPr>
                <w:t>Incyte Corporation Amended and Restated 2010 Stock Incentive Plan (incorporated by reference to</w:t>
              </w:r>
            </w:hyperlink>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16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Exhibit 10.1 to the Company’s Current Report on Form 8-K filed April 30, 2019).</w:t>
              </w:r>
            </w:hyperlink>
          </w:p>
        </w:tc>
        <w:tc>
          <w:tcPr>
            <w:tcW w:w="6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right"/>
              <w:ind w:right="555"/>
              <w:spacing w:after="0" w:line="190" w:lineRule="exact"/>
              <w:rPr>
                <w:sz w:val="20"/>
                <w:szCs w:val="20"/>
                <w:color w:val="auto"/>
              </w:rPr>
            </w:pPr>
            <w:r>
              <w:rPr>
                <w:rFonts w:ascii="Arial" w:cs="Arial" w:eastAsia="Arial" w:hAnsi="Arial"/>
                <w:sz w:val="18"/>
                <w:szCs w:val="18"/>
                <w:color w:val="auto"/>
              </w:rPr>
              <w:t>10.2#</w:t>
            </w:r>
          </w:p>
        </w:tc>
        <w:tc>
          <w:tcPr>
            <w:tcW w:w="7500" w:type="dxa"/>
            <w:vAlign w:val="bottom"/>
            <w:tcBorders>
              <w:bottom w:val="single" w:sz="8" w:color="0000EE"/>
            </w:tcBorders>
            <w:gridSpan w:val="11"/>
          </w:tcPr>
          <w:p>
            <w:pPr>
              <w:spacing w:after="0" w:line="190"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Form of Global Stock Option Agreement for Executive Officers under the Incyte Corporation Amended</w:t>
              </w:r>
            </w:hyperlink>
          </w:p>
        </w:tc>
        <w:tc>
          <w:tcPr>
            <w:tcW w:w="2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and Restated 2010 Stock Incentive Plan (incorporated by reference to Exhibit 10.1 to the Company's</w:t>
              </w:r>
            </w:hyperlink>
          </w:p>
        </w:tc>
        <w:tc>
          <w:tcPr>
            <w:tcW w:w="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5"/>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Quarterly Report on Form 10-Q for the quarter ended September 30,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80" w:type="dxa"/>
            <w:vAlign w:val="bottom"/>
            <w:gridSpan w:val="27"/>
            <w:vMerge w:val="restart"/>
          </w:tcPr>
          <w:p>
            <w:pPr>
              <w:ind w:left="5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120"/>
              <w:spacing w:after="0" w:line="169" w:lineRule="exact"/>
              <w:rPr>
                <w:sz w:val="20"/>
                <w:szCs w:val="20"/>
                <w:color w:val="auto"/>
              </w:rPr>
            </w:pPr>
            <w:r>
              <w:rPr>
                <w:rFonts w:ascii="Arial" w:cs="Arial" w:eastAsia="Arial" w:hAnsi="Arial"/>
                <w:sz w:val="18"/>
                <w:szCs w:val="18"/>
                <w:color w:val="auto"/>
              </w:rPr>
              <w:t>10.3#</w:t>
            </w:r>
          </w:p>
        </w:tc>
        <w:tc>
          <w:tcPr>
            <w:tcW w:w="7280" w:type="dxa"/>
            <w:vAlign w:val="bottom"/>
            <w:tcBorders>
              <w:bottom w:val="single" w:sz="8" w:color="0000EE"/>
            </w:tcBorders>
            <w:gridSpan w:val="19"/>
          </w:tcPr>
          <w:p>
            <w:pPr>
              <w:spacing w:after="0" w:line="169"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Form of Global Restricted Stock Unit Award Agreement under the Incyte Corporation Amended and</w:t>
              </w:r>
            </w:hyperlink>
          </w:p>
        </w:tc>
        <w:tc>
          <w:tcPr>
            <w:tcW w:w="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Restated 2010 Stock Incentive Plan (incorporated by reference to Exhibit 10.2 to the Company's Quarterly</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Report on Form 10-Q for the quarter ended September 30, 2020).</w:t>
              </w:r>
            </w:hyperlink>
          </w:p>
        </w:tc>
        <w:tc>
          <w:tcPr>
            <w:tcW w:w="30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10.4#</w:t>
            </w:r>
          </w:p>
        </w:tc>
        <w:tc>
          <w:tcPr>
            <w:tcW w:w="7760" w:type="dxa"/>
            <w:vAlign w:val="bottom"/>
            <w:gridSpan w:val="30"/>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Form of Performance Share Award Agreement under the Incyte Corporation Amended and Restated 2010</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Stock Incentive Plan (incorporated by reference to Exhibit 10.3 to the Company's Quarterly Report on</w:t>
              </w:r>
            </w:hyperlink>
          </w:p>
        </w:tc>
        <w:tc>
          <w:tcPr>
            <w:tcW w:w="260" w:type="dxa"/>
            <w:vAlign w:val="bottom"/>
            <w:tcBorders>
              <w:top w:val="single" w:sz="8" w:color="0000EE"/>
            </w:tcBorders>
            <w:gridSpan w:val="6"/>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Form 10-Q for the quarter ended September 30, 2020).</w:t>
              </w:r>
            </w:hyperlink>
          </w:p>
        </w:tc>
        <w:tc>
          <w:tcPr>
            <w:tcW w:w="38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10.5#</w:t>
            </w:r>
          </w:p>
        </w:tc>
        <w:tc>
          <w:tcPr>
            <w:tcW w:w="7760" w:type="dxa"/>
            <w:vAlign w:val="bottom"/>
            <w:gridSpan w:val="3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Form of Nonstatutory Stock Option Agreement for Outside Directors under the Incyte Corporation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Amended and Restated 2010 Stock Incentive Plan (incorporated by reference to Exhibit 10.24 to the</w:t>
              </w:r>
            </w:hyperlink>
          </w:p>
        </w:tc>
        <w:tc>
          <w:tcPr>
            <w:tcW w:w="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Company’s Annual Report on Form 10-K for the year ended December 31, 2013).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10.6#</w:t>
            </w:r>
          </w:p>
        </w:tc>
        <w:tc>
          <w:tcPr>
            <w:tcW w:w="72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Form of Restricted Stock Unit Award Agreement for Outside Directors under the Incyte Corporation</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Amended and Restated 2010 Stock Incentive Plan (incorporated by reference to Exhibit 10.1 to the</w:t>
              </w:r>
            </w:hyperlink>
          </w:p>
        </w:tc>
        <w:tc>
          <w:tcPr>
            <w:tcW w:w="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9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Company’s Quarterly Report on Form 10-Q for the quarter ended June 30, 2019).</w:t>
              </w:r>
            </w:hyperlink>
          </w:p>
        </w:tc>
        <w:tc>
          <w:tcPr>
            <w:tcW w:w="18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ind w:left="120"/>
              <w:spacing w:after="0"/>
              <w:rPr>
                <w:sz w:val="20"/>
                <w:szCs w:val="20"/>
                <w:color w:val="auto"/>
              </w:rPr>
            </w:pPr>
            <w:r>
              <w:rPr>
                <w:rFonts w:ascii="Arial" w:cs="Arial" w:eastAsia="Arial" w:hAnsi="Arial"/>
                <w:sz w:val="18"/>
                <w:szCs w:val="18"/>
                <w:color w:val="auto"/>
              </w:rPr>
              <w:t>10.7#</w:t>
            </w:r>
          </w:p>
        </w:tc>
        <w:tc>
          <w:tcPr>
            <w:tcW w:w="7760" w:type="dxa"/>
            <w:vAlign w:val="bottom"/>
            <w:gridSpan w:val="30"/>
          </w:tcPr>
          <w:p>
            <w:pPr>
              <w:spacing w:after="0"/>
              <w:rPr>
                <w:sz w:val="20"/>
                <w:szCs w:val="20"/>
                <w:color w:val="auto"/>
              </w:rPr>
            </w:pPr>
            <w:r>
              <w:rPr>
                <w:rFonts w:ascii="Arial" w:cs="Arial" w:eastAsia="Arial" w:hAnsi="Arial"/>
                <w:sz w:val="18"/>
                <w:szCs w:val="18"/>
                <w:color w:val="auto"/>
                <w:w w:val="98"/>
              </w:rPr>
              <w:t>Form of Indemnity Agreement between the Company and its directors and officers (incorporated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w w:val="96"/>
              </w:rPr>
              <w:t>reference to Exhibit 10.5 to the Company’s Registration Statement on Form S-1 (File No. 33 68138)).</w:t>
            </w:r>
          </w:p>
        </w:tc>
        <w:tc>
          <w:tcPr>
            <w:tcW w:w="0" w:type="dxa"/>
            <w:vAlign w:val="bottom"/>
          </w:tcPr>
          <w:p>
            <w:pPr>
              <w:spacing w:after="0"/>
              <w:rPr>
                <w:sz w:val="1"/>
                <w:szCs w:val="1"/>
                <w:color w:val="auto"/>
              </w:rPr>
            </w:pPr>
          </w:p>
        </w:tc>
      </w:tr>
      <w:tr>
        <w:trPr>
          <w:trHeight w:val="216"/>
        </w:trPr>
        <w:tc>
          <w:tcPr>
            <w:tcW w:w="1160" w:type="dxa"/>
            <w:vAlign w:val="bottom"/>
          </w:tcPr>
          <w:p>
            <w:pPr>
              <w:ind w:left="120"/>
              <w:spacing w:after="0"/>
              <w:rPr>
                <w:sz w:val="20"/>
                <w:szCs w:val="20"/>
                <w:color w:val="auto"/>
              </w:rPr>
            </w:pPr>
            <w:r>
              <w:rPr>
                <w:rFonts w:ascii="Arial" w:cs="Arial" w:eastAsia="Arial" w:hAnsi="Arial"/>
                <w:sz w:val="18"/>
                <w:szCs w:val="18"/>
                <w:color w:val="auto"/>
              </w:rPr>
              <w:t>10.8#*</w:t>
            </w:r>
          </w:p>
        </w:tc>
        <w:tc>
          <w:tcPr>
            <w:tcW w:w="7760" w:type="dxa"/>
            <w:vAlign w:val="bottom"/>
            <w:gridSpan w:val="30"/>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1997 Employee Stock Purchase Plan of Incyte Corporation, as amended.</w:t>
              </w:r>
            </w:hyperlink>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10.9#</w:t>
            </w:r>
          </w:p>
        </w:tc>
        <w:tc>
          <w:tcPr>
            <w:tcW w:w="7680" w:type="dxa"/>
            <w:vAlign w:val="bottom"/>
            <w:tcBorders>
              <w:bottom w:val="single" w:sz="8" w:color="0000EE"/>
            </w:tcBorders>
            <w:gridSpan w:val="29"/>
          </w:tcPr>
          <w:p>
            <w:pPr>
              <w:spacing w:after="0" w:line="190"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Form of Employment Agreement between the Company and Barry P. Flannelly (effective as of August 11,</w:t>
              </w:r>
            </w:hyperlink>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2014)</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 Christiana Stamoulis (effective as of February 11, 2019), Steven H. Stein (effective as of March 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2015)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Vijay K. Iyengar (effective as of May 9, 2016), Maria E. Pasquale (effective as of April 9, 2018)</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760" w:type="dxa"/>
            <w:vAlign w:val="bottom"/>
            <w:gridSpan w:val="30"/>
          </w:tcPr>
          <w:p>
            <w:pPr>
              <w:spacing w:after="0"/>
              <w:rPr>
                <w:rFonts w:ascii="Arial" w:cs="Arial" w:eastAsia="Arial" w:hAnsi="Arial"/>
                <w:sz w:val="18"/>
                <w:szCs w:val="18"/>
                <w:u w:val="single" w:color="auto"/>
                <w:color w:val="0000EE"/>
                <w:w w:val="92"/>
              </w:rPr>
            </w:pPr>
            <w:hyperlink r:id="rId155">
              <w:r>
                <w:rPr>
                  <w:rFonts w:ascii="Arial" w:cs="Arial" w:eastAsia="Arial" w:hAnsi="Arial"/>
                  <w:sz w:val="18"/>
                  <w:szCs w:val="18"/>
                  <w:u w:val="single" w:color="auto"/>
                  <w:color w:val="0000EE"/>
                  <w:w w:val="92"/>
                </w:rPr>
                <w:t>and Dashyant Dhanak (effective as of December 10, 2018) (incorporated by reference to Exhibit 10.14 to</w:t>
              </w:r>
            </w:hyperlink>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gridSpan w:val="30"/>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the Company’s Annual Report on Form 10-K for the year ended December 31, 2012).</w:t>
              </w:r>
            </w:hyperlink>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10.10#</w:t>
            </w:r>
          </w:p>
        </w:tc>
        <w:tc>
          <w:tcPr>
            <w:tcW w:w="7760" w:type="dxa"/>
            <w:vAlign w:val="bottom"/>
            <w:gridSpan w:val="30"/>
          </w:tcPr>
          <w:p>
            <w:pPr>
              <w:spacing w:after="0" w:line="190" w:lineRule="exact"/>
              <w:rPr>
                <w:rFonts w:ascii="Arial" w:cs="Arial" w:eastAsia="Arial" w:hAnsi="Arial"/>
                <w:sz w:val="18"/>
                <w:szCs w:val="18"/>
                <w:color w:val="0000EE"/>
                <w:w w:val="96"/>
              </w:rPr>
            </w:pPr>
            <w:hyperlink r:id="rId156">
              <w:r>
                <w:rPr>
                  <w:rFonts w:ascii="Arial" w:cs="Arial" w:eastAsia="Arial" w:hAnsi="Arial"/>
                  <w:sz w:val="18"/>
                  <w:szCs w:val="18"/>
                  <w:color w:val="0000EE"/>
                  <w:w w:val="96"/>
                </w:rPr>
                <w:t>Form of Amended and Restated Employment Agreement, effective as of April 18, 2012, between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Company and Paula J. Swain and Wenqing Yao (incorporated by reference to Exhibit 10.14 to the</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4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Company’s Quarterly Report on Form 10-Q for the quarter ended March 31, 2012).</w:t>
              </w:r>
            </w:hyperlink>
          </w:p>
        </w:tc>
        <w:tc>
          <w:tcPr>
            <w:tcW w:w="72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10.11#</w:t>
            </w:r>
          </w:p>
        </w:tc>
        <w:tc>
          <w:tcPr>
            <w:tcW w:w="7180" w:type="dxa"/>
            <w:vAlign w:val="bottom"/>
            <w:tcBorders>
              <w:bottom w:val="single" w:sz="8" w:color="0000EE"/>
            </w:tcBorders>
            <w:gridSpan w:val="15"/>
          </w:tcPr>
          <w:p>
            <w:pPr>
              <w:spacing w:after="0" w:line="190"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Offer of Employment Letter, dated December 14, 2018, from the Company to Christiana Stamoulis</w:t>
              </w:r>
            </w:hyperlink>
          </w:p>
        </w:tc>
        <w:tc>
          <w:tcPr>
            <w:tcW w:w="58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(incorporated by reference to Exhibit 10.2 to the Company’s Quarterly Report on Form 10-Q for the</w:t>
              </w:r>
            </w:hyperlink>
          </w:p>
        </w:tc>
        <w:tc>
          <w:tcPr>
            <w:tcW w:w="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quarter ended March 31, 2019).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10.12#</w:t>
            </w:r>
          </w:p>
        </w:tc>
        <w:tc>
          <w:tcPr>
            <w:tcW w:w="7760" w:type="dxa"/>
            <w:vAlign w:val="bottom"/>
            <w:gridSpan w:val="30"/>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Amended and Restated Employment Agreement between the Company and Hervé Hoppenot, dated as of</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October 25, 2019 (incorporated by reference to Exhibit 10.3 to the Company’s Quarterly Report on Form</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10-Q for the quarter ended September 30, 2019).</w:t>
              </w:r>
            </w:hyperlink>
          </w:p>
        </w:tc>
        <w:tc>
          <w:tcPr>
            <w:tcW w:w="42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10.13†</w:t>
            </w:r>
          </w:p>
        </w:tc>
        <w:tc>
          <w:tcPr>
            <w:tcW w:w="7760" w:type="dxa"/>
            <w:vAlign w:val="bottom"/>
            <w:gridSpan w:val="30"/>
          </w:tcPr>
          <w:p>
            <w:pPr>
              <w:spacing w:after="0" w:line="196"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Collaboration and License Agreement entered into as of November 24, 2009, by and between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6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Company and Novartis International Pharmaceutical Ltd. (incorporated by reference to Exhibit 10.1 to the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760" w:type="dxa"/>
            <w:vAlign w:val="bottom"/>
            <w:gridSpan w:val="30"/>
          </w:tcPr>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Company’s Quarterly Report on Form 10-Q for the quarter ended September 30, 2019).</w:t>
              </w:r>
            </w:hyperlink>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10.13.1†</w:t>
            </w:r>
          </w:p>
        </w:tc>
        <w:tc>
          <w:tcPr>
            <w:tcW w:w="7760" w:type="dxa"/>
            <w:vAlign w:val="bottom"/>
            <w:gridSpan w:val="30"/>
          </w:tcPr>
          <w:p>
            <w:pPr>
              <w:spacing w:after="0" w:line="190" w:lineRule="exact"/>
              <w:rPr>
                <w:rFonts w:ascii="Arial" w:cs="Arial" w:eastAsia="Arial" w:hAnsi="Arial"/>
                <w:sz w:val="18"/>
                <w:szCs w:val="18"/>
                <w:color w:val="0000EE"/>
                <w:w w:val="99"/>
              </w:rPr>
            </w:pPr>
            <w:hyperlink r:id="rId160">
              <w:r>
                <w:rPr>
                  <w:rFonts w:ascii="Arial" w:cs="Arial" w:eastAsia="Arial" w:hAnsi="Arial"/>
                  <w:sz w:val="18"/>
                  <w:szCs w:val="18"/>
                  <w:color w:val="0000EE"/>
                  <w:w w:val="99"/>
                </w:rPr>
                <w:t>Amendment, dated as of April 5, 2016, to Collaboration and License Agreement entered into as of</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1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November 24, 2009, by and between the Company and Novartis International Pharmaceutical Ltd.</w:t>
              </w:r>
            </w:hyperlink>
          </w:p>
        </w:tc>
        <w:tc>
          <w:tcPr>
            <w:tcW w:w="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w w:val="96"/>
              </w:rPr>
            </w:pPr>
            <w:hyperlink r:id="rId160">
              <w:r>
                <w:rPr>
                  <w:rFonts w:ascii="Arial" w:cs="Arial" w:eastAsia="Arial" w:hAnsi="Arial"/>
                  <w:sz w:val="18"/>
                  <w:szCs w:val="18"/>
                  <w:color w:val="0000EE"/>
                  <w:w w:val="96"/>
                </w:rPr>
                <w:t>(incorporated by reference to Exhibit 10.1.1 to the Company’s Quarterly Report on Form 10-Q for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quarter ended September 30, 2019).</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10.13.2††</w:t>
            </w:r>
          </w:p>
        </w:tc>
        <w:tc>
          <w:tcPr>
            <w:tcW w:w="75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Amendment, dated as of March 20, 2020, to the Collaboration and License Agreement entered into as of</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November 24, 2009, by and between the Company and Novartis International Pharmaceutical Ltd.</w:t>
              </w:r>
            </w:hyperlink>
          </w:p>
        </w:tc>
        <w:tc>
          <w:tcPr>
            <w:tcW w:w="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(incorporated by reference to Exhibit 10.2 to the Company’s Quarterly Report on Form 10-Q for the</w:t>
              </w:r>
            </w:hyperlink>
          </w:p>
        </w:tc>
        <w:tc>
          <w:tcPr>
            <w:tcW w:w="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quarter ended March 31,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10.14†</w:t>
            </w:r>
          </w:p>
        </w:tc>
        <w:tc>
          <w:tcPr>
            <w:tcW w:w="7760" w:type="dxa"/>
            <w:vAlign w:val="bottom"/>
            <w:gridSpan w:val="30"/>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License, Development and Commercialization Agreement, entered into as of December 18, 2009, by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between the Company and Eli Lilly and Company (incorporated by reference to Exhibit 10.2 to the</w:t>
              </w:r>
            </w:hyperlink>
          </w:p>
        </w:tc>
        <w:tc>
          <w:tcPr>
            <w:tcW w:w="400" w:type="dxa"/>
            <w:vAlign w:val="bottom"/>
            <w:tcBorders>
              <w:top w:val="single" w:sz="8" w:color="0000EE"/>
            </w:tcBorders>
            <w:gridSpan w:val="10"/>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760" w:type="dxa"/>
            <w:vAlign w:val="bottom"/>
            <w:gridSpan w:val="30"/>
          </w:tcPr>
          <w:p>
            <w:pPr>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Company’s Quarterly Report on Form 10-Q for the quarter ended September 30, 2019).</w:t>
              </w:r>
            </w:hyperlink>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10.14.1†</w:t>
            </w:r>
          </w:p>
        </w:tc>
        <w:tc>
          <w:tcPr>
            <w:tcW w:w="7760" w:type="dxa"/>
            <w:vAlign w:val="bottom"/>
            <w:gridSpan w:val="30"/>
          </w:tcPr>
          <w:p>
            <w:pPr>
              <w:spacing w:after="0" w:line="190" w:lineRule="exact"/>
              <w:rPr>
                <w:rFonts w:ascii="Arial" w:cs="Arial" w:eastAsia="Arial" w:hAnsi="Arial"/>
                <w:sz w:val="18"/>
                <w:szCs w:val="18"/>
                <w:color w:val="0000EE"/>
                <w:w w:val="93"/>
              </w:rPr>
            </w:pPr>
            <w:hyperlink r:id="rId163">
              <w:r>
                <w:rPr>
                  <w:rFonts w:ascii="Arial" w:cs="Arial" w:eastAsia="Arial" w:hAnsi="Arial"/>
                  <w:sz w:val="18"/>
                  <w:szCs w:val="18"/>
                  <w:color w:val="0000EE"/>
                  <w:w w:val="93"/>
                </w:rPr>
                <w:t>Amendment, dated June 22, 2010, to License, Development and Commercialization Agreement entered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780" w:type="dxa"/>
            <w:vAlign w:val="bottom"/>
            <w:gridSpan w:val="7"/>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2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into as of December 18, 2009, by and between the Company and Eli Lilly and Company (incorporated by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reference to Exhibit 10.2.1 to the Company’s Quarterly Report on Form 10-Q for the quarter ended</w:t>
              </w:r>
            </w:hyperlink>
          </w:p>
        </w:tc>
        <w:tc>
          <w:tcPr>
            <w:tcW w:w="460" w:type="dxa"/>
            <w:vAlign w:val="bottom"/>
            <w:tcBorders>
              <w:top w:val="single" w:sz="8" w:color="0000EE"/>
            </w:tcBorders>
            <w:gridSpan w:val="13"/>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63">
              <w:r>
                <w:rPr>
                  <w:rFonts w:ascii="Arial" w:cs="Arial" w:eastAsia="Arial" w:hAnsi="Arial"/>
                  <w:sz w:val="18"/>
                  <w:szCs w:val="18"/>
                  <w:color w:val="0000EE"/>
                  <w:w w:val="88"/>
                </w:rPr>
                <w:t>September 30, 2019).</w:t>
              </w:r>
            </w:hyperlink>
          </w:p>
        </w:tc>
        <w:tc>
          <w:tcPr>
            <w:tcW w:w="62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10.14.2†</w:t>
            </w:r>
          </w:p>
        </w:tc>
        <w:tc>
          <w:tcPr>
            <w:tcW w:w="7760" w:type="dxa"/>
            <w:vAlign w:val="bottom"/>
            <w:gridSpan w:val="30"/>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Third Amendment, entered into effective March 31, 2016, to License, Development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gridSpan w:val="8"/>
            <w:shd w:val="clear" w:color="auto" w:fill="0000EE"/>
          </w:tcPr>
          <w:p>
            <w:pPr>
              <w:spacing w:after="0" w:line="20" w:lineRule="exact"/>
              <w:rPr>
                <w:sz w:val="1"/>
                <w:szCs w:val="1"/>
                <w:color w:val="auto"/>
              </w:rPr>
            </w:pPr>
          </w:p>
        </w:tc>
        <w:tc>
          <w:tcPr>
            <w:tcW w:w="1180" w:type="dxa"/>
            <w:vAlign w:val="bottom"/>
            <w:gridSpan w:val="1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Commercialization Agreement entered into as of December 18, 2009, by and between the Company and</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8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Eli Lilly and Company (incorporated by reference to Exhibit 10.2.2 to the Company’s Quarterly Report on</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Form 10-Q for the quarter ended September 30, 2019).</w:t>
              </w:r>
            </w:hyperlink>
          </w:p>
        </w:tc>
        <w:tc>
          <w:tcPr>
            <w:tcW w:w="38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780" w:type="dxa"/>
            <w:vAlign w:val="bottom"/>
            <w:gridSpan w:val="28"/>
            <w:vMerge w:val="restart"/>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0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120"/>
              <w:spacing w:after="0" w:line="169" w:lineRule="exact"/>
              <w:rPr>
                <w:sz w:val="20"/>
                <w:szCs w:val="20"/>
                <w:color w:val="auto"/>
              </w:rPr>
            </w:pPr>
            <w:r>
              <w:rPr>
                <w:rFonts w:ascii="Arial" w:cs="Arial" w:eastAsia="Arial" w:hAnsi="Arial"/>
                <w:sz w:val="18"/>
                <w:szCs w:val="18"/>
                <w:color w:val="auto"/>
              </w:rPr>
              <w:t>10.14.3†</w:t>
            </w:r>
          </w:p>
        </w:tc>
        <w:tc>
          <w:tcPr>
            <w:tcW w:w="6700" w:type="dxa"/>
            <w:vAlign w:val="bottom"/>
            <w:tcBorders>
              <w:bottom w:val="single" w:sz="8" w:color="0000EE"/>
            </w:tcBorders>
            <w:gridSpan w:val="8"/>
          </w:tcPr>
          <w:p>
            <w:pPr>
              <w:spacing w:after="0" w:line="169"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Fourth Amendment, entered into effective December 13, 2016, to License, Development and</w:t>
              </w:r>
            </w:hyperlink>
          </w:p>
        </w:tc>
        <w:tc>
          <w:tcPr>
            <w:tcW w:w="106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Commercialization Agreement entered into as of December 18, 2009, by and between the Company and</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Eli Lilly and Company (incorporated by reference to Exhibit 10.21.4 to Amendment No. 2 on Form 10-</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760" w:type="dxa"/>
            <w:vAlign w:val="bottom"/>
            <w:gridSpan w:val="30"/>
          </w:tcPr>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K/A to the Company’s Annual Report on Form 10-K for the year ended December 31, 2016).</w:t>
              </w:r>
            </w:hyperlink>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10.14.4††</w:t>
            </w:r>
          </w:p>
        </w:tc>
        <w:tc>
          <w:tcPr>
            <w:tcW w:w="7760" w:type="dxa"/>
            <w:vAlign w:val="bottom"/>
            <w:gridSpan w:val="30"/>
          </w:tcPr>
          <w:p>
            <w:pPr>
              <w:spacing w:after="0" w:line="190"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Letter Agreement, dated May 13, 2020, between the Company and Eli Lilly and Company, together with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6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related Letter of Understanding, dated March 5, 2020, between the Company and Eli Lilly and Company,</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each relating to License, Development and Commercialization Agreement entered into as of December</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760" w:type="dxa"/>
            <w:vAlign w:val="bottom"/>
            <w:gridSpan w:val="30"/>
          </w:tcPr>
          <w:p>
            <w:pPr>
              <w:spacing w:after="0"/>
              <w:rPr>
                <w:rFonts w:ascii="Arial" w:cs="Arial" w:eastAsia="Arial" w:hAnsi="Arial"/>
                <w:sz w:val="18"/>
                <w:szCs w:val="18"/>
                <w:u w:val="single" w:color="auto"/>
                <w:color w:val="0000EE"/>
                <w:w w:val="94"/>
              </w:rPr>
            </w:pPr>
            <w:hyperlink r:id="rId167">
              <w:r>
                <w:rPr>
                  <w:rFonts w:ascii="Arial" w:cs="Arial" w:eastAsia="Arial" w:hAnsi="Arial"/>
                  <w:sz w:val="18"/>
                  <w:szCs w:val="18"/>
                  <w:u w:val="single" w:color="auto"/>
                  <w:color w:val="0000EE"/>
                  <w:w w:val="94"/>
                </w:rPr>
                <w:t>18, 2009 by and between the Company and Eli Lilly and Company (incorporated by reference to Exhibit</w:t>
              </w:r>
            </w:hyperlink>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gridSpan w:val="30"/>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10.1 to the Company’s Quarterly Report on Form 10-Q for the quarter ended June 30, 2020).</w:t>
              </w:r>
            </w:hyperlink>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10.15†</w:t>
            </w:r>
          </w:p>
        </w:tc>
        <w:tc>
          <w:tcPr>
            <w:tcW w:w="7640" w:type="dxa"/>
            <w:vAlign w:val="bottom"/>
            <w:tcBorders>
              <w:bottom w:val="single" w:sz="8" w:color="0000EE"/>
            </w:tcBorders>
            <w:gridSpan w:val="27"/>
          </w:tcPr>
          <w:p>
            <w:pPr>
              <w:spacing w:after="0" w:line="190"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License, Development and Commercialization Agreement, dated as of January 9, 2015, by and among the</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w w:val="99"/>
              </w:rPr>
            </w:pPr>
            <w:hyperlink r:id="rId168">
              <w:r>
                <w:rPr>
                  <w:rFonts w:ascii="Arial" w:cs="Arial" w:eastAsia="Arial" w:hAnsi="Arial"/>
                  <w:sz w:val="18"/>
                  <w:szCs w:val="18"/>
                  <w:color w:val="0000EE"/>
                  <w:w w:val="99"/>
                </w:rPr>
                <w:t>Company, Incyte Europe S.à.r.l. (a wholly owned subsidiary of the Company), Agenus Inc. and 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6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Antibody AG (incorporated by reference to Exhibit 10.1 to the Company’s Quarterly Report on Form 10-</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Q for the quarter ended March 31, 2015).</w:t>
              </w:r>
            </w:hyperlink>
          </w:p>
        </w:tc>
        <w:tc>
          <w:tcPr>
            <w:tcW w:w="47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10.15.1†</w:t>
            </w:r>
          </w:p>
        </w:tc>
        <w:tc>
          <w:tcPr>
            <w:tcW w:w="71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First Amendment, dated as of February 14, 2017, to License, Development and Commercialization</w:t>
              </w:r>
            </w:hyperlink>
          </w:p>
        </w:tc>
        <w:tc>
          <w:tcPr>
            <w:tcW w:w="6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w w:val="96"/>
              </w:rPr>
            </w:pPr>
            <w:hyperlink r:id="rId169">
              <w:r>
                <w:rPr>
                  <w:rFonts w:ascii="Arial" w:cs="Arial" w:eastAsia="Arial" w:hAnsi="Arial"/>
                  <w:sz w:val="18"/>
                  <w:szCs w:val="18"/>
                  <w:color w:val="0000EE"/>
                  <w:w w:val="96"/>
                </w:rPr>
                <w:t>Agreement entered into as of January 9, 2015, by and among the Company, Incyte Europe S.à.r.l. (a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4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wholly owned subsidiary of the Company), Agenus Inc. and Agenus Switzerland Inc. (f/k/a 4-Antibody</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760" w:type="dxa"/>
            <w:vAlign w:val="bottom"/>
            <w:gridSpan w:val="30"/>
          </w:tcPr>
          <w:p>
            <w:pPr>
              <w:spacing w:after="0"/>
              <w:rPr>
                <w:rFonts w:ascii="Arial" w:cs="Arial" w:eastAsia="Arial" w:hAnsi="Arial"/>
                <w:sz w:val="18"/>
                <w:szCs w:val="18"/>
                <w:u w:val="single" w:color="auto"/>
                <w:color w:val="0000EE"/>
                <w:w w:val="94"/>
              </w:rPr>
            </w:pPr>
            <w:hyperlink r:id="rId169">
              <w:r>
                <w:rPr>
                  <w:rFonts w:ascii="Arial" w:cs="Arial" w:eastAsia="Arial" w:hAnsi="Arial"/>
                  <w:sz w:val="18"/>
                  <w:szCs w:val="18"/>
                  <w:u w:val="single" w:color="auto"/>
                  <w:color w:val="0000EE"/>
                  <w:w w:val="94"/>
                </w:rPr>
                <w:t>AG) (incorporated by reference to Exhibit 10.1 to the Company's Quarterly Report on Form 10-Q for the</w:t>
              </w:r>
            </w:hyperlink>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gridSpan w:val="30"/>
          </w:tcPr>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quarter ended March 31, 2017).</w:t>
              </w:r>
            </w:hyperlink>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10.16†</w:t>
            </w:r>
          </w:p>
        </w:tc>
        <w:tc>
          <w:tcPr>
            <w:tcW w:w="6820" w:type="dxa"/>
            <w:vAlign w:val="bottom"/>
            <w:tcBorders>
              <w:bottom w:val="single" w:sz="8" w:color="0000EE"/>
            </w:tcBorders>
            <w:gridSpan w:val="9"/>
          </w:tcPr>
          <w:p>
            <w:pPr>
              <w:spacing w:after="0" w:line="190"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Amended and Restated Buy-In License Agreement, dated as of June 1, 2016, between ARIAD</w:t>
              </w:r>
            </w:hyperlink>
          </w:p>
        </w:tc>
        <w:tc>
          <w:tcPr>
            <w:tcW w:w="94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Pharmaceuticals, Inc., ARIAD Pharmaceuticals (Europe) S.à.r.l. and the Company, as guarantor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w w:val="99"/>
              </w:rPr>
            </w:pPr>
            <w:hyperlink r:id="rId170">
              <w:r>
                <w:rPr>
                  <w:rFonts w:ascii="Arial" w:cs="Arial" w:eastAsia="Arial" w:hAnsi="Arial"/>
                  <w:sz w:val="18"/>
                  <w:szCs w:val="18"/>
                  <w:color w:val="0000EE"/>
                  <w:w w:val="99"/>
                </w:rPr>
                <w:t>(incorporated by reference to Exhibit 10.3 to Amendment No. 1 on Form 10-Q/A to the Company’s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Quarterly Report on Form 10-Q for the quarter ended June 30, 2016).</w:t>
              </w:r>
            </w:hyperlink>
          </w:p>
        </w:tc>
        <w:tc>
          <w:tcPr>
            <w:tcW w:w="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10.17†</w:t>
            </w:r>
          </w:p>
        </w:tc>
        <w:tc>
          <w:tcPr>
            <w:tcW w:w="72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Collaboration and License Agreement, dated December 20, 2016, by and between the Company and</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71">
              <w:r>
                <w:rPr>
                  <w:rFonts w:ascii="Arial" w:cs="Arial" w:eastAsia="Arial" w:hAnsi="Arial"/>
                  <w:sz w:val="18"/>
                  <w:szCs w:val="18"/>
                  <w:color w:val="0000EE"/>
                  <w:w w:val="93"/>
                </w:rPr>
                <w:t>Merus N.V. (incorporated by reference to Exhibit 10.27 to Amendment No. 2 on Form 10-K/A to the</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Company’s Annual Report on Form 10-K for the year ended December 31, 2016).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10.18†</w:t>
            </w:r>
          </w:p>
        </w:tc>
        <w:tc>
          <w:tcPr>
            <w:tcW w:w="76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Global Collaboration and License Agreement, dated October 24, 2017, by and between the Company and</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w w:val="93"/>
              </w:rPr>
            </w:pPr>
            <w:hyperlink r:id="rId172">
              <w:r>
                <w:rPr>
                  <w:rFonts w:ascii="Arial" w:cs="Arial" w:eastAsia="Arial" w:hAnsi="Arial"/>
                  <w:sz w:val="18"/>
                  <w:szCs w:val="18"/>
                  <w:color w:val="0000EE"/>
                  <w:w w:val="93"/>
                </w:rPr>
                <w:t>MacroGenics, Inc. (incorporated by reference to Exhibit 10.23 to the Company's Annual Report on Form</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10-K for the year ended December 31, 2017).</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10.18.1†</w:t>
            </w:r>
          </w:p>
        </w:tc>
        <w:tc>
          <w:tcPr>
            <w:tcW w:w="74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Amendment No. 1, dated as of March 15, 2018, to Global Collaboration and License Agreement, dated</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October 24, 2017, by and between the Company and MacroGenics, Inc. (incorporated by reference to</w:t>
              </w:r>
            </w:hyperlink>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760" w:type="dxa"/>
            <w:vAlign w:val="bottom"/>
            <w:gridSpan w:val="30"/>
          </w:tcPr>
          <w:p>
            <w:pPr>
              <w:spacing w:after="0"/>
              <w:rPr>
                <w:rFonts w:ascii="Arial" w:cs="Arial" w:eastAsia="Arial" w:hAnsi="Arial"/>
                <w:sz w:val="18"/>
                <w:szCs w:val="18"/>
                <w:u w:val="single" w:color="auto"/>
                <w:color w:val="0000EE"/>
                <w:w w:val="95"/>
              </w:rPr>
            </w:pPr>
            <w:hyperlink r:id="rId173">
              <w:r>
                <w:rPr>
                  <w:rFonts w:ascii="Arial" w:cs="Arial" w:eastAsia="Arial" w:hAnsi="Arial"/>
                  <w:sz w:val="18"/>
                  <w:szCs w:val="18"/>
                  <w:u w:val="single" w:color="auto"/>
                  <w:color w:val="0000EE"/>
                  <w:w w:val="95"/>
                </w:rPr>
                <w:t>Exhibit 10.1 to the Company's Quarterly Report on Form 10-Q for the quarter ended March 31, 2018).</w:t>
              </w:r>
            </w:hyperlink>
          </w:p>
        </w:tc>
        <w:tc>
          <w:tcPr>
            <w:tcW w:w="0" w:type="dxa"/>
            <w:vAlign w:val="bottom"/>
          </w:tcPr>
          <w:p>
            <w:pPr>
              <w:spacing w:after="0"/>
              <w:rPr>
                <w:sz w:val="1"/>
                <w:szCs w:val="1"/>
                <w:color w:val="auto"/>
              </w:rPr>
            </w:pPr>
          </w:p>
        </w:tc>
      </w:tr>
      <w:tr>
        <w:trPr>
          <w:trHeight w:val="190"/>
        </w:trPr>
        <w:tc>
          <w:tcPr>
            <w:tcW w:w="1160" w:type="dxa"/>
            <w:vAlign w:val="bottom"/>
          </w:tcPr>
          <w:p>
            <w:pPr>
              <w:ind w:left="80"/>
              <w:spacing w:after="0" w:line="190" w:lineRule="exact"/>
              <w:rPr>
                <w:sz w:val="20"/>
                <w:szCs w:val="20"/>
                <w:color w:val="auto"/>
              </w:rPr>
            </w:pPr>
            <w:r>
              <w:rPr>
                <w:rFonts w:ascii="Arial" w:cs="Arial" w:eastAsia="Arial" w:hAnsi="Arial"/>
                <w:sz w:val="18"/>
                <w:szCs w:val="18"/>
                <w:color w:val="auto"/>
              </w:rPr>
              <w:t>10.19††</w:t>
            </w:r>
          </w:p>
        </w:tc>
        <w:tc>
          <w:tcPr>
            <w:tcW w:w="7760" w:type="dxa"/>
            <w:vAlign w:val="bottom"/>
            <w:gridSpan w:val="30"/>
          </w:tcPr>
          <w:p>
            <w:pPr>
              <w:spacing w:after="0" w:line="190"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Collaboration and License Agreement entered into as of January 12, 2020 by and among the Company,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2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MorphoSys AG and MorphoSys US Inc. (incorporated by reference to Exhibit 10.1 to the Company’s</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Quarterly Report on Form 10-Q for the quarter ended March 31, 2020).</w:t>
              </w:r>
            </w:hyperlink>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20" w:type="dxa"/>
            <w:vAlign w:val="bottom"/>
            <w:gridSpan w:val="1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10.19.1††*</w:t>
            </w:r>
          </w:p>
        </w:tc>
        <w:tc>
          <w:tcPr>
            <w:tcW w:w="7760" w:type="dxa"/>
            <w:vAlign w:val="bottom"/>
            <w:gridSpan w:val="30"/>
          </w:tcPr>
          <w:p>
            <w:pPr>
              <w:spacing w:after="0" w:line="196" w:lineRule="exact"/>
              <w:rPr>
                <w:rFonts w:ascii="Arial" w:cs="Arial" w:eastAsia="Arial" w:hAnsi="Arial"/>
                <w:sz w:val="18"/>
                <w:szCs w:val="18"/>
                <w:color w:val="0000EE"/>
                <w:w w:val="93"/>
              </w:rPr>
            </w:pPr>
            <w:hyperlink w:anchor="page139">
              <w:r>
                <w:rPr>
                  <w:rFonts w:ascii="Arial" w:cs="Arial" w:eastAsia="Arial" w:hAnsi="Arial"/>
                  <w:sz w:val="18"/>
                  <w:szCs w:val="18"/>
                  <w:color w:val="0000EE"/>
                  <w:w w:val="93"/>
                </w:rPr>
                <w:t>First Amendment, dated as of July 17, 2020, to Collaboration and License Agreement entered into as of</w:t>
              </w:r>
            </w:hyperlink>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46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January 12, 2020 by and among the Company, MorphoSys AG and MorphoSys US Inc.</w:t>
              </w:r>
            </w:hyperlink>
          </w:p>
        </w:tc>
        <w:tc>
          <w:tcPr>
            <w:tcW w:w="3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10.20</w:t>
            </w:r>
          </w:p>
        </w:tc>
        <w:tc>
          <w:tcPr>
            <w:tcW w:w="7700" w:type="dxa"/>
            <w:vAlign w:val="bottom"/>
            <w:tcBorders>
              <w:bottom w:val="single" w:sz="8" w:color="0000EE"/>
            </w:tcBorders>
            <w:gridSpan w:val="29"/>
          </w:tcPr>
          <w:p>
            <w:pPr>
              <w:spacing w:after="0" w:line="190"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Registration Rights Agreement, dated as of February 12, 2016, between the Company and 667, L.P., Baker</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0"/>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Brothers Life Sciences, L.P. and 14159, L.P. (incorporated by reference to Exhibit 10.28 to the Company’s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Annual Report on Form 10-K for the year ended December 31, 2015).</w:t>
              </w:r>
            </w:hyperlink>
          </w:p>
        </w:tc>
        <w:tc>
          <w:tcPr>
            <w:tcW w:w="2600" w:type="dxa"/>
            <w:vAlign w:val="bottom"/>
            <w:tcBorders>
              <w:top w:val="single" w:sz="8" w:color="0000EE"/>
            </w:tcBorders>
            <w:gridSpan w:val="23"/>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ind w:left="120"/>
              <w:spacing w:after="0"/>
              <w:rPr>
                <w:sz w:val="20"/>
                <w:szCs w:val="20"/>
                <w:color w:val="auto"/>
              </w:rPr>
            </w:pPr>
            <w:r>
              <w:rPr>
                <w:rFonts w:ascii="Arial" w:cs="Arial" w:eastAsia="Arial" w:hAnsi="Arial"/>
                <w:sz w:val="18"/>
                <w:szCs w:val="18"/>
                <w:color w:val="auto"/>
              </w:rPr>
              <w:t>21.1*</w:t>
            </w:r>
          </w:p>
        </w:tc>
        <w:tc>
          <w:tcPr>
            <w:tcW w:w="7760" w:type="dxa"/>
            <w:vAlign w:val="bottom"/>
            <w:gridSpan w:val="30"/>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Subsidiaries of the Company.</w:t>
              </w:r>
            </w:hyperlink>
          </w:p>
        </w:tc>
        <w:tc>
          <w:tcPr>
            <w:tcW w:w="0" w:type="dxa"/>
            <w:vAlign w:val="bottom"/>
          </w:tcPr>
          <w:p>
            <w:pPr>
              <w:spacing w:after="0"/>
              <w:rPr>
                <w:sz w:val="1"/>
                <w:szCs w:val="1"/>
                <w:color w:val="auto"/>
              </w:rPr>
            </w:pPr>
          </w:p>
        </w:tc>
      </w:tr>
      <w:tr>
        <w:trPr>
          <w:trHeight w:val="216"/>
        </w:trPr>
        <w:tc>
          <w:tcPr>
            <w:tcW w:w="1160" w:type="dxa"/>
            <w:vAlign w:val="bottom"/>
          </w:tcPr>
          <w:p>
            <w:pPr>
              <w:ind w:left="120"/>
              <w:spacing w:after="0"/>
              <w:rPr>
                <w:sz w:val="20"/>
                <w:szCs w:val="20"/>
                <w:color w:val="auto"/>
              </w:rPr>
            </w:pPr>
            <w:r>
              <w:rPr>
                <w:rFonts w:ascii="Arial" w:cs="Arial" w:eastAsia="Arial" w:hAnsi="Arial"/>
                <w:sz w:val="18"/>
                <w:szCs w:val="18"/>
                <w:color w:val="auto"/>
              </w:rPr>
              <w:t>23.1*</w:t>
            </w:r>
          </w:p>
        </w:tc>
        <w:tc>
          <w:tcPr>
            <w:tcW w:w="7760" w:type="dxa"/>
            <w:vAlign w:val="bottom"/>
            <w:gridSpan w:val="30"/>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16"/>
        </w:trPr>
        <w:tc>
          <w:tcPr>
            <w:tcW w:w="1160" w:type="dxa"/>
            <w:vAlign w:val="bottom"/>
          </w:tcPr>
          <w:p>
            <w:pPr>
              <w:ind w:left="120"/>
              <w:spacing w:after="0"/>
              <w:rPr>
                <w:sz w:val="20"/>
                <w:szCs w:val="20"/>
                <w:color w:val="auto"/>
              </w:rPr>
            </w:pPr>
            <w:r>
              <w:rPr>
                <w:rFonts w:ascii="Arial" w:cs="Arial" w:eastAsia="Arial" w:hAnsi="Arial"/>
                <w:sz w:val="18"/>
                <w:szCs w:val="18"/>
                <w:color w:val="auto"/>
              </w:rPr>
              <w:t>24.1*</w:t>
            </w:r>
          </w:p>
        </w:tc>
        <w:tc>
          <w:tcPr>
            <w:tcW w:w="7760" w:type="dxa"/>
            <w:vAlign w:val="bottom"/>
            <w:gridSpan w:val="30"/>
          </w:tcPr>
          <w:p>
            <w:pPr>
              <w:spacing w:after="0"/>
              <w:rPr>
                <w:rFonts w:ascii="Arial" w:cs="Arial" w:eastAsia="Arial" w:hAnsi="Arial"/>
                <w:sz w:val="18"/>
                <w:szCs w:val="18"/>
                <w:color w:val="0000EE"/>
              </w:rPr>
            </w:pPr>
            <w:hyperlink w:anchor="page129">
              <w:r>
                <w:rPr>
                  <w:rFonts w:ascii="Arial" w:cs="Arial" w:eastAsia="Arial" w:hAnsi="Arial"/>
                  <w:sz w:val="18"/>
                  <w:szCs w:val="18"/>
                  <w:u w:val="single" w:color="auto"/>
                  <w:color w:val="0000EE"/>
                </w:rPr>
                <w:t>Power of Attorney</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6"/>
        </w:trPr>
        <w:tc>
          <w:tcPr>
            <w:tcW w:w="1160" w:type="dxa"/>
            <w:vAlign w:val="bottom"/>
          </w:tcPr>
          <w:p>
            <w:pPr>
              <w:ind w:left="120"/>
              <w:spacing w:after="0"/>
              <w:rPr>
                <w:sz w:val="20"/>
                <w:szCs w:val="20"/>
                <w:color w:val="auto"/>
              </w:rPr>
            </w:pPr>
            <w:r>
              <w:rPr>
                <w:rFonts w:ascii="Arial" w:cs="Arial" w:eastAsia="Arial" w:hAnsi="Arial"/>
                <w:sz w:val="18"/>
                <w:szCs w:val="18"/>
                <w:color w:val="auto"/>
              </w:rPr>
              <w:t>31.1*</w:t>
            </w:r>
          </w:p>
        </w:tc>
        <w:tc>
          <w:tcPr>
            <w:tcW w:w="7760" w:type="dxa"/>
            <w:vAlign w:val="bottom"/>
            <w:gridSpan w:val="30"/>
          </w:tcPr>
          <w:p>
            <w:pPr>
              <w:spacing w:after="0"/>
              <w:rPr>
                <w:rFonts w:ascii="Arial" w:cs="Arial" w:eastAsia="Arial" w:hAnsi="Arial"/>
                <w:sz w:val="18"/>
                <w:szCs w:val="18"/>
                <w:color w:val="0000EE"/>
              </w:rPr>
            </w:pPr>
            <w:hyperlink w:anchor="page144">
              <w:r>
                <w:rPr>
                  <w:rFonts w:ascii="Arial" w:cs="Arial" w:eastAsia="Arial" w:hAnsi="Arial"/>
                  <w:sz w:val="18"/>
                  <w:szCs w:val="18"/>
                  <w:u w:val="single" w:color="auto"/>
                  <w:color w:val="0000EE"/>
                </w:rPr>
                <w:t>Rule 13a 14(a) Certification of the Chief Executive Officer</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6"/>
        </w:trPr>
        <w:tc>
          <w:tcPr>
            <w:tcW w:w="1160" w:type="dxa"/>
            <w:vAlign w:val="bottom"/>
          </w:tcPr>
          <w:p>
            <w:pPr>
              <w:ind w:left="120"/>
              <w:spacing w:after="0"/>
              <w:rPr>
                <w:sz w:val="20"/>
                <w:szCs w:val="20"/>
                <w:color w:val="auto"/>
              </w:rPr>
            </w:pPr>
            <w:r>
              <w:rPr>
                <w:rFonts w:ascii="Arial" w:cs="Arial" w:eastAsia="Arial" w:hAnsi="Arial"/>
                <w:sz w:val="18"/>
                <w:szCs w:val="18"/>
                <w:color w:val="auto"/>
              </w:rPr>
              <w:t>31.2*</w:t>
            </w:r>
          </w:p>
        </w:tc>
        <w:tc>
          <w:tcPr>
            <w:tcW w:w="7760" w:type="dxa"/>
            <w:vAlign w:val="bottom"/>
            <w:gridSpan w:val="30"/>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Rule 13a 14(a) Certification of the Chief Financial Officer.</w:t>
              </w:r>
            </w:hyperlink>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32.1**</w:t>
            </w:r>
          </w:p>
        </w:tc>
        <w:tc>
          <w:tcPr>
            <w:tcW w:w="7760" w:type="dxa"/>
            <w:vAlign w:val="bottom"/>
            <w:gridSpan w:val="30"/>
          </w:tcPr>
          <w:p>
            <w:pPr>
              <w:spacing w:after="0" w:line="190" w:lineRule="exact"/>
              <w:rPr>
                <w:rFonts w:ascii="Arial" w:cs="Arial" w:eastAsia="Arial" w:hAnsi="Arial"/>
                <w:sz w:val="18"/>
                <w:szCs w:val="18"/>
                <w:color w:val="0000EE"/>
                <w:w w:val="92"/>
              </w:rPr>
            </w:pPr>
            <w:hyperlink w:anchor="page146">
              <w:r>
                <w:rPr>
                  <w:rFonts w:ascii="Arial" w:cs="Arial" w:eastAsia="Arial" w:hAnsi="Arial"/>
                  <w:sz w:val="18"/>
                  <w:szCs w:val="18"/>
                  <w:color w:val="0000EE"/>
                  <w:w w:val="92"/>
                </w:rPr>
                <w:t>Statement of the Chief Executive Officer under Section 906 of the Sarbanes Oxley Act of 2002 (18 U.S.C</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Section 1350).</w:t>
              </w:r>
            </w:hyperlink>
          </w:p>
        </w:tc>
        <w:tc>
          <w:tcPr>
            <w:tcW w:w="6560" w:type="dxa"/>
            <w:vAlign w:val="bottom"/>
            <w:tcBorders>
              <w:top w:val="single" w:sz="8" w:color="0000EE"/>
            </w:tcBorders>
            <w:gridSpan w:val="25"/>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32.2**</w:t>
            </w:r>
          </w:p>
        </w:tc>
        <w:tc>
          <w:tcPr>
            <w:tcW w:w="75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Statement of the Chief Financial Officer under Section 906 of the Sarbanes Oxley Act of 2002 (18 U.S.C</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Section 1350).</w:t>
              </w:r>
            </w:hyperlink>
          </w:p>
        </w:tc>
        <w:tc>
          <w:tcPr>
            <w:tcW w:w="67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ind w:left="80"/>
              <w:spacing w:after="0"/>
              <w:rPr>
                <w:sz w:val="20"/>
                <w:szCs w:val="20"/>
                <w:color w:val="auto"/>
              </w:rPr>
            </w:pPr>
            <w:r>
              <w:rPr>
                <w:rFonts w:ascii="Arial" w:cs="Arial" w:eastAsia="Arial" w:hAnsi="Arial"/>
                <w:sz w:val="18"/>
                <w:szCs w:val="18"/>
                <w:color w:val="auto"/>
              </w:rPr>
              <w:t>101</w:t>
            </w:r>
          </w:p>
        </w:tc>
        <w:tc>
          <w:tcPr>
            <w:tcW w:w="7760" w:type="dxa"/>
            <w:vAlign w:val="bottom"/>
            <w:gridSpan w:val="30"/>
          </w:tcPr>
          <w:p>
            <w:pPr>
              <w:spacing w:after="0"/>
              <w:rPr>
                <w:sz w:val="20"/>
                <w:szCs w:val="20"/>
                <w:color w:val="auto"/>
              </w:rPr>
            </w:pPr>
            <w:r>
              <w:rPr>
                <w:rFonts w:ascii="Arial" w:cs="Arial" w:eastAsia="Arial" w:hAnsi="Arial"/>
                <w:sz w:val="18"/>
                <w:szCs w:val="18"/>
                <w:color w:val="auto"/>
                <w:w w:val="94"/>
              </w:rPr>
              <w:t>XBRL Instance – the instance document does not appear in the Interactive Data File because its XBRL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16"/>
        </w:trPr>
        <w:tc>
          <w:tcPr>
            <w:tcW w:w="1160" w:type="dxa"/>
            <w:vAlign w:val="bottom"/>
          </w:tcPr>
          <w:p>
            <w:pPr>
              <w:ind w:left="80"/>
              <w:spacing w:after="0"/>
              <w:rPr>
                <w:sz w:val="20"/>
                <w:szCs w:val="20"/>
                <w:color w:val="auto"/>
              </w:rPr>
            </w:pPr>
            <w:r>
              <w:rPr>
                <w:rFonts w:ascii="Arial" w:cs="Arial" w:eastAsia="Arial" w:hAnsi="Arial"/>
                <w:sz w:val="18"/>
                <w:szCs w:val="18"/>
                <w:color w:val="auto"/>
              </w:rPr>
              <w:t>101.INS*</w:t>
            </w:r>
          </w:p>
        </w:tc>
        <w:tc>
          <w:tcPr>
            <w:tcW w:w="7760" w:type="dxa"/>
            <w:vAlign w:val="bottom"/>
            <w:gridSpan w:val="3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160" w:type="dxa"/>
            <w:vAlign w:val="bottom"/>
          </w:tcPr>
          <w:p>
            <w:pPr>
              <w:ind w:left="80"/>
              <w:spacing w:after="0"/>
              <w:rPr>
                <w:sz w:val="20"/>
                <w:szCs w:val="20"/>
                <w:color w:val="auto"/>
              </w:rPr>
            </w:pPr>
            <w:r>
              <w:rPr>
                <w:rFonts w:ascii="Arial" w:cs="Arial" w:eastAsia="Arial" w:hAnsi="Arial"/>
                <w:sz w:val="18"/>
                <w:szCs w:val="18"/>
                <w:color w:val="auto"/>
              </w:rPr>
              <w:t>101.SCH*</w:t>
            </w:r>
          </w:p>
        </w:tc>
        <w:tc>
          <w:tcPr>
            <w:tcW w:w="776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792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7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80"/>
              <w:spacing w:after="0" w:line="195" w:lineRule="exact"/>
              <w:rPr>
                <w:sz w:val="20"/>
                <w:szCs w:val="20"/>
                <w:color w:val="auto"/>
              </w:rPr>
            </w:pPr>
            <w:r>
              <w:rPr>
                <w:rFonts w:ascii="Arial" w:cs="Arial" w:eastAsia="Arial" w:hAnsi="Arial"/>
                <w:sz w:val="18"/>
                <w:szCs w:val="18"/>
                <w:color w:val="auto"/>
              </w:rPr>
              <w:t>101.CAL*</w:t>
            </w:r>
          </w:p>
        </w:tc>
        <w:tc>
          <w:tcPr>
            <w:tcW w:w="7920" w:type="dxa"/>
            <w:vAlign w:val="bottom"/>
          </w:tcPr>
          <w:p>
            <w:pPr>
              <w:ind w:left="160"/>
              <w:spacing w:after="0" w:line="195"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00" w:type="dxa"/>
            <w:vAlign w:val="bottom"/>
          </w:tcPr>
          <w:p>
            <w:pPr>
              <w:ind w:left="80"/>
              <w:spacing w:after="0"/>
              <w:rPr>
                <w:sz w:val="20"/>
                <w:szCs w:val="20"/>
                <w:color w:val="auto"/>
              </w:rPr>
            </w:pPr>
            <w:r>
              <w:rPr>
                <w:rFonts w:ascii="Arial" w:cs="Arial" w:eastAsia="Arial" w:hAnsi="Arial"/>
                <w:sz w:val="18"/>
                <w:szCs w:val="18"/>
                <w:color w:val="auto"/>
              </w:rPr>
              <w:t>101.LAB*</w:t>
            </w:r>
          </w:p>
        </w:tc>
        <w:tc>
          <w:tcPr>
            <w:tcW w:w="792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1000" w:type="dxa"/>
            <w:vAlign w:val="bottom"/>
          </w:tcPr>
          <w:p>
            <w:pPr>
              <w:ind w:left="80"/>
              <w:spacing w:after="0"/>
              <w:rPr>
                <w:sz w:val="20"/>
                <w:szCs w:val="20"/>
                <w:color w:val="auto"/>
              </w:rPr>
            </w:pPr>
            <w:r>
              <w:rPr>
                <w:rFonts w:ascii="Arial" w:cs="Arial" w:eastAsia="Arial" w:hAnsi="Arial"/>
                <w:sz w:val="18"/>
                <w:szCs w:val="18"/>
                <w:color w:val="auto"/>
              </w:rPr>
              <w:t>101.PRE*</w:t>
            </w:r>
          </w:p>
        </w:tc>
        <w:tc>
          <w:tcPr>
            <w:tcW w:w="7920" w:type="dxa"/>
            <w:vAlign w:val="bottom"/>
          </w:tcPr>
          <w:p>
            <w:pPr>
              <w:ind w:left="160"/>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230"/>
        </w:trPr>
        <w:tc>
          <w:tcPr>
            <w:tcW w:w="1000" w:type="dxa"/>
            <w:vAlign w:val="bottom"/>
          </w:tcPr>
          <w:p>
            <w:pPr>
              <w:ind w:left="80"/>
              <w:spacing w:after="0"/>
              <w:rPr>
                <w:sz w:val="20"/>
                <w:szCs w:val="20"/>
                <w:color w:val="auto"/>
              </w:rPr>
            </w:pPr>
            <w:r>
              <w:rPr>
                <w:rFonts w:ascii="Arial" w:cs="Arial" w:eastAsia="Arial" w:hAnsi="Arial"/>
                <w:sz w:val="18"/>
                <w:szCs w:val="18"/>
                <w:color w:val="auto"/>
              </w:rPr>
              <w:t>101.DEF*</w:t>
            </w:r>
          </w:p>
        </w:tc>
        <w:tc>
          <w:tcPr>
            <w:tcW w:w="7920" w:type="dxa"/>
            <w:vAlign w:val="bottom"/>
          </w:tcPr>
          <w:p>
            <w:pPr>
              <w:ind w:left="160"/>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ind w:left="1200" w:hanging="1086"/>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17" w:lineRule="exact"/>
        <w:rPr>
          <w:rFonts w:ascii="Arial" w:cs="Arial" w:eastAsia="Arial" w:hAnsi="Arial"/>
          <w:sz w:val="18"/>
          <w:szCs w:val="18"/>
          <w:color w:val="auto"/>
        </w:rPr>
      </w:pPr>
    </w:p>
    <w:p>
      <w:pPr>
        <w:jc w:val="both"/>
        <w:ind w:left="700" w:right="79" w:hanging="656"/>
        <w:spacing w:after="0" w:line="273" w:lineRule="auto"/>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-1111885</wp:posOffset>
            </wp:positionV>
            <wp:extent cx="14141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50" w:lineRule="exact"/>
        <w:rPr>
          <w:sz w:val="20"/>
          <w:szCs w:val="20"/>
          <w:color w:val="auto"/>
        </w:rPr>
      </w:pPr>
    </w:p>
    <w:p>
      <w:pPr>
        <w:ind w:left="700" w:hanging="6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these agreements.</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have been omitted pursuant to Item 601(b)(10)(iv) of Regulation S-K.</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 or arrangement.</w:t>
      </w:r>
    </w:p>
    <w:p>
      <w:pPr>
        <w:spacing w:after="0" w:line="225"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Copies of above exhibits not contained herein are available to any stockholder upon written request to: Investor Relations, Incyte Corporation, 1801 Augustine Cut-Off, Wilmington, DE 19803.</w:t>
      </w:r>
    </w:p>
    <w:p>
      <w:pPr>
        <w:spacing w:after="0" w:line="166" w:lineRule="exact"/>
        <w:rPr>
          <w:sz w:val="20"/>
          <w:szCs w:val="20"/>
          <w:color w:val="auto"/>
        </w:rPr>
      </w:pPr>
    </w:p>
    <w:p>
      <w:pPr>
        <w:ind w:left="700" w:right="5279" w:hanging="656"/>
        <w:spacing w:after="0" w:line="563" w:lineRule="auto"/>
        <w:tabs>
          <w:tab w:leader="none" w:pos="70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and Schedules </w:t>
      </w:r>
      <w:r>
        <w:rPr>
          <w:rFonts w:ascii="Arial" w:cs="Arial" w:eastAsia="Arial" w:hAnsi="Arial"/>
          <w:sz w:val="16"/>
          <w:szCs w:val="16"/>
          <w:color w:val="auto"/>
        </w:rPr>
        <w:t>Reference is made to Item 15(a)(2) above.</w:t>
      </w:r>
    </w:p>
    <w:p>
      <w:pPr>
        <w:spacing w:after="0" w:line="1" w:lineRule="exact"/>
        <w:rPr>
          <w:sz w:val="20"/>
          <w:szCs w:val="20"/>
          <w:color w:val="auto"/>
        </w:rPr>
      </w:pPr>
    </w:p>
    <w:p>
      <w:pPr>
        <w:jc w:val="center"/>
        <w:ind w:right="6579"/>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Form 10-K Summary.</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INCYTE CORPORATION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5715</wp:posOffset>
            </wp:positionV>
            <wp:extent cx="24085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Hervé Hoppenot</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6"/>
          <w:szCs w:val="16"/>
          <w:i w:val="1"/>
          <w:iCs w:val="1"/>
          <w:color w:val="auto"/>
        </w:rPr>
        <w:t>Chairman, President, and Chief Executive Officer</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Hervé Hoppenot, Christiana Stamoulis, and Maria E. Pasquale, and each of them, his true and lawful attorneys-in-fact, each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14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4"/>
              </w:rPr>
              <w:t>/s/ H</w:t>
            </w:r>
            <w:r>
              <w:rPr>
                <w:rFonts w:ascii="Arial" w:cs="Arial" w:eastAsia="Arial" w:hAnsi="Arial"/>
                <w:sz w:val="12"/>
                <w:szCs w:val="12"/>
                <w:color w:val="auto"/>
                <w:w w:val="94"/>
              </w:rPr>
              <w:t>ERVÉ</w:t>
            </w:r>
            <w:r>
              <w:rPr>
                <w:rFonts w:ascii="Arial" w:cs="Arial" w:eastAsia="Arial" w:hAnsi="Arial"/>
                <w:sz w:val="18"/>
                <w:szCs w:val="18"/>
                <w:color w:val="auto"/>
                <w:w w:val="94"/>
              </w:rPr>
              <w:t xml:space="preserve"> H</w:t>
            </w:r>
            <w:r>
              <w:rPr>
                <w:rFonts w:ascii="Arial" w:cs="Arial" w:eastAsia="Arial" w:hAnsi="Arial"/>
                <w:sz w:val="12"/>
                <w:szCs w:val="12"/>
                <w:color w:val="auto"/>
                <w:w w:val="94"/>
              </w:rPr>
              <w:t>OPPENOT</w:t>
            </w:r>
          </w:p>
        </w:tc>
        <w:tc>
          <w:tcPr>
            <w:tcW w:w="60" w:type="dxa"/>
            <w:vAlign w:val="bottom"/>
          </w:tcPr>
          <w:p>
            <w:pPr>
              <w:spacing w:after="0"/>
              <w:rPr>
                <w:sz w:val="10"/>
                <w:szCs w:val="10"/>
                <w:color w:val="auto"/>
              </w:rPr>
            </w:pPr>
          </w:p>
        </w:tc>
        <w:tc>
          <w:tcPr>
            <w:tcW w:w="4340" w:type="dxa"/>
            <w:vAlign w:val="bottom"/>
            <w:gridSpan w:val="2"/>
            <w:vMerge w:val="restart"/>
          </w:tcPr>
          <w:p>
            <w:pPr>
              <w:ind w:left="60"/>
              <w:spacing w:after="0"/>
              <w:rPr>
                <w:sz w:val="20"/>
                <w:szCs w:val="20"/>
                <w:color w:val="auto"/>
              </w:rPr>
            </w:pPr>
            <w:r>
              <w:rPr>
                <w:rFonts w:ascii="Arial" w:cs="Arial" w:eastAsia="Arial" w:hAnsi="Arial"/>
                <w:sz w:val="18"/>
                <w:szCs w:val="18"/>
                <w:color w:val="auto"/>
              </w:rPr>
              <w:t>(Principal Executive Officer) and Director</w:t>
            </w:r>
          </w:p>
        </w:tc>
        <w:tc>
          <w:tcPr>
            <w:tcW w:w="14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Hervé Hoppenot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w:t>
            </w:r>
            <w:r>
              <w:rPr>
                <w:rFonts w:ascii="Arial" w:cs="Arial" w:eastAsia="Arial" w:hAnsi="Arial"/>
                <w:sz w:val="12"/>
                <w:szCs w:val="12"/>
                <w:color w:val="auto"/>
                <w:w w:val="98"/>
              </w:rPr>
              <w:t>HRISTIANA</w:t>
            </w:r>
            <w:r>
              <w:rPr>
                <w:rFonts w:ascii="Arial" w:cs="Arial" w:eastAsia="Arial" w:hAnsi="Arial"/>
                <w:sz w:val="18"/>
                <w:szCs w:val="18"/>
                <w:color w:val="auto"/>
                <w:w w:val="98"/>
              </w:rPr>
              <w:t xml:space="preserve"> S</w:t>
            </w:r>
            <w:r>
              <w:rPr>
                <w:rFonts w:ascii="Arial" w:cs="Arial" w:eastAsia="Arial" w:hAnsi="Arial"/>
                <w:sz w:val="12"/>
                <w:szCs w:val="12"/>
                <w:color w:val="auto"/>
                <w:w w:val="98"/>
              </w:rPr>
              <w:t>TAMOULIS</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Chief Financial Officer (Principal Financial Officer)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Christiana Stamoulis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AUL</w:t>
            </w:r>
            <w:r>
              <w:rPr>
                <w:rFonts w:ascii="Arial" w:cs="Arial" w:eastAsia="Arial" w:hAnsi="Arial"/>
                <w:sz w:val="18"/>
                <w:szCs w:val="18"/>
                <w:color w:val="auto"/>
                <w:w w:val="95"/>
              </w:rPr>
              <w:t xml:space="preserve"> T</w:t>
            </w:r>
            <w:r>
              <w:rPr>
                <w:rFonts w:ascii="Arial" w:cs="Arial" w:eastAsia="Arial" w:hAnsi="Arial"/>
                <w:sz w:val="12"/>
                <w:szCs w:val="12"/>
                <w:color w:val="auto"/>
                <w:w w:val="95"/>
              </w:rPr>
              <w:t>ROWER</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VP, Finance (Principal Accounting Officer)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Paul Trower</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w:t>
            </w:r>
            <w:r>
              <w:rPr>
                <w:rFonts w:ascii="Arial" w:cs="Arial" w:eastAsia="Arial" w:hAnsi="Arial"/>
                <w:sz w:val="12"/>
                <w:szCs w:val="12"/>
                <w:color w:val="auto"/>
                <w:w w:val="97"/>
              </w:rPr>
              <w:t>ULIAN</w:t>
            </w:r>
            <w:r>
              <w:rPr>
                <w:rFonts w:ascii="Arial" w:cs="Arial" w:eastAsia="Arial" w:hAnsi="Arial"/>
                <w:sz w:val="18"/>
                <w:szCs w:val="18"/>
                <w:color w:val="auto"/>
                <w:w w:val="97"/>
              </w:rPr>
              <w:t xml:space="preserve"> C. B</w:t>
            </w:r>
            <w:r>
              <w:rPr>
                <w:rFonts w:ascii="Arial" w:cs="Arial" w:eastAsia="Arial" w:hAnsi="Arial"/>
                <w:sz w:val="12"/>
                <w:szCs w:val="12"/>
                <w:color w:val="auto"/>
                <w:w w:val="97"/>
              </w:rPr>
              <w:t>AKER</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Julian C. Baker</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w:t>
            </w:r>
            <w:r>
              <w:rPr>
                <w:rFonts w:ascii="Arial" w:cs="Arial" w:eastAsia="Arial" w:hAnsi="Arial"/>
                <w:sz w:val="12"/>
                <w:szCs w:val="12"/>
                <w:color w:val="auto"/>
                <w:w w:val="95"/>
              </w:rPr>
              <w:t>EAN</w:t>
            </w:r>
            <w:r>
              <w:rPr>
                <w:rFonts w:ascii="Arial" w:cs="Arial" w:eastAsia="Arial" w:hAnsi="Arial"/>
                <w:sz w:val="18"/>
                <w:szCs w:val="18"/>
                <w:color w:val="auto"/>
                <w:w w:val="95"/>
              </w:rPr>
              <w:t>-J</w:t>
            </w:r>
            <w:r>
              <w:rPr>
                <w:rFonts w:ascii="Arial" w:cs="Arial" w:eastAsia="Arial" w:hAnsi="Arial"/>
                <w:sz w:val="12"/>
                <w:szCs w:val="12"/>
                <w:color w:val="auto"/>
                <w:w w:val="95"/>
              </w:rPr>
              <w:t>ACQUES</w:t>
            </w:r>
            <w:r>
              <w:rPr>
                <w:rFonts w:ascii="Arial" w:cs="Arial" w:eastAsia="Arial" w:hAnsi="Arial"/>
                <w:sz w:val="18"/>
                <w:szCs w:val="18"/>
                <w:color w:val="auto"/>
                <w:w w:val="95"/>
              </w:rPr>
              <w:t xml:space="preserve"> B</w:t>
            </w:r>
            <w:r>
              <w:rPr>
                <w:rFonts w:ascii="Arial" w:cs="Arial" w:eastAsia="Arial" w:hAnsi="Arial"/>
                <w:sz w:val="12"/>
                <w:szCs w:val="12"/>
                <w:color w:val="auto"/>
                <w:w w:val="95"/>
              </w:rPr>
              <w:t>IENAIMÉ</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Jean-Jacques Bienaimé</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AUL</w:t>
            </w:r>
            <w:r>
              <w:rPr>
                <w:rFonts w:ascii="Arial" w:cs="Arial" w:eastAsia="Arial" w:hAnsi="Arial"/>
                <w:sz w:val="18"/>
                <w:szCs w:val="18"/>
                <w:color w:val="auto"/>
                <w:w w:val="95"/>
              </w:rPr>
              <w:t xml:space="preserve"> J. C</w:t>
            </w:r>
            <w:r>
              <w:rPr>
                <w:rFonts w:ascii="Arial" w:cs="Arial" w:eastAsia="Arial" w:hAnsi="Arial"/>
                <w:sz w:val="12"/>
                <w:szCs w:val="12"/>
                <w:color w:val="auto"/>
                <w:w w:val="95"/>
              </w:rPr>
              <w:t>LANCY</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Paul J. Clancy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w:t>
            </w:r>
            <w:r>
              <w:rPr>
                <w:rFonts w:ascii="Arial" w:cs="Arial" w:eastAsia="Arial" w:hAnsi="Arial"/>
                <w:sz w:val="12"/>
                <w:szCs w:val="12"/>
                <w:color w:val="auto"/>
                <w:w w:val="98"/>
              </w:rPr>
              <w:t>ENDY</w:t>
            </w:r>
            <w:r>
              <w:rPr>
                <w:rFonts w:ascii="Arial" w:cs="Arial" w:eastAsia="Arial" w:hAnsi="Arial"/>
                <w:sz w:val="18"/>
                <w:szCs w:val="18"/>
                <w:color w:val="auto"/>
                <w:w w:val="98"/>
              </w:rPr>
              <w:t xml:space="preserve"> L. D</w:t>
            </w:r>
            <w:r>
              <w:rPr>
                <w:rFonts w:ascii="Arial" w:cs="Arial" w:eastAsia="Arial" w:hAnsi="Arial"/>
                <w:sz w:val="12"/>
                <w:szCs w:val="12"/>
                <w:color w:val="auto"/>
                <w:w w:val="98"/>
              </w:rPr>
              <w:t>IXON</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Wendy L. Dixon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w:t>
            </w:r>
            <w:r>
              <w:rPr>
                <w:rFonts w:ascii="Arial" w:cs="Arial" w:eastAsia="Arial" w:hAnsi="Arial"/>
                <w:sz w:val="12"/>
                <w:szCs w:val="12"/>
                <w:color w:val="auto"/>
                <w:w w:val="95"/>
              </w:rPr>
              <w:t>ACQUALYN</w:t>
            </w:r>
            <w:r>
              <w:rPr>
                <w:rFonts w:ascii="Arial" w:cs="Arial" w:eastAsia="Arial" w:hAnsi="Arial"/>
                <w:sz w:val="18"/>
                <w:szCs w:val="18"/>
                <w:color w:val="auto"/>
                <w:w w:val="95"/>
              </w:rPr>
              <w:t xml:space="preserve"> A. F</w:t>
            </w:r>
            <w:r>
              <w:rPr>
                <w:rFonts w:ascii="Arial" w:cs="Arial" w:eastAsia="Arial" w:hAnsi="Arial"/>
                <w:sz w:val="12"/>
                <w:szCs w:val="12"/>
                <w:color w:val="auto"/>
                <w:w w:val="95"/>
              </w:rPr>
              <w:t>OUSE</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Jacqualyn A. Fouse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P</w:t>
            </w:r>
            <w:r>
              <w:rPr>
                <w:rFonts w:ascii="Arial" w:cs="Arial" w:eastAsia="Arial" w:hAnsi="Arial"/>
                <w:sz w:val="12"/>
                <w:szCs w:val="12"/>
                <w:color w:val="auto"/>
                <w:w w:val="98"/>
              </w:rPr>
              <w:t>AUL</w:t>
            </w:r>
            <w:r>
              <w:rPr>
                <w:rFonts w:ascii="Arial" w:cs="Arial" w:eastAsia="Arial" w:hAnsi="Arial"/>
                <w:sz w:val="18"/>
                <w:szCs w:val="18"/>
                <w:color w:val="auto"/>
                <w:w w:val="98"/>
              </w:rPr>
              <w:t xml:space="preserve"> A. F</w:t>
            </w:r>
            <w:r>
              <w:rPr>
                <w:rFonts w:ascii="Arial" w:cs="Arial" w:eastAsia="Arial" w:hAnsi="Arial"/>
                <w:sz w:val="12"/>
                <w:szCs w:val="12"/>
                <w:color w:val="auto"/>
                <w:w w:val="98"/>
              </w:rPr>
              <w:t>RIEDMAN</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Paul A. Friedman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w:t>
            </w:r>
            <w:r>
              <w:rPr>
                <w:rFonts w:ascii="Arial" w:cs="Arial" w:eastAsia="Arial" w:hAnsi="Arial"/>
                <w:sz w:val="12"/>
                <w:szCs w:val="12"/>
                <w:color w:val="auto"/>
                <w:w w:val="95"/>
              </w:rPr>
              <w:t>DMUND</w:t>
            </w:r>
            <w:r>
              <w:rPr>
                <w:rFonts w:ascii="Arial" w:cs="Arial" w:eastAsia="Arial" w:hAnsi="Arial"/>
                <w:sz w:val="18"/>
                <w:szCs w:val="18"/>
                <w:color w:val="auto"/>
                <w:w w:val="95"/>
              </w:rPr>
              <w:t xml:space="preserve"> P. H</w:t>
            </w:r>
            <w:r>
              <w:rPr>
                <w:rFonts w:ascii="Arial" w:cs="Arial" w:eastAsia="Arial" w:hAnsi="Arial"/>
                <w:sz w:val="12"/>
                <w:szCs w:val="12"/>
                <w:color w:val="auto"/>
                <w:w w:val="95"/>
              </w:rPr>
              <w:t>ARRIGAN</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Edmund P. Harrigan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w:t>
            </w:r>
            <w:r>
              <w:rPr>
                <w:rFonts w:ascii="Arial" w:cs="Arial" w:eastAsia="Arial" w:hAnsi="Arial"/>
                <w:sz w:val="12"/>
                <w:szCs w:val="12"/>
                <w:color w:val="auto"/>
                <w:w w:val="97"/>
              </w:rPr>
              <w:t>ATHERINE</w:t>
            </w:r>
            <w:r>
              <w:rPr>
                <w:rFonts w:ascii="Arial" w:cs="Arial" w:eastAsia="Arial" w:hAnsi="Arial"/>
                <w:sz w:val="18"/>
                <w:szCs w:val="18"/>
                <w:color w:val="auto"/>
                <w:w w:val="97"/>
              </w:rPr>
              <w:t xml:space="preserve"> A. H</w:t>
            </w:r>
            <w:r>
              <w:rPr>
                <w:rFonts w:ascii="Arial" w:cs="Arial" w:eastAsia="Arial" w:hAnsi="Arial"/>
                <w:sz w:val="12"/>
                <w:szCs w:val="12"/>
                <w:color w:val="auto"/>
                <w:w w:val="97"/>
              </w:rPr>
              <w:t>IGH</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9,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Katherine A. High</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jc w:val="right"/>
        <w:ind w:right="219"/>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1997 EMPLOYEE STOCK PURCHASE PLAN OF</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INCYTE CORPORATION</w:t>
      </w:r>
    </w:p>
    <w:p>
      <w:pPr>
        <w:ind w:left="3100"/>
        <w:spacing w:after="0"/>
        <w:rPr>
          <w:sz w:val="20"/>
          <w:szCs w:val="20"/>
          <w:color w:val="auto"/>
        </w:rPr>
      </w:pPr>
      <w:r>
        <w:rPr>
          <w:rFonts w:ascii="Arial" w:cs="Arial" w:eastAsia="Arial" w:hAnsi="Arial"/>
          <w:sz w:val="18"/>
          <w:szCs w:val="18"/>
          <w:b w:val="1"/>
          <w:bCs w:val="1"/>
          <w:color w:val="auto"/>
        </w:rPr>
        <w:t>(As amended on November 17, 2020)</w:t>
      </w:r>
    </w:p>
    <w:p>
      <w:pPr>
        <w:spacing w:after="0" w:line="182" w:lineRule="exact"/>
        <w:rPr>
          <w:sz w:val="20"/>
          <w:szCs w:val="20"/>
          <w:color w:val="auto"/>
        </w:rPr>
      </w:pPr>
    </w:p>
    <w:p>
      <w:pPr>
        <w:ind w:left="300" w:right="439" w:firstLine="647"/>
        <w:spacing w:after="0" w:line="261" w:lineRule="auto"/>
        <w:rPr>
          <w:sz w:val="20"/>
          <w:szCs w:val="20"/>
          <w:color w:val="auto"/>
        </w:rPr>
      </w:pPr>
      <w:r>
        <w:rPr>
          <w:rFonts w:ascii="Arial" w:cs="Arial" w:eastAsia="Arial" w:hAnsi="Arial"/>
          <w:sz w:val="18"/>
          <w:szCs w:val="18"/>
          <w:color w:val="auto"/>
        </w:rPr>
        <w:t>The following constitute the provisions of the 1997 Employee Stock Purchase Plan of Incyte Corporation, as amended and restated effective November 17, 2020.</w:t>
      </w:r>
    </w:p>
    <w:p>
      <w:pPr>
        <w:spacing w:after="0" w:line="157" w:lineRule="exact"/>
        <w:rPr>
          <w:sz w:val="20"/>
          <w:szCs w:val="20"/>
          <w:color w:val="auto"/>
        </w:rPr>
      </w:pPr>
    </w:p>
    <w:p>
      <w:pPr>
        <w:ind w:left="300" w:right="359" w:firstLine="647"/>
        <w:spacing w:after="0" w:line="272" w:lineRule="auto"/>
        <w:tabs>
          <w:tab w:leader="none" w:pos="134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Subsidiaries with an opportunity to purchase Common Stock of the Company through accumulated payroll deductions. The Plan includes two components: a 423 Component and a Non-423 Component. It is the intention of the Company (but the Company does not undertake) to have the 423 Component qualify as an “Employee Stock Purchase Plan” under Section 423 of the Code. The provisions of the Plan, with respect to the 423 Component, shall accordingly be construed and administered in a manner consistent with the requirements of that section of the Code. Except as otherwise provided in the Plan or determined by the Administrator, the Non-423 Component will operate and be administered in the same manner as the 423 Component.</w:t>
      </w:r>
    </w:p>
    <w:p>
      <w:pPr>
        <w:spacing w:after="0" w:line="154" w:lineRule="exact"/>
        <w:rPr>
          <w:rFonts w:ascii="Arial" w:cs="Arial" w:eastAsia="Arial" w:hAnsi="Arial"/>
          <w:sz w:val="16"/>
          <w:szCs w:val="16"/>
          <w:color w:val="auto"/>
        </w:rPr>
      </w:pPr>
    </w:p>
    <w:p>
      <w:pPr>
        <w:ind w:left="1340" w:hanging="393"/>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00" w:right="559" w:firstLine="1295"/>
        <w:spacing w:after="0" w:line="248" w:lineRule="auto"/>
        <w:tabs>
          <w:tab w:leader="none" w:pos="22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423 Component</w:t>
      </w:r>
      <w:r>
        <w:rPr>
          <w:rFonts w:ascii="Arial" w:cs="Arial" w:eastAsia="Arial" w:hAnsi="Arial"/>
          <w:sz w:val="18"/>
          <w:szCs w:val="18"/>
          <w:color w:val="auto"/>
        </w:rPr>
        <w:t>” shall mean the part of the Plan, which excludes the Non-423 Component, pursuant to which options to purchase Common Stock that satisfy the requirements for an Employee Stock Purchase Plan under Section 423 may be granted to eligible Employees.</w:t>
      </w:r>
    </w:p>
    <w:p>
      <w:pPr>
        <w:spacing w:after="0" w:line="168" w:lineRule="exact"/>
        <w:rPr>
          <w:rFonts w:ascii="Arial" w:cs="Arial" w:eastAsia="Arial" w:hAnsi="Arial"/>
          <w:sz w:val="18"/>
          <w:szCs w:val="18"/>
          <w:color w:val="auto"/>
        </w:rPr>
      </w:pPr>
    </w:p>
    <w:p>
      <w:pPr>
        <w:ind w:left="300" w:right="379" w:firstLine="1295"/>
        <w:spacing w:after="0" w:line="261" w:lineRule="auto"/>
        <w:tabs>
          <w:tab w:leader="none" w:pos="22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Board or a committee consisting exclusively of members of the Board that has been appointed by the Board and authorized to administer the Plan.</w:t>
      </w:r>
    </w:p>
    <w:p>
      <w:pPr>
        <w:spacing w:after="0" w:line="157" w:lineRule="exact"/>
        <w:rPr>
          <w:rFonts w:ascii="Arial" w:cs="Arial" w:eastAsia="Arial" w:hAnsi="Arial"/>
          <w:sz w:val="18"/>
          <w:szCs w:val="18"/>
          <w:color w:val="auto"/>
        </w:rPr>
      </w:pPr>
    </w:p>
    <w:p>
      <w:pPr>
        <w:ind w:left="2260" w:hanging="674"/>
        <w:spacing w:after="0"/>
        <w:tabs>
          <w:tab w:leader="none" w:pos="2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98" w:lineRule="exact"/>
        <w:rPr>
          <w:rFonts w:ascii="Arial" w:cs="Arial" w:eastAsia="Arial" w:hAnsi="Arial"/>
          <w:sz w:val="18"/>
          <w:szCs w:val="18"/>
          <w:color w:val="auto"/>
        </w:rPr>
      </w:pPr>
    </w:p>
    <w:p>
      <w:pPr>
        <w:ind w:left="2260" w:hanging="665"/>
        <w:spacing w:after="0"/>
        <w:tabs>
          <w:tab w:leader="none" w:pos="2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U.S. Internal Revenue Code of 1986, as amended.</w:t>
      </w:r>
    </w:p>
    <w:p>
      <w:pPr>
        <w:spacing w:after="0" w:line="198" w:lineRule="exact"/>
        <w:rPr>
          <w:rFonts w:ascii="Arial" w:cs="Arial" w:eastAsia="Arial" w:hAnsi="Arial"/>
          <w:sz w:val="18"/>
          <w:szCs w:val="18"/>
          <w:color w:val="auto"/>
        </w:rPr>
      </w:pPr>
    </w:p>
    <w:p>
      <w:pPr>
        <w:ind w:left="2260" w:hanging="674"/>
        <w:spacing w:after="0"/>
        <w:tabs>
          <w:tab w:leader="none" w:pos="22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the Common Stock, $.001 par value, of the Company.</w:t>
      </w:r>
    </w:p>
    <w:p>
      <w:pPr>
        <w:spacing w:after="0" w:line="209" w:lineRule="exact"/>
        <w:rPr>
          <w:rFonts w:ascii="Arial" w:cs="Arial" w:eastAsia="Arial" w:hAnsi="Arial"/>
          <w:sz w:val="17"/>
          <w:szCs w:val="17"/>
          <w:color w:val="auto"/>
        </w:rPr>
      </w:pPr>
    </w:p>
    <w:p>
      <w:pPr>
        <w:ind w:left="2260" w:hanging="665"/>
        <w:spacing w:after="0"/>
        <w:tabs>
          <w:tab w:leader="none" w:pos="2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Incyte Corporation, a Delaware corporation.</w:t>
      </w:r>
    </w:p>
    <w:p>
      <w:pPr>
        <w:spacing w:after="0" w:line="198" w:lineRule="exact"/>
        <w:rPr>
          <w:rFonts w:ascii="Arial" w:cs="Arial" w:eastAsia="Arial" w:hAnsi="Arial"/>
          <w:sz w:val="18"/>
          <w:szCs w:val="18"/>
          <w:color w:val="auto"/>
        </w:rPr>
      </w:pPr>
    </w:p>
    <w:p>
      <w:pPr>
        <w:ind w:left="300" w:right="439" w:firstLine="1295"/>
        <w:spacing w:after="0" w:line="241" w:lineRule="auto"/>
        <w:tabs>
          <w:tab w:leader="none" w:pos="2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mean all cash salary, wages, commissions and bonuses, but shall not include any imputed income or income arising from the exercise or disposition of equity compensation. The Administrator shall have discretion to determine the application of this definition to eligible Employees outside the United States, in accordance with the requirements of Section 423 for Employees participating in the 423 Component.</w:t>
      </w:r>
    </w:p>
    <w:p>
      <w:pPr>
        <w:spacing w:after="0" w:line="175" w:lineRule="exact"/>
        <w:rPr>
          <w:rFonts w:ascii="Arial" w:cs="Arial" w:eastAsia="Arial" w:hAnsi="Arial"/>
          <w:sz w:val="18"/>
          <w:szCs w:val="18"/>
          <w:color w:val="auto"/>
        </w:rPr>
      </w:pPr>
    </w:p>
    <w:p>
      <w:pPr>
        <w:ind w:left="2260" w:hanging="674"/>
        <w:spacing w:after="0"/>
        <w:tabs>
          <w:tab w:leader="none" w:pos="2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November 17, 2020.</w:t>
      </w:r>
    </w:p>
    <w:p>
      <w:pPr>
        <w:spacing w:after="0" w:line="198" w:lineRule="exact"/>
        <w:rPr>
          <w:rFonts w:ascii="Arial" w:cs="Arial" w:eastAsia="Arial" w:hAnsi="Arial"/>
          <w:sz w:val="18"/>
          <w:szCs w:val="18"/>
          <w:color w:val="auto"/>
        </w:rPr>
      </w:pPr>
    </w:p>
    <w:p>
      <w:pPr>
        <w:ind w:left="300" w:right="419" w:firstLine="1295"/>
        <w:spacing w:after="0" w:line="241" w:lineRule="auto"/>
        <w:tabs>
          <w:tab w:leader="none" w:pos="2282"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shall mean any Subsidiary which has been designated by the Administrator or by an executive officer of the Company, from time to time in the Administrator’s or such officer’s sole discretion, as eligible to participate in the 423 Component or Non-423 Component. A listing of Designated Subsidiaries and whether they are designated as eligible to participate in the 423 Component or the Non-423 Component shall be maintained as Appendix A to the Plan.</w:t>
      </w:r>
    </w:p>
    <w:p>
      <w:pPr>
        <w:spacing w:after="0" w:line="175" w:lineRule="exact"/>
        <w:rPr>
          <w:rFonts w:ascii="Arial" w:cs="Arial" w:eastAsia="Arial" w:hAnsi="Arial"/>
          <w:sz w:val="18"/>
          <w:szCs w:val="18"/>
          <w:color w:val="auto"/>
        </w:rPr>
      </w:pPr>
    </w:p>
    <w:p>
      <w:pPr>
        <w:ind w:left="300" w:right="399" w:firstLine="1295"/>
        <w:spacing w:after="0" w:line="271" w:lineRule="auto"/>
        <w:tabs>
          <w:tab w:leader="none" w:pos="2279"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individual who is an employee of the Company or its Designated Subsidiaries for tax purposes whose customary employment is at least twenty (20) hours per week and more than five (5) months in any calendar year, provided that “Employee” shall also mean an individual who is an employee of the Company or its Designated Subsidiaries for tax purposes whose customary employment is less than twenty (20) hours per week and less than five (5) months in any calendar year where required by applicable law and, with respect to the 423 Component, consistent with the requirements of Section 423 (in each case, as determined by the Administrator in its discretion). For purposes of the Plan, the employment relationship shall be treated as continuing intact while the individual is on sick leave or other leave of absence approved by the Company or its Designated Subsidiaries, as applicable. Where the period of leave exceeds 90 days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30" w:name="page131"/>
    <w:bookmarkEnd w:id="130"/>
    <w:p>
      <w:pPr>
        <w:ind w:left="300" w:right="559"/>
        <w:spacing w:after="0" w:line="261" w:lineRule="auto"/>
        <w:rPr>
          <w:sz w:val="20"/>
          <w:szCs w:val="20"/>
          <w:color w:val="auto"/>
        </w:rPr>
      </w:pPr>
      <w:r>
        <w:rPr>
          <w:rFonts w:ascii="Arial" w:cs="Arial" w:eastAsia="Arial" w:hAnsi="Arial"/>
          <w:sz w:val="18"/>
          <w:szCs w:val="18"/>
          <w:color w:val="auto"/>
        </w:rPr>
        <w:t>individual’s right to reemployment is not guaranteed either by statute or by contract, the employment relationship shall be deemed to have terminated on the 91st day of such leave.</w:t>
      </w:r>
    </w:p>
    <w:p>
      <w:pPr>
        <w:spacing w:after="0" w:line="157" w:lineRule="exact"/>
        <w:rPr>
          <w:sz w:val="20"/>
          <w:szCs w:val="20"/>
          <w:color w:val="auto"/>
        </w:rPr>
      </w:pPr>
    </w:p>
    <w:p>
      <w:pPr>
        <w:ind w:left="2260" w:hanging="674"/>
        <w:spacing w:after="0"/>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shall mean the first day of each Offering Period.</w:t>
      </w:r>
    </w:p>
    <w:p>
      <w:pPr>
        <w:spacing w:after="0" w:line="198" w:lineRule="exact"/>
        <w:rPr>
          <w:rFonts w:ascii="Arial" w:cs="Arial" w:eastAsia="Arial" w:hAnsi="Arial"/>
          <w:sz w:val="18"/>
          <w:szCs w:val="18"/>
          <w:color w:val="auto"/>
        </w:rPr>
      </w:pPr>
    </w:p>
    <w:p>
      <w:pPr>
        <w:jc w:val="both"/>
        <w:ind w:left="300" w:right="439" w:firstLine="1295"/>
        <w:spacing w:after="0" w:line="248" w:lineRule="auto"/>
        <w:tabs>
          <w:tab w:leader="none" w:pos="22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Period</w:t>
      </w:r>
      <w:r>
        <w:rPr>
          <w:rFonts w:ascii="Arial" w:cs="Arial" w:eastAsia="Arial" w:hAnsi="Arial"/>
          <w:sz w:val="18"/>
          <w:szCs w:val="18"/>
          <w:color w:val="auto"/>
        </w:rPr>
        <w:t>” means the period during which an eligible Employee may elect to participate in the Plan, with such period occurring before the first day of each Offering Period, as prescribed by the Administrator.</w:t>
      </w:r>
    </w:p>
    <w:p>
      <w:pPr>
        <w:spacing w:after="0" w:line="168" w:lineRule="exact"/>
        <w:rPr>
          <w:rFonts w:ascii="Arial" w:cs="Arial" w:eastAsia="Arial" w:hAnsi="Arial"/>
          <w:sz w:val="18"/>
          <w:szCs w:val="18"/>
          <w:color w:val="auto"/>
        </w:rPr>
      </w:pPr>
    </w:p>
    <w:p>
      <w:pPr>
        <w:ind w:left="2260" w:hanging="674"/>
        <w:spacing w:after="0"/>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Trading Day of each Purchase Period.</w:t>
      </w:r>
    </w:p>
    <w:p>
      <w:pPr>
        <w:spacing w:after="0" w:line="198" w:lineRule="exact"/>
        <w:rPr>
          <w:rFonts w:ascii="Arial" w:cs="Arial" w:eastAsia="Arial" w:hAnsi="Arial"/>
          <w:sz w:val="18"/>
          <w:szCs w:val="18"/>
          <w:color w:val="auto"/>
        </w:rPr>
      </w:pPr>
    </w:p>
    <w:p>
      <w:pPr>
        <w:ind w:left="2260" w:hanging="674"/>
        <w:spacing w:after="0"/>
        <w:tabs>
          <w:tab w:leader="none" w:pos="2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shall mean, as of any date, the value of Common Stock determined</w:t>
      </w:r>
    </w:p>
    <w:p>
      <w:pPr>
        <w:spacing w:after="0" w:line="34"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182" w:lineRule="exact"/>
        <w:rPr>
          <w:rFonts w:ascii="Arial" w:cs="Arial" w:eastAsia="Arial" w:hAnsi="Arial"/>
          <w:sz w:val="16"/>
          <w:szCs w:val="16"/>
          <w:color w:val="auto"/>
        </w:rPr>
      </w:pPr>
    </w:p>
    <w:p>
      <w:pPr>
        <w:ind w:left="300" w:right="339" w:firstLine="1943"/>
        <w:spacing w:after="0" w:line="270" w:lineRule="auto"/>
        <w:tabs>
          <w:tab w:leader="none" w:pos="2930"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the Common Stock is listed on any established stock exchange other than The Nasdaq Stock Market, its Fair Market Value shall be the last reported sale price for the Common Stock reported for such date by the applicable composite transactions report for such exchange; or</w:t>
      </w:r>
    </w:p>
    <w:p>
      <w:pPr>
        <w:spacing w:after="0" w:line="177" w:lineRule="exact"/>
        <w:rPr>
          <w:rFonts w:ascii="Arial" w:cs="Arial" w:eastAsia="Arial" w:hAnsi="Arial"/>
          <w:sz w:val="17"/>
          <w:szCs w:val="17"/>
          <w:color w:val="auto"/>
        </w:rPr>
      </w:pPr>
    </w:p>
    <w:p>
      <w:pPr>
        <w:ind w:left="300" w:right="359" w:firstLine="1943"/>
        <w:spacing w:after="0" w:line="324" w:lineRule="auto"/>
        <w:tabs>
          <w:tab w:leader="none" w:pos="293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the Common Stock is listed on The Nasdaq Stock Market, its Fair Market Value shall be the last reported sale price for the Common Stock reported for such date by The Nasdaq Stock Market;</w:t>
      </w:r>
    </w:p>
    <w:p>
      <w:pPr>
        <w:spacing w:after="0" w:line="110" w:lineRule="exact"/>
        <w:rPr>
          <w:rFonts w:ascii="Arial" w:cs="Arial" w:eastAsia="Arial" w:hAnsi="Arial"/>
          <w:sz w:val="16"/>
          <w:szCs w:val="16"/>
          <w:color w:val="auto"/>
        </w:rPr>
      </w:pPr>
    </w:p>
    <w:p>
      <w:pPr>
        <w:ind w:left="300" w:right="519" w:firstLine="1943"/>
        <w:spacing w:after="0" w:line="243" w:lineRule="auto"/>
        <w:tabs>
          <w:tab w:leader="none" w:pos="29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the Common Stock is not listed on a stock exchange but is traded over-the-counter on such date, its Fair Market Value shall be the closing price for such date or, if no closing price is reported, shall be equal to the mean between the last reported representative bid and ask prices for such date, as reported by OTC Markets Group Inc. or similar organization;</w:t>
      </w:r>
    </w:p>
    <w:p>
      <w:pPr>
        <w:spacing w:after="0" w:line="174" w:lineRule="exact"/>
        <w:rPr>
          <w:rFonts w:ascii="Arial" w:cs="Arial" w:eastAsia="Arial" w:hAnsi="Arial"/>
          <w:sz w:val="18"/>
          <w:szCs w:val="18"/>
          <w:color w:val="auto"/>
        </w:rPr>
      </w:pPr>
    </w:p>
    <w:p>
      <w:pPr>
        <w:ind w:left="2920" w:hanging="677"/>
        <w:spacing w:after="0"/>
        <w:tabs>
          <w:tab w:leader="none" w:pos="29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none of the foregoing provisions is applicable, then the Fair Market Value</w:t>
      </w:r>
    </w:p>
    <w:p>
      <w:pPr>
        <w:spacing w:after="0" w:line="23"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8"/>
          <w:szCs w:val="18"/>
          <w:color w:val="auto"/>
        </w:rPr>
        <w:t>shall be determined by the Administrator in good faith on such basis as it deems appropriate.</w:t>
      </w:r>
    </w:p>
    <w:p>
      <w:pPr>
        <w:spacing w:after="0" w:line="223" w:lineRule="exact"/>
        <w:rPr>
          <w:sz w:val="20"/>
          <w:szCs w:val="20"/>
          <w:color w:val="auto"/>
        </w:rPr>
      </w:pPr>
    </w:p>
    <w:p>
      <w:pPr>
        <w:jc w:val="both"/>
        <w:ind w:left="200" w:right="379"/>
        <w:spacing w:after="0" w:line="329" w:lineRule="auto"/>
        <w:rPr>
          <w:sz w:val="20"/>
          <w:szCs w:val="20"/>
          <w:color w:val="auto"/>
        </w:rPr>
      </w:pPr>
      <w:r>
        <w:rPr>
          <w:rFonts w:ascii="Arial" w:cs="Arial" w:eastAsia="Arial" w:hAnsi="Arial"/>
          <w:sz w:val="16"/>
          <w:szCs w:val="16"/>
          <w:color w:val="auto"/>
        </w:rPr>
        <w:t>For any date that is not a Trading Day, the Fair Market Value of a share of Stock for such date shall be determined by using the last reported, closing or bid and asked prices, as applicable, for the immediately preceding Trading Day. In all cases, the determination of Fair Market Value by the Committee shall be conclusive and binding on all persons.</w:t>
      </w:r>
    </w:p>
    <w:p>
      <w:pPr>
        <w:spacing w:after="0" w:line="148" w:lineRule="exact"/>
        <w:rPr>
          <w:sz w:val="20"/>
          <w:szCs w:val="20"/>
          <w:color w:val="auto"/>
        </w:rPr>
      </w:pPr>
    </w:p>
    <w:p>
      <w:pPr>
        <w:ind w:left="280" w:right="419" w:firstLine="1306"/>
        <w:spacing w:after="0" w:line="248" w:lineRule="auto"/>
        <w:tabs>
          <w:tab w:leader="none" w:pos="2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Non-423 Component</w:t>
      </w:r>
      <w:r>
        <w:rPr>
          <w:rFonts w:ascii="Arial" w:cs="Arial" w:eastAsia="Arial" w:hAnsi="Arial"/>
          <w:sz w:val="18"/>
          <w:szCs w:val="18"/>
          <w:color w:val="auto"/>
        </w:rPr>
        <w:t>” shall mean the part of the Plan, which excludes the 423 Component, pursuant to which options to purchase Common Stock that are not intended to satisfy the requirements for an Employee Stock Purchase Plan may be granted to eligible Employees.</w:t>
      </w:r>
    </w:p>
    <w:p>
      <w:pPr>
        <w:spacing w:after="0" w:line="168" w:lineRule="exact"/>
        <w:rPr>
          <w:rFonts w:ascii="Arial" w:cs="Arial" w:eastAsia="Arial" w:hAnsi="Arial"/>
          <w:sz w:val="18"/>
          <w:szCs w:val="18"/>
          <w:color w:val="auto"/>
        </w:rPr>
      </w:pPr>
    </w:p>
    <w:p>
      <w:pPr>
        <w:ind w:left="280" w:right="419" w:firstLine="1306"/>
        <w:spacing w:after="0" w:line="271" w:lineRule="auto"/>
        <w:tabs>
          <w:tab w:leader="none" w:pos="23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shall mean an offering of an option to purchase shares of Common Stock during an Offering Period, as further described in Section 4, under either the 423 Component or the Non-423 Component. Unless otherwise determined by the Administrator, each Offering under the Plan in which eligible Employees of one or more Designated Subsidiaries may participate will be deemed a separate offering for purposes of Section 423, even if the dates of the applicable Offering Periods of each such Offering are identical, and the provisions of the Plan will separately apply to each Offering. With respect to an Offering under the 423 Component, the terms of separate Offerings need not be identical, provided that all eligible Employees granted options in a particular Offering will have the same rights and privileges, except as otherwise may be permitted by Section 423; an Offering under the Non-423 Component Offering need not satisfy such requirements.</w:t>
      </w:r>
    </w:p>
    <w:p>
      <w:pPr>
        <w:spacing w:after="0" w:line="155" w:lineRule="exact"/>
        <w:rPr>
          <w:rFonts w:ascii="Arial" w:cs="Arial" w:eastAsia="Arial" w:hAnsi="Arial"/>
          <w:sz w:val="16"/>
          <w:szCs w:val="16"/>
          <w:color w:val="auto"/>
        </w:rPr>
      </w:pPr>
    </w:p>
    <w:p>
      <w:pPr>
        <w:ind w:left="300" w:right="339" w:firstLine="1295"/>
        <w:spacing w:after="0" w:line="284" w:lineRule="auto"/>
        <w:tabs>
          <w:tab w:leader="none" w:pos="2292"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Periods</w:t>
      </w:r>
      <w:r>
        <w:rPr>
          <w:rFonts w:ascii="Arial" w:cs="Arial" w:eastAsia="Arial" w:hAnsi="Arial"/>
          <w:sz w:val="16"/>
          <w:szCs w:val="16"/>
          <w:color w:val="auto"/>
        </w:rPr>
        <w:t>” shall mean the periods of approximately twenty-four (24) months during which an option granted pursuant to the Plan may be exercised, commencing on the first Trading Day on or after May 1 and November 1 of each year and terminating on the last Trading Day in the periods ending twenty-four months later. The duration and timing of Offering Periods may be changed pursuant to Section 4 of this Plan.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1" w:name="page132"/>
    <w:bookmarkEnd w:id="131"/>
    <w:p>
      <w:pPr>
        <w:ind w:left="280" w:right="759" w:firstLine="1315"/>
        <w:spacing w:after="0" w:line="324" w:lineRule="auto"/>
        <w:tabs>
          <w:tab w:leader="none" w:pos="2143"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this 1997 Employee Stock Purchase Plan of Incyte Corporation, as amended from time to time, including both the 423 Component and the Non-423 Component.</w:t>
      </w:r>
    </w:p>
    <w:p>
      <w:pPr>
        <w:spacing w:after="0" w:line="110" w:lineRule="exact"/>
        <w:rPr>
          <w:rFonts w:ascii="Arial" w:cs="Arial" w:eastAsia="Arial" w:hAnsi="Arial"/>
          <w:sz w:val="16"/>
          <w:szCs w:val="16"/>
          <w:color w:val="auto"/>
        </w:rPr>
      </w:pPr>
    </w:p>
    <w:p>
      <w:pPr>
        <w:ind w:left="300" w:right="379" w:firstLine="1295"/>
        <w:spacing w:after="0" w:line="261" w:lineRule="auto"/>
        <w:tabs>
          <w:tab w:leader="none" w:pos="228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mean an amount equal to 85% of the Fair Market Value of a share of Common Stock on the Enrollment Date or on the Exercise Date, whichever is lower.</w:t>
      </w:r>
    </w:p>
    <w:p>
      <w:pPr>
        <w:spacing w:after="0" w:line="157" w:lineRule="exact"/>
        <w:rPr>
          <w:rFonts w:ascii="Arial" w:cs="Arial" w:eastAsia="Arial" w:hAnsi="Arial"/>
          <w:sz w:val="18"/>
          <w:szCs w:val="18"/>
          <w:color w:val="auto"/>
        </w:rPr>
      </w:pPr>
    </w:p>
    <w:p>
      <w:pPr>
        <w:ind w:left="300" w:right="339" w:firstLine="1295"/>
        <w:spacing w:after="0" w:line="243" w:lineRule="auto"/>
        <w:tabs>
          <w:tab w:leader="none" w:pos="228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shall mean the approximately six-month period commencing after one Exercise Date and ending with the next Exercise Date, except that the first Purchase Period of any Offering Period shall commence on the Enrollment Date and end with the next Exercise Date. The duration and timing of Purchase Periods may be changed pursuant to Section 4 of this Plan.</w:t>
      </w:r>
    </w:p>
    <w:p>
      <w:pPr>
        <w:spacing w:after="0" w:line="174" w:lineRule="exact"/>
        <w:rPr>
          <w:rFonts w:ascii="Arial" w:cs="Arial" w:eastAsia="Arial" w:hAnsi="Arial"/>
          <w:sz w:val="18"/>
          <w:szCs w:val="18"/>
          <w:color w:val="auto"/>
        </w:rPr>
      </w:pPr>
    </w:p>
    <w:p>
      <w:pPr>
        <w:ind w:left="300" w:right="499" w:firstLine="1295"/>
        <w:spacing w:after="0" w:line="248" w:lineRule="auto"/>
        <w:tabs>
          <w:tab w:leader="none" w:pos="228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Reserves</w:t>
      </w:r>
      <w:r>
        <w:rPr>
          <w:rFonts w:ascii="Arial" w:cs="Arial" w:eastAsia="Arial" w:hAnsi="Arial"/>
          <w:sz w:val="18"/>
          <w:szCs w:val="18"/>
          <w:color w:val="auto"/>
        </w:rPr>
        <w:t>” shall mean the number of shares of Common Stock covered by each option under the Plan which have not yet been exercised and the number of shares of Common Stock which have been authorized for issuance under the Plan but not yet placed under option.</w:t>
      </w:r>
    </w:p>
    <w:p>
      <w:pPr>
        <w:spacing w:after="0" w:line="168" w:lineRule="exact"/>
        <w:rPr>
          <w:rFonts w:ascii="Arial" w:cs="Arial" w:eastAsia="Arial" w:hAnsi="Arial"/>
          <w:sz w:val="18"/>
          <w:szCs w:val="18"/>
          <w:color w:val="auto"/>
        </w:rPr>
      </w:pPr>
    </w:p>
    <w:p>
      <w:pPr>
        <w:ind w:left="2280" w:hanging="685"/>
        <w:spacing w:after="0"/>
        <w:tabs>
          <w:tab w:leader="none" w:pos="22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423</w:t>
      </w:r>
      <w:r>
        <w:rPr>
          <w:rFonts w:ascii="Arial" w:cs="Arial" w:eastAsia="Arial" w:hAnsi="Arial"/>
          <w:sz w:val="16"/>
          <w:szCs w:val="16"/>
          <w:color w:val="auto"/>
        </w:rPr>
        <w:t>” shall mean Section 423 of the Code and the U.S. Treasury Regulations</w:t>
      </w:r>
    </w:p>
    <w:p>
      <w:pPr>
        <w:spacing w:after="0" w:line="34"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182" w:lineRule="exact"/>
        <w:rPr>
          <w:rFonts w:ascii="Arial" w:cs="Arial" w:eastAsia="Arial" w:hAnsi="Arial"/>
          <w:sz w:val="16"/>
          <w:szCs w:val="16"/>
          <w:color w:val="auto"/>
        </w:rPr>
      </w:pPr>
    </w:p>
    <w:p>
      <w:pPr>
        <w:jc w:val="both"/>
        <w:ind w:left="300" w:right="359" w:firstLine="1295"/>
        <w:spacing w:after="0" w:line="243" w:lineRule="auto"/>
        <w:tabs>
          <w:tab w:leader="none" w:pos="2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corporation (as defined in U.S. Treasury Regulation section 1.421-1(i)), domestic or foreign, of which not less than 50% of the voting shares are held by the Company or a Subsidiary, whether or not such corporation now exists or is hereafter organized or acquired by the Company or a Subsidiary.</w:t>
      </w:r>
    </w:p>
    <w:p>
      <w:pPr>
        <w:spacing w:after="0" w:line="174" w:lineRule="exact"/>
        <w:rPr>
          <w:rFonts w:ascii="Arial" w:cs="Arial" w:eastAsia="Arial" w:hAnsi="Arial"/>
          <w:sz w:val="18"/>
          <w:szCs w:val="18"/>
          <w:color w:val="auto"/>
        </w:rPr>
      </w:pPr>
    </w:p>
    <w:p>
      <w:pPr>
        <w:jc w:val="both"/>
        <w:ind w:left="300" w:right="679" w:firstLine="1295"/>
        <w:spacing w:after="0" w:line="241" w:lineRule="auto"/>
        <w:tabs>
          <w:tab w:leader="none" w:pos="226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Tax-Related Items</w:t>
      </w:r>
      <w:r>
        <w:rPr>
          <w:rFonts w:ascii="Arial" w:cs="Arial" w:eastAsia="Arial" w:hAnsi="Arial"/>
          <w:sz w:val="18"/>
          <w:szCs w:val="18"/>
          <w:color w:val="auto"/>
        </w:rPr>
        <w:t>” shall mean any income tax, social insurance, payroll tax, fringe benefit tax, payment on account or other tax-related items arising out of or in relation to an eligible Employee’s participation in the Plan, including, but not limited to, the grant or exercise of an option to purchase shares of Common Stock, the receipt of shares of Common Stock or the sale or other disposition of shares of Common Stock acquired under the Plan.</w:t>
      </w:r>
    </w:p>
    <w:p>
      <w:pPr>
        <w:spacing w:after="0" w:line="175" w:lineRule="exact"/>
        <w:rPr>
          <w:rFonts w:ascii="Arial" w:cs="Arial" w:eastAsia="Arial" w:hAnsi="Arial"/>
          <w:sz w:val="18"/>
          <w:szCs w:val="18"/>
          <w:color w:val="auto"/>
        </w:rPr>
      </w:pPr>
    </w:p>
    <w:p>
      <w:pPr>
        <w:ind w:left="300" w:right="599" w:firstLine="1295"/>
        <w:spacing w:after="0" w:line="270" w:lineRule="auto"/>
        <w:tabs>
          <w:tab w:leader="none" w:pos="2262" w:val="left"/>
        </w:tabs>
        <w:numPr>
          <w:ilvl w:val="1"/>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shall mean a day on which the national securities exchange or stock market on which the Common Stock is principally traded, or, if the Common Stock is not listed or quoted on any securities exchange or stock market, the New York Stock Exchange, is open for trading.</w:t>
      </w:r>
    </w:p>
    <w:p>
      <w:pPr>
        <w:spacing w:after="0" w:line="150" w:lineRule="exact"/>
        <w:rPr>
          <w:rFonts w:ascii="Arial" w:cs="Arial" w:eastAsia="Arial" w:hAnsi="Arial"/>
          <w:sz w:val="17"/>
          <w:szCs w:val="17"/>
          <w:color w:val="auto"/>
        </w:rPr>
      </w:pPr>
    </w:p>
    <w:p>
      <w:pPr>
        <w:ind w:left="1340" w:hanging="393"/>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00" w:right="659" w:firstLine="1295"/>
        <w:spacing w:after="0" w:line="248" w:lineRule="auto"/>
        <w:tabs>
          <w:tab w:leader="none" w:pos="22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Except as otherwise required by applicable law and subject to Sections 3(b) and 3(c) below, any Employee who has been employed for one month or more on a given Enrollment Date shall be eligible to participate in the Plan.</w:t>
      </w:r>
    </w:p>
    <w:p>
      <w:pPr>
        <w:spacing w:after="0" w:line="168" w:lineRule="exact"/>
        <w:rPr>
          <w:rFonts w:ascii="Arial" w:cs="Arial" w:eastAsia="Arial" w:hAnsi="Arial"/>
          <w:sz w:val="18"/>
          <w:szCs w:val="18"/>
          <w:color w:val="auto"/>
        </w:rPr>
      </w:pPr>
    </w:p>
    <w:p>
      <w:pPr>
        <w:ind w:left="300" w:right="739" w:firstLine="1295"/>
        <w:spacing w:after="0" w:line="271" w:lineRule="auto"/>
        <w:tabs>
          <w:tab w:leader="none" w:pos="228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stock and/or hold outstanding options to purchase such stock possessing five percent (5%) or more of the total combined voting power or value of all classes of stock of the Company, its parent or any Subsidiary, or (ii) to the extent that his or her rights to purchase stock under all employee stock purchase plans of the Company, its parent and Subsidiaries accrues at a rate which exceeds U.S. Twenty-Five Thousand Dollars (US$25,000) worth of stock (determined at the Fair Market Value of the shares at the time such option is granted) for each calendar year in which such option is outstanding at any time.</w:t>
      </w:r>
    </w:p>
    <w:p>
      <w:pPr>
        <w:spacing w:after="0" w:line="155" w:lineRule="exact"/>
        <w:rPr>
          <w:rFonts w:ascii="Arial" w:cs="Arial" w:eastAsia="Arial" w:hAnsi="Arial"/>
          <w:sz w:val="16"/>
          <w:szCs w:val="16"/>
          <w:color w:val="auto"/>
        </w:rPr>
      </w:pPr>
    </w:p>
    <w:p>
      <w:pPr>
        <w:ind w:left="2280" w:hanging="685"/>
        <w:spacing w:after="0"/>
        <w:tabs>
          <w:tab w:leader="none" w:pos="22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provisions of the Plan to the contrary notwithstanding, an eligible Employee</w:t>
      </w:r>
    </w:p>
    <w:p>
      <w:pPr>
        <w:spacing w:after="0" w:line="12" w:lineRule="exact"/>
        <w:rPr>
          <w:sz w:val="20"/>
          <w:szCs w:val="20"/>
          <w:color w:val="auto"/>
        </w:rPr>
      </w:pPr>
    </w:p>
    <w:p>
      <w:pPr>
        <w:ind w:left="300" w:right="719"/>
        <w:spacing w:after="0" w:line="253" w:lineRule="auto"/>
        <w:rPr>
          <w:sz w:val="20"/>
          <w:szCs w:val="20"/>
          <w:color w:val="auto"/>
        </w:rPr>
      </w:pPr>
      <w:r>
        <w:rPr>
          <w:rFonts w:ascii="Arial" w:cs="Arial" w:eastAsia="Arial" w:hAnsi="Arial"/>
          <w:sz w:val="17"/>
          <w:szCs w:val="17"/>
          <w:color w:val="auto"/>
        </w:rPr>
        <w:t>who works for a Designated Subsidiary and is a citizen or resident of a jurisdiction other than the United States (without regard to whether such individual also is a citizen or resident of the United States or is a resident alien (within the meaning of Section 7701(b)(1)(A) of the Code)) may be excluded from participation in the Plan or an Offering if the participation of such Employee is prohibited under the laws of the applicable jurisdiction or if complying with the laws of the applicable jurisdiction would cause the Plan or an Offering under the 423 Component to violate Section 423. In the case of an Offering under the Non-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2" w:name="page133"/>
    <w:bookmarkEnd w:id="132"/>
    <w:p>
      <w:pPr>
        <w:jc w:val="both"/>
        <w:ind w:left="300" w:right="879"/>
        <w:spacing w:after="0" w:line="248" w:lineRule="auto"/>
        <w:rPr>
          <w:sz w:val="20"/>
          <w:szCs w:val="20"/>
          <w:color w:val="auto"/>
        </w:rPr>
      </w:pPr>
      <w:r>
        <w:rPr>
          <w:rFonts w:ascii="Arial" w:cs="Arial" w:eastAsia="Arial" w:hAnsi="Arial"/>
          <w:sz w:val="18"/>
          <w:szCs w:val="18"/>
          <w:color w:val="auto"/>
        </w:rPr>
        <w:t>423 Component, an Employee (or group of Employees) may be excluded from participation in the Plan or an Offering if the Administrator has determined, in its sole discretion, that participation of such Employee(s) is not advisable or practicable for any reason.</w:t>
      </w:r>
    </w:p>
    <w:p>
      <w:pPr>
        <w:spacing w:after="0" w:line="168" w:lineRule="exact"/>
        <w:rPr>
          <w:sz w:val="20"/>
          <w:szCs w:val="20"/>
          <w:color w:val="auto"/>
        </w:rPr>
      </w:pPr>
    </w:p>
    <w:p>
      <w:pPr>
        <w:ind w:left="300" w:right="319" w:firstLine="647"/>
        <w:spacing w:after="0" w:line="255" w:lineRule="auto"/>
        <w:tabs>
          <w:tab w:leader="none" w:pos="134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The Plan shall be implemented by consecutive, overlapping Offering Periods with a new Offering Period commencing on the first Trading Day on or after May 1 and November 1 each year, or on such other dates as the Administrator shall determine, and continuing thereafter until terminated in accordance with Section 19 hereof. The Administrator or a committee thereof shall have the power to change the duration of Offering Periods (including the commencement dates thereof) and Purchase Periods thereunder with respect to future offerings without stockholder approval if such change is announced at least five (5) days prior to the scheduled beginning of the first Offering Period to be affected thereafter.</w:t>
      </w:r>
    </w:p>
    <w:p>
      <w:pPr>
        <w:spacing w:after="0" w:line="166" w:lineRule="exact"/>
        <w:rPr>
          <w:rFonts w:ascii="Arial" w:cs="Arial" w:eastAsia="Arial" w:hAnsi="Arial"/>
          <w:sz w:val="17"/>
          <w:szCs w:val="17"/>
          <w:color w:val="auto"/>
        </w:rPr>
      </w:pPr>
    </w:p>
    <w:p>
      <w:pPr>
        <w:ind w:left="1340" w:hanging="393"/>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300" w:right="319" w:firstLine="1295"/>
        <w:spacing w:after="0" w:line="294" w:lineRule="auto"/>
        <w:tabs>
          <w:tab w:leader="none" w:pos="2271"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subscription agreement authorizing payroll deductions and filing it with the Company’s stock administrator (or by completing the electronic enrollment process through the Company’s designated Plan broker) during the Enrollment Period.</w:t>
      </w:r>
    </w:p>
    <w:p>
      <w:pPr>
        <w:spacing w:after="0" w:line="133" w:lineRule="exact"/>
        <w:rPr>
          <w:rFonts w:ascii="Arial" w:cs="Arial" w:eastAsia="Arial" w:hAnsi="Arial"/>
          <w:sz w:val="16"/>
          <w:szCs w:val="16"/>
          <w:color w:val="auto"/>
        </w:rPr>
      </w:pPr>
    </w:p>
    <w:p>
      <w:pPr>
        <w:jc w:val="both"/>
        <w:ind w:left="300" w:right="579" w:firstLine="1295"/>
        <w:spacing w:after="0" w:line="270" w:lineRule="auto"/>
        <w:tabs>
          <w:tab w:leader="none" w:pos="2279" w:val="left"/>
        </w:tabs>
        <w:numPr>
          <w:ilvl w:val="1"/>
          <w:numId w:val="53"/>
        </w:numPr>
        <w:rPr>
          <w:rFonts w:ascii="Arial" w:cs="Arial" w:eastAsia="Arial" w:hAnsi="Arial"/>
          <w:sz w:val="17"/>
          <w:szCs w:val="17"/>
          <w:color w:val="auto"/>
        </w:rPr>
      </w:pPr>
      <w:r>
        <w:rPr>
          <w:rFonts w:ascii="Arial" w:cs="Arial" w:eastAsia="Arial" w:hAnsi="Arial"/>
          <w:sz w:val="17"/>
          <w:szCs w:val="17"/>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Section 10 hereof.</w:t>
      </w:r>
    </w:p>
    <w:p>
      <w:pPr>
        <w:spacing w:after="0" w:line="150" w:lineRule="exact"/>
        <w:rPr>
          <w:rFonts w:ascii="Arial" w:cs="Arial" w:eastAsia="Arial" w:hAnsi="Arial"/>
          <w:sz w:val="17"/>
          <w:szCs w:val="17"/>
          <w:color w:val="auto"/>
        </w:rPr>
      </w:pPr>
    </w:p>
    <w:p>
      <w:pPr>
        <w:ind w:left="1340" w:hanging="393"/>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11" w:lineRule="exact"/>
        <w:rPr>
          <w:rFonts w:ascii="Arial" w:cs="Arial" w:eastAsia="Arial" w:hAnsi="Arial"/>
          <w:sz w:val="18"/>
          <w:szCs w:val="18"/>
          <w:color w:val="auto"/>
        </w:rPr>
      </w:pPr>
    </w:p>
    <w:p>
      <w:pPr>
        <w:ind w:left="300" w:right="399" w:firstLine="1295"/>
        <w:spacing w:after="0" w:line="267" w:lineRule="auto"/>
        <w:tabs>
          <w:tab w:leader="none" w:pos="2154" w:val="left"/>
        </w:tabs>
        <w:numPr>
          <w:ilvl w:val="1"/>
          <w:numId w:val="53"/>
        </w:numPr>
        <w:rPr>
          <w:rFonts w:ascii="Arial" w:cs="Arial" w:eastAsia="Arial" w:hAnsi="Arial"/>
          <w:sz w:val="16"/>
          <w:szCs w:val="16"/>
          <w:color w:val="auto"/>
        </w:rPr>
      </w:pPr>
      <w:r>
        <w:rPr>
          <w:rFonts w:ascii="Arial" w:cs="Arial" w:eastAsia="Arial" w:hAnsi="Arial"/>
          <w:sz w:val="16"/>
          <w:szCs w:val="16"/>
          <w:color w:val="auto"/>
        </w:rPr>
        <w:t>At the time a participant files his or her subscription agreement (or completes the electronic enrollment process), he or she shall elect to have payroll deductions made on each pay day during the Offering Period in an amount not less than one percent (1%) and not more than ten percent (10%) of the participant’s Compensation, with such amount designated in integral multiples of one percent (1%); provided, however, that the aggregate of such payroll deductions during any Offering Period shall not exceed ten percent (10%) of the participant’s aggregate Compensation during such Offering Period. If required under applicable law or if specifically provided in the Offering or otherwise permitted by the Administrator (and, with respect to the 423 Component, to the extent permitted under Section 423), in addition to or instead of making contributions to the Plan by payroll deductions, a participant may make contributions through the payment by cash, check or wire transfer, provided that the same requirements and limitations shall apply in the case of such other contributions and provided further that the Administrator may establish any procedures it considers to be necessary or advisable for the administration of the Plan and, with respect to the 423 Component, the requirements of Section 423. For purposes of the Plan, references to “payroll deductions” includes such other contributions, if applicable.</w:t>
      </w:r>
    </w:p>
    <w:p>
      <w:pPr>
        <w:spacing w:after="0" w:line="158" w:lineRule="exact"/>
        <w:rPr>
          <w:rFonts w:ascii="Arial" w:cs="Arial" w:eastAsia="Arial" w:hAnsi="Arial"/>
          <w:sz w:val="16"/>
          <w:szCs w:val="16"/>
          <w:color w:val="auto"/>
        </w:rPr>
      </w:pPr>
    </w:p>
    <w:p>
      <w:pPr>
        <w:ind w:left="300" w:right="339" w:firstLine="1295"/>
        <w:spacing w:after="0" w:line="248" w:lineRule="auto"/>
        <w:tabs>
          <w:tab w:leader="none" w:pos="228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payroll deductions made for a participant shall be credited to his or her account under the Plan and shall be withheld in whole percentages only. A participant may not make any additional payments into such account.</w:t>
      </w:r>
    </w:p>
    <w:p>
      <w:pPr>
        <w:spacing w:after="0" w:line="168" w:lineRule="exact"/>
        <w:rPr>
          <w:rFonts w:ascii="Arial" w:cs="Arial" w:eastAsia="Arial" w:hAnsi="Arial"/>
          <w:sz w:val="18"/>
          <w:szCs w:val="18"/>
          <w:color w:val="auto"/>
        </w:rPr>
      </w:pPr>
    </w:p>
    <w:p>
      <w:pPr>
        <w:ind w:left="300" w:right="459" w:firstLine="1285"/>
        <w:spacing w:after="0" w:line="268" w:lineRule="auto"/>
        <w:tabs>
          <w:tab w:leader="none" w:pos="2271" w:val="left"/>
        </w:tabs>
        <w:numPr>
          <w:ilvl w:val="1"/>
          <w:numId w:val="53"/>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Section 10, or may increase or decrease the rate of his or her payroll deductions as provided in this Section 6(c). A participant may increase the rate of his or her payroll deductions only as of the beginning of a Purchase Period. Such increase shall take effect with the first payroll following the beginning of the new Purchase Period provided the participant has completed and delivered to the Company’s stock administrator a new subscription agreement authorizing the increase in the payroll deduction rate at least ten (10) business days prior to the beginning of the new Purchase Period (or indicated a change via the Company's electronic process according to the time frame indicated by the Company). A participant may decrease the rate of his or her payroll deductions each payroll period. Any decrease shall become effective as of the first payroll period following the date that the participant completes and delivers to the Company’s stock administrator a new subscription agreement authorizing the decrease in the payroll deduction rate (or indicated a change via the Company's electronic process). However, if the subscription agreement is not received (or the electronic change is not completed) at least five (5) business days prior to such payroll period, the decrease shall become effective as of the second succeeding payroll period. The Administrator may, in its discretion, limit the number of participation rate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3" w:name="page134"/>
    <w:bookmarkEnd w:id="133"/>
    <w:p>
      <w:pPr>
        <w:jc w:val="both"/>
        <w:ind w:left="300" w:right="439"/>
        <w:spacing w:after="0" w:line="262" w:lineRule="auto"/>
        <w:rPr>
          <w:sz w:val="20"/>
          <w:szCs w:val="20"/>
          <w:color w:val="auto"/>
        </w:rPr>
      </w:pPr>
      <w:r>
        <w:rPr>
          <w:rFonts w:ascii="Arial" w:cs="Arial" w:eastAsia="Arial" w:hAnsi="Arial"/>
          <w:sz w:val="17"/>
          <w:szCs w:val="17"/>
          <w:color w:val="auto"/>
        </w:rPr>
        <w:t>changes during any Offering Period. Subject to the foregoing, a participant’s subscription agreement (or electronic enrollment election) shall remain in effect for successive Offering Periods unless terminated as provided in Section 10 hereof, provided that the participant will be deemed to have accepted the terms and conditions of the Plan and the Offering in effect at the time each subsequent Offering Period begins.</w:t>
      </w:r>
    </w:p>
    <w:p>
      <w:pPr>
        <w:spacing w:after="0" w:line="159" w:lineRule="exact"/>
        <w:rPr>
          <w:sz w:val="20"/>
          <w:szCs w:val="20"/>
          <w:color w:val="auto"/>
        </w:rPr>
      </w:pPr>
    </w:p>
    <w:p>
      <w:pPr>
        <w:ind w:left="2260" w:hanging="674"/>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w:t>
      </w:r>
    </w:p>
    <w:p>
      <w:pPr>
        <w:spacing w:after="0" w:line="12" w:lineRule="exact"/>
        <w:rPr>
          <w:sz w:val="20"/>
          <w:szCs w:val="20"/>
          <w:color w:val="auto"/>
        </w:rPr>
      </w:pPr>
    </w:p>
    <w:p>
      <w:pPr>
        <w:ind w:left="300" w:right="239"/>
        <w:spacing w:after="0" w:line="253" w:lineRule="auto"/>
        <w:rPr>
          <w:sz w:val="20"/>
          <w:szCs w:val="20"/>
          <w:color w:val="auto"/>
        </w:rPr>
      </w:pPr>
      <w:r>
        <w:rPr>
          <w:rFonts w:ascii="Arial" w:cs="Arial" w:eastAsia="Arial" w:hAnsi="Arial"/>
          <w:sz w:val="17"/>
          <w:szCs w:val="17"/>
          <w:color w:val="auto"/>
        </w:rPr>
        <w:t>Section 423(b)(8) of the Code and Section 3(b) hereof, a participant’s payroll deductions may be decreased to zero percent (0%) at any time during a Purchase Period. Such a decrease shall not be treated as a withdrawal from the Plan subject to Section 10, unless the participant elects to withdraw pursuant to Section 10. Payroll deductions shall recommence at the rate provided in such participant’s subscription agreement at the beginning of the first Purchase Period which is scheduled to end in the following calendar year, unless the participant elects to withdraw from the Plan as provided in Section 10 hereof.</w:t>
      </w:r>
    </w:p>
    <w:p>
      <w:pPr>
        <w:spacing w:after="0" w:line="165" w:lineRule="exact"/>
        <w:rPr>
          <w:sz w:val="20"/>
          <w:szCs w:val="20"/>
          <w:color w:val="auto"/>
        </w:rPr>
      </w:pPr>
    </w:p>
    <w:p>
      <w:pPr>
        <w:ind w:left="300" w:right="479" w:firstLine="1295"/>
        <w:spacing w:after="0" w:line="239" w:lineRule="auto"/>
        <w:tabs>
          <w:tab w:leader="none" w:pos="227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At the time the option is exercised, in whole or in part, or at the time some or all of the Common Stock issued under the Plan is disposed of, the participant must make adequate provision for the Tax-Related Items, if any, which arise upon the exercise of the option or the disposition of the Common Stock. At any time, the Company or a Designated Subsidiary, as applicable, may, but shall not be obligated to, withhold from the participant’s compensation the amount necessary to meet applicable withholding obligations, including any withholding required to make available any tax deductions or benefits attributable to sale or early disposition of Common Stock by the Employee.</w:t>
      </w:r>
    </w:p>
    <w:p>
      <w:pPr>
        <w:spacing w:after="0" w:line="177" w:lineRule="exact"/>
        <w:rPr>
          <w:rFonts w:ascii="Arial" w:cs="Arial" w:eastAsia="Arial" w:hAnsi="Arial"/>
          <w:sz w:val="18"/>
          <w:szCs w:val="18"/>
          <w:color w:val="auto"/>
        </w:rPr>
      </w:pPr>
    </w:p>
    <w:p>
      <w:pPr>
        <w:ind w:left="300" w:right="379" w:firstLine="647"/>
        <w:spacing w:after="0" w:line="253" w:lineRule="auto"/>
        <w:tabs>
          <w:tab w:leader="none" w:pos="134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On the Enrollment Date of each Offering Period, each eligible Employee participating in such Offering Period shall be granted an option to purchase on each Exercise Date during such Offering Period (at the applicable Purchase Price) up to a number of shares of Common Stock determined by dividing such Employee’s payroll deductions accumulated prior to such Exercise Date and retained in the Participant’s account as of the Exercise Date by the applicable Purchase Price; provided that in no event shall an Employee be permitted to purchase during each Purchase Period more than eight thousand (8,000) shares of Common Stock (subject to any adjustment pursuant to Section 18) on the Enrollment Date, and provided further that such purchase shall be subject to the limitations set forth in Sections 3(b) and 13 hereof. Exercise of the option shall occur as provided in Section 8 hereof, unless the participant has withdrawn pursuant to Section 10 hereof. The option shall expire on the last day of the Offering Period.</w:t>
      </w:r>
    </w:p>
    <w:p>
      <w:pPr>
        <w:spacing w:after="0" w:line="166" w:lineRule="exact"/>
        <w:rPr>
          <w:rFonts w:ascii="Arial" w:cs="Arial" w:eastAsia="Arial" w:hAnsi="Arial"/>
          <w:sz w:val="17"/>
          <w:szCs w:val="17"/>
          <w:color w:val="auto"/>
        </w:rPr>
      </w:pPr>
    </w:p>
    <w:p>
      <w:pPr>
        <w:ind w:left="300" w:right="339" w:firstLine="647"/>
        <w:spacing w:after="0" w:line="269" w:lineRule="auto"/>
        <w:tabs>
          <w:tab w:leader="none" w:pos="134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Unless a participant withdraws from the Plan as provided in Section 10 hereof, his or her option for the purchase of shares of Common Stock shall be exercised automatically on the Exercise Date, and the maximum number of full shares of Common Stock subject to option shall be purchased for such participant at the applicable Purchase Price with the accumulated payroll deductions in his or her account. No fractional shares shall be purchased; any payroll deductions accumulated in a participant’s account which are not sufficient to purchase a full share shall be, in the discretion of the Administrator, either refunded to the participant or retained in the participant’s account for the subsequent Purchase Period or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 If, on the Exercise Date, as delayed to the maximum extent permissible, the purchase of the shares of Common Stock would not be in material compliance with all applicable laws and regulations, as determined by the Company in its sole discretion, the option will not be exercised and any accumulated but unused payroll deductions will be refunded to the participant as soon as practicable.</w:t>
      </w:r>
    </w:p>
    <w:p>
      <w:pPr>
        <w:spacing w:after="0" w:line="154" w:lineRule="exact"/>
        <w:rPr>
          <w:rFonts w:ascii="Arial" w:cs="Arial" w:eastAsia="Arial" w:hAnsi="Arial"/>
          <w:sz w:val="16"/>
          <w:szCs w:val="16"/>
          <w:color w:val="auto"/>
        </w:rPr>
      </w:pPr>
    </w:p>
    <w:p>
      <w:pPr>
        <w:ind w:left="300" w:right="339" w:firstLine="647"/>
        <w:spacing w:after="0" w:line="239" w:lineRule="auto"/>
        <w:tabs>
          <w:tab w:leader="none" w:pos="13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As promptly as practicable after each Exercise Date on which a purchase of shares occurs, a share certificate or certificates representing the number of shares of Common Stock so purchased shall be delivered to a brokerage account designated by the Company and kept in such account pursuant to a subscription agreement between each participant and the Company and subject to the conditions described therein which may include a requirement that shares be held and not sold for certain time periods or be held with a designated broker and/or in a designated account, or the Company shall establish some other means for such participants to receive ownership of the shares.</w:t>
      </w:r>
    </w:p>
    <w:p>
      <w:pPr>
        <w:spacing w:after="0" w:line="177" w:lineRule="exact"/>
        <w:rPr>
          <w:rFonts w:ascii="Arial" w:cs="Arial" w:eastAsia="Arial" w:hAnsi="Arial"/>
          <w:sz w:val="18"/>
          <w:szCs w:val="18"/>
          <w:color w:val="auto"/>
        </w:rPr>
      </w:pPr>
    </w:p>
    <w:p>
      <w:pPr>
        <w:ind w:left="1340" w:hanging="393"/>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Discontinuation; Withdrawal</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4" w:name="page135"/>
    <w:bookmarkEnd w:id="134"/>
    <w:p>
      <w:pPr>
        <w:ind w:left="300" w:right="339" w:firstLine="1295"/>
        <w:spacing w:after="0" w:line="269" w:lineRule="auto"/>
        <w:tabs>
          <w:tab w:leader="none" w:pos="2271"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only by withdrawing from the Plan as provided in this Section 10. A participant may withdraw all but not less than all the payroll deductions credited to his or her account and not yet used to exercise his or her option under the Plan by giving written notice to the Company (or by withdrawing from the Plan via the electronic process available through the Company’s designated Plan broker). Such notice must be received by the Company or the Plan broker no later than 5:00 p.m. Eastern Time on the second Trading Day preceding the Exercise Date, or such other time preceding the Exercise Date as may be specified by the Company or the Plan broker, as applicable). All of the participant’s payroll deductions credited to his or her account shall be paid to such participant promptly after receipt of a timely notice of withdrawal and such participant’s option for the Offering Period shall be automatically terminated, and no further payroll deductions for the purchase of shares shall be made for such Offering Period. If a participant withdraws from an Offering Period, payroll deductions shall not resume at the beginning of the succeeding Offering Period unless the participant is an eligible Employee and that time and delivers to the Company a new subscription agreement (or completes the electronic enrollment process) in accordance with Section 5(a).</w:t>
      </w:r>
    </w:p>
    <w:p>
      <w:pPr>
        <w:spacing w:after="0" w:line="154" w:lineRule="exact"/>
        <w:rPr>
          <w:rFonts w:ascii="Arial" w:cs="Arial" w:eastAsia="Arial" w:hAnsi="Arial"/>
          <w:sz w:val="16"/>
          <w:szCs w:val="16"/>
          <w:color w:val="auto"/>
        </w:rPr>
      </w:pPr>
    </w:p>
    <w:p>
      <w:pPr>
        <w:ind w:left="300" w:right="399" w:firstLine="1295"/>
        <w:spacing w:after="0" w:line="243" w:lineRule="auto"/>
        <w:tabs>
          <w:tab w:leader="none" w:pos="228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shall not have any effect upon his or her eligibility to participate in any similar plan which may hereafter be adopted by the Company or in succeeding Offering Periods which commence after the participant withdraws from the Plan, subject to compliance with Section 5(a).</w:t>
      </w:r>
    </w:p>
    <w:p>
      <w:pPr>
        <w:spacing w:after="0" w:line="174" w:lineRule="exact"/>
        <w:rPr>
          <w:rFonts w:ascii="Arial" w:cs="Arial" w:eastAsia="Arial" w:hAnsi="Arial"/>
          <w:sz w:val="18"/>
          <w:szCs w:val="18"/>
          <w:color w:val="auto"/>
        </w:rPr>
      </w:pPr>
    </w:p>
    <w:p>
      <w:pPr>
        <w:ind w:left="1340" w:hanging="393"/>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or Transfer of Employment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00" w:right="379" w:firstLine="1295"/>
        <w:spacing w:after="0" w:line="259" w:lineRule="auto"/>
        <w:tabs>
          <w:tab w:leader="none" w:pos="2282" w:val="left"/>
        </w:tabs>
        <w:numPr>
          <w:ilvl w:val="1"/>
          <w:numId w:val="58"/>
        </w:numPr>
        <w:rPr>
          <w:rFonts w:ascii="Arial" w:cs="Arial" w:eastAsia="Arial" w:hAnsi="Arial"/>
          <w:sz w:val="17"/>
          <w:szCs w:val="17"/>
          <w:color w:val="auto"/>
        </w:rPr>
      </w:pPr>
      <w:r>
        <w:rPr>
          <w:rFonts w:ascii="Arial" w:cs="Arial" w:eastAsia="Arial" w:hAnsi="Arial"/>
          <w:sz w:val="17"/>
          <w:szCs w:val="17"/>
          <w:color w:val="auto"/>
        </w:rPr>
        <w:t>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15 hereof, and such participant’s option shall be automatically terminated, unless otherwise required by applicable law.</w:t>
      </w:r>
    </w:p>
    <w:p>
      <w:pPr>
        <w:spacing w:after="0" w:line="160" w:lineRule="exact"/>
        <w:rPr>
          <w:rFonts w:ascii="Arial" w:cs="Arial" w:eastAsia="Arial" w:hAnsi="Arial"/>
          <w:sz w:val="17"/>
          <w:szCs w:val="17"/>
          <w:color w:val="auto"/>
        </w:rPr>
      </w:pPr>
    </w:p>
    <w:p>
      <w:pPr>
        <w:ind w:left="300" w:right="379" w:firstLine="1295"/>
        <w:spacing w:after="0" w:line="252" w:lineRule="auto"/>
        <w:tabs>
          <w:tab w:leader="none" w:pos="2282" w:val="left"/>
        </w:tabs>
        <w:numPr>
          <w:ilvl w:val="1"/>
          <w:numId w:val="58"/>
        </w:numPr>
        <w:rPr>
          <w:rFonts w:ascii="Arial" w:cs="Arial" w:eastAsia="Arial" w:hAnsi="Arial"/>
          <w:sz w:val="17"/>
          <w:szCs w:val="17"/>
          <w:color w:val="auto"/>
        </w:rPr>
      </w:pPr>
      <w:r>
        <w:rPr>
          <w:rFonts w:ascii="Arial" w:cs="Arial" w:eastAsia="Arial" w:hAnsi="Arial"/>
          <w:sz w:val="17"/>
          <w:szCs w:val="17"/>
          <w:color w:val="auto"/>
        </w:rPr>
        <w:t>Unless otherwise determined by the Administrator, a participant whose employment transfers or whose employment terminates with an immediate rehire (with no break in service) by or between the Company and a Designated Subsidiary that has been designated for participation in the Plan will not be treated as having terminated employment for purposes of participating in the Plan or an offering; however, if a participant transfers from an Offering under the 423 Component to an Offering under the Non-423 Component, the exercise of the participant’s option to purchase Common Stock will be qualified under the 423 Component only to the extent such exercise complies with Section 423. If a participant transfers from an Offering under the Non-423 Component to an Offering under the 423 Component, the exercise of the option to purchase Common Stock will remain non-qualified under the Non-423 Component. The Administrator may establish different and additional rules governing transfers between separate Offerings within the 423 Component and between Offerings under the 423 Component and Offerings under the Non-423 Component.</w:t>
      </w:r>
    </w:p>
    <w:p>
      <w:pPr>
        <w:spacing w:after="0" w:line="199" w:lineRule="exact"/>
        <w:rPr>
          <w:rFonts w:ascii="Arial" w:cs="Arial" w:eastAsia="Arial" w:hAnsi="Arial"/>
          <w:sz w:val="17"/>
          <w:szCs w:val="17"/>
          <w:color w:val="auto"/>
        </w:rPr>
      </w:pPr>
    </w:p>
    <w:p>
      <w:pPr>
        <w:ind w:left="300" w:right="499" w:firstLine="647"/>
        <w:spacing w:after="0" w:line="324" w:lineRule="auto"/>
        <w:tabs>
          <w:tab w:leader="none" w:pos="134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No interest shall accrue on the payroll deductions of a participant in the Plan or be payable or otherwise due to the participant or his or her beneficiary, unless otherwise required by applicable law.</w:t>
      </w:r>
    </w:p>
    <w:p>
      <w:pPr>
        <w:spacing w:after="0" w:line="110" w:lineRule="exact"/>
        <w:rPr>
          <w:rFonts w:ascii="Arial" w:cs="Arial" w:eastAsia="Arial" w:hAnsi="Arial"/>
          <w:sz w:val="16"/>
          <w:szCs w:val="16"/>
          <w:color w:val="auto"/>
        </w:rPr>
      </w:pPr>
    </w:p>
    <w:p>
      <w:pPr>
        <w:ind w:left="1340" w:hanging="393"/>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00" w:right="579" w:firstLine="1295"/>
        <w:spacing w:after="0" w:line="271" w:lineRule="auto"/>
        <w:tabs>
          <w:tab w:leader="none" w:pos="2279"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maximum number of shares of Common Stock which shall be made available for sale under the Plan shall be nine million six hundred thousand (9,600,000) shares, subject to adjustment upon changes in capitalization of the Company as provided in Section 18 hereof. If, on a given Exercise Date, the number of shares with respect to which options are to be exercised exceeds the number of shares then available under the Plan, the Company shall make a pro rata allocation of the shares remaining available for purchase in as uniform a manner as shall be practicable and as it shall determine to be equitable. For the avoidance of doubt, up to the maximum number of shares of Common Stock reserved under this Section 13 may be used to satisfy purchases of shares under the 423 Component and any remaining portion of such maximum number of shares of Common Stock may be used to satisfy purchases of shares under the Non-423 Component.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97" w:right="1440" w:bottom="1440" w:gutter="0" w:footer="0" w:header="0"/>
        </w:sectPr>
      </w:pPr>
    </w:p>
    <w:bookmarkStart w:id="135" w:name="page136"/>
    <w:bookmarkEnd w:id="135"/>
    <w:p>
      <w:pPr>
        <w:ind w:left="300" w:right="719" w:firstLine="1295"/>
        <w:spacing w:after="0" w:line="261" w:lineRule="auto"/>
        <w:tabs>
          <w:tab w:leader="none" w:pos="227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participant shall have no interest or voting right in shares covered by his option until such option has been exercised.</w:t>
      </w:r>
    </w:p>
    <w:p>
      <w:pPr>
        <w:spacing w:after="0" w:line="157" w:lineRule="exact"/>
        <w:rPr>
          <w:rFonts w:ascii="Arial" w:cs="Arial" w:eastAsia="Arial" w:hAnsi="Arial"/>
          <w:sz w:val="18"/>
          <w:szCs w:val="18"/>
          <w:color w:val="auto"/>
        </w:rPr>
      </w:pPr>
    </w:p>
    <w:p>
      <w:pPr>
        <w:ind w:left="300" w:right="579" w:firstLine="1295"/>
        <w:spacing w:after="0" w:line="248" w:lineRule="auto"/>
        <w:tabs>
          <w:tab w:leader="none" w:pos="2271" w:val="left"/>
        </w:tabs>
        <w:numPr>
          <w:ilvl w:val="1"/>
          <w:numId w:val="59"/>
        </w:numPr>
        <w:rPr>
          <w:rFonts w:ascii="Arial" w:cs="Arial" w:eastAsia="Arial" w:hAnsi="Arial"/>
          <w:sz w:val="18"/>
          <w:szCs w:val="18"/>
          <w:color w:val="auto"/>
        </w:rPr>
      </w:pPr>
      <w:r>
        <w:rPr>
          <w:rFonts w:ascii="Arial" w:cs="Arial" w:eastAsia="Arial" w:hAnsi="Arial"/>
          <w:sz w:val="18"/>
          <w:szCs w:val="18"/>
          <w:color w:val="auto"/>
        </w:rPr>
        <w:t>Shares purchased by a participant under the Plan shall be registered in the name of the participant (or, to the extent permitted under applicable law as determined by the Administrator in its discretion, in the name of the participant and his or her spouse).</w:t>
      </w:r>
    </w:p>
    <w:p>
      <w:pPr>
        <w:spacing w:after="0" w:line="168" w:lineRule="exact"/>
        <w:rPr>
          <w:rFonts w:ascii="Arial" w:cs="Arial" w:eastAsia="Arial" w:hAnsi="Arial"/>
          <w:sz w:val="18"/>
          <w:szCs w:val="18"/>
          <w:color w:val="auto"/>
        </w:rPr>
      </w:pPr>
    </w:p>
    <w:p>
      <w:pPr>
        <w:ind w:left="1340" w:hanging="393"/>
        <w:spacing w:after="0"/>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00" w:right="359" w:firstLine="1285"/>
        <w:spacing w:after="0" w:line="259" w:lineRule="auto"/>
        <w:tabs>
          <w:tab w:leader="none" w:pos="2154"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Plan shall be administered by the Administrator. The Administrator shall have full and exclusive discretionary authority to adopt such rules, guidelines and forms as it deems appropriate to implement the Plan, to construe, interpret and apply the terms of the Plan, to determine eligibility and to adjudicate all disputed claims filed under the Plan. Every finding, decision and determination made by the Administrator shall, to the full extent permitted by law, be final and binding upon all parties.</w:t>
      </w:r>
    </w:p>
    <w:p>
      <w:pPr>
        <w:spacing w:after="0" w:line="160" w:lineRule="exact"/>
        <w:rPr>
          <w:rFonts w:ascii="Arial" w:cs="Arial" w:eastAsia="Arial" w:hAnsi="Arial"/>
          <w:sz w:val="17"/>
          <w:szCs w:val="17"/>
          <w:color w:val="auto"/>
        </w:rPr>
      </w:pPr>
    </w:p>
    <w:p>
      <w:pPr>
        <w:ind w:left="300" w:right="359" w:firstLine="1285"/>
        <w:spacing w:after="0" w:line="270" w:lineRule="auto"/>
        <w:tabs>
          <w:tab w:leader="none" w:pos="2154" w:val="left"/>
        </w:tabs>
        <w:numPr>
          <w:ilvl w:val="1"/>
          <w:numId w:val="60"/>
        </w:numPr>
        <w:rPr>
          <w:rFonts w:ascii="Arial" w:cs="Arial" w:eastAsia="Arial" w:hAnsi="Arial"/>
          <w:sz w:val="16"/>
          <w:szCs w:val="16"/>
          <w:color w:val="auto"/>
        </w:rPr>
      </w:pPr>
      <w:r>
        <w:rPr>
          <w:rFonts w:ascii="Arial" w:cs="Arial" w:eastAsia="Arial" w:hAnsi="Arial"/>
          <w:sz w:val="16"/>
          <w:szCs w:val="16"/>
          <w:color w:val="auto"/>
        </w:rPr>
        <w:t>Without limitation to Section 14(a) above, the Administrator will have the power, subject to, and within the limitations of, the express provisions of the Plan to adopt such procedures and sub-plans as are necessary or appropriate to permit participation in the Plan by Employees who are foreign nationals or employed outside the United States. Without limiting the generality of, and consistent with, the foregoing, the Administrator specifically is authorized to adopt rules, procedures, and sub-plans regarding, without limitation, eligibility to participate in the Plan and the 423 Component or Non-423 Component thereof, the definition of eligible “Compensation,” handling of payroll deductions, establishment of bank or trust accounts to hold payroll deductions,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Subsidiary designated for participation in the Non-423 Component, do not have to comply with the requirements of Section 423.</w:t>
      </w:r>
    </w:p>
    <w:p>
      <w:pPr>
        <w:spacing w:after="0" w:line="153" w:lineRule="exact"/>
        <w:rPr>
          <w:rFonts w:ascii="Arial" w:cs="Arial" w:eastAsia="Arial" w:hAnsi="Arial"/>
          <w:sz w:val="16"/>
          <w:szCs w:val="16"/>
          <w:color w:val="auto"/>
        </w:rPr>
      </w:pPr>
    </w:p>
    <w:p>
      <w:pPr>
        <w:ind w:left="1340" w:hanging="393"/>
        <w:spacing w:after="0"/>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300" w:right="379" w:firstLine="1295"/>
        <w:spacing w:after="0" w:line="253" w:lineRule="auto"/>
        <w:tabs>
          <w:tab w:leader="none" w:pos="2271"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Company may, but is not obligated to, permit a participant to file a written designation of a beneficiary who is to receive any shares and cash, if any, from the participant’s account under the Plan in the event of such participant’s death subsequent to an Exercise Date on which the option is exercised but prior to delivery to such participant of such shares and cash, in a form or manner that is deemed to be acceptable to the Company. In addition, the Company may, but is not obligated to, permit a participant to file a written designation of a beneficiary who is to receive any cash from the participant’s account under the Plan in the event of such participant’s death prior to exercise of the option, in a form or manner that is deemed to be acceptable to the Company. If a participant is married and the designated beneficiary is not the spouse, spousal consent shall be required for such designation to be effective.</w:t>
      </w:r>
    </w:p>
    <w:p>
      <w:pPr>
        <w:spacing w:after="0" w:line="170" w:lineRule="exact"/>
        <w:rPr>
          <w:rFonts w:ascii="Arial" w:cs="Arial" w:eastAsia="Arial" w:hAnsi="Arial"/>
          <w:sz w:val="17"/>
          <w:szCs w:val="17"/>
          <w:color w:val="auto"/>
        </w:rPr>
      </w:pPr>
    </w:p>
    <w:p>
      <w:pPr>
        <w:ind w:left="300" w:right="459" w:firstLine="1295"/>
        <w:spacing w:after="0" w:line="324" w:lineRule="auto"/>
        <w:tabs>
          <w:tab w:leader="none" w:pos="2282"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may, but is not obligated to, permit such designation of beneficiary to be changed by the participant by written notice in a form or manner that is deemed to be acceptable to the Company.</w:t>
      </w:r>
    </w:p>
    <w:p>
      <w:pPr>
        <w:spacing w:after="0" w:line="110" w:lineRule="exact"/>
        <w:rPr>
          <w:rFonts w:ascii="Arial" w:cs="Arial" w:eastAsia="Arial" w:hAnsi="Arial"/>
          <w:sz w:val="16"/>
          <w:szCs w:val="16"/>
          <w:color w:val="auto"/>
        </w:rPr>
      </w:pPr>
    </w:p>
    <w:p>
      <w:pPr>
        <w:ind w:left="300" w:right="359" w:firstLine="1295"/>
        <w:spacing w:after="0" w:line="255" w:lineRule="auto"/>
        <w:tabs>
          <w:tab w:leader="none" w:pos="2282" w:val="left"/>
        </w:tabs>
        <w:numPr>
          <w:ilvl w:val="1"/>
          <w:numId w:val="60"/>
        </w:numPr>
        <w:rPr>
          <w:rFonts w:ascii="Arial" w:cs="Arial" w:eastAsia="Arial" w:hAnsi="Arial"/>
          <w:sz w:val="17"/>
          <w:szCs w:val="17"/>
          <w:color w:val="auto"/>
        </w:rPr>
      </w:pPr>
      <w:r>
        <w:rPr>
          <w:rFonts w:ascii="Arial" w:cs="Arial" w:eastAsia="Arial" w:hAnsi="Arial"/>
          <w:sz w:val="17"/>
          <w:szCs w:val="17"/>
          <w:color w:val="auto"/>
        </w:rPr>
        <w:t>In the event of the death of a participant and in the absence of a beneficiary validly designated under the Plan and applicable law (such validity being determined by the Company in its sole discretion)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66" w:lineRule="exact"/>
        <w:rPr>
          <w:rFonts w:ascii="Arial" w:cs="Arial" w:eastAsia="Arial" w:hAnsi="Arial"/>
          <w:sz w:val="17"/>
          <w:szCs w:val="17"/>
          <w:color w:val="auto"/>
        </w:rPr>
      </w:pPr>
    </w:p>
    <w:p>
      <w:pPr>
        <w:ind w:left="300" w:right="719" w:firstLine="647"/>
        <w:spacing w:after="0" w:line="284" w:lineRule="auto"/>
        <w:tabs>
          <w:tab w:leader="none" w:pos="1344"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payroll deductions credited to a participant’s account nor any rights with regard to the exercise of an option or to receive shares under the Plan may be assigned, transferred, pledged or otherwise disposed of in any way by the participant (other than by will, the applicable laws of descent and distribution or as may be provided pursuant to Section 15 hereof). Any such attempt at assignment, transfer,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7" w:right="1440" w:bottom="1440" w:gutter="0" w:footer="0" w:header="0"/>
        </w:sectPr>
      </w:pPr>
    </w:p>
    <w:bookmarkStart w:id="136" w:name="page137"/>
    <w:bookmarkEnd w:id="136"/>
    <w:p>
      <w:pPr>
        <w:ind w:left="300" w:right="719"/>
        <w:spacing w:after="0" w:line="261" w:lineRule="auto"/>
        <w:rPr>
          <w:sz w:val="20"/>
          <w:szCs w:val="20"/>
          <w:color w:val="auto"/>
        </w:rPr>
      </w:pPr>
      <w:r>
        <w:rPr>
          <w:rFonts w:ascii="Arial" w:cs="Arial" w:eastAsia="Arial" w:hAnsi="Arial"/>
          <w:sz w:val="18"/>
          <w:szCs w:val="18"/>
          <w:color w:val="auto"/>
        </w:rPr>
        <w:t>pledge or other disposition shall be without effect, except that the Company may treat such act as an election to withdraw funds from an Offering Period in accordance with Section 10 hereof.</w:t>
      </w:r>
    </w:p>
    <w:p>
      <w:pPr>
        <w:spacing w:after="0" w:line="157" w:lineRule="exact"/>
        <w:rPr>
          <w:sz w:val="20"/>
          <w:szCs w:val="20"/>
          <w:color w:val="auto"/>
        </w:rPr>
      </w:pPr>
    </w:p>
    <w:p>
      <w:pPr>
        <w:ind w:left="300" w:right="399" w:firstLine="647"/>
        <w:spacing w:after="0" w:line="294" w:lineRule="auto"/>
        <w:tabs>
          <w:tab w:leader="none" w:pos="134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Except as otherwise required by applicable law (as determined by the Administrator in its sole discretion), all payroll deductions received or held by the Company under the Plan may be used by the Company for any corporate purpose, and the Company shall not be obligated to segregate such payroll deductions.</w:t>
      </w:r>
    </w:p>
    <w:p>
      <w:pPr>
        <w:spacing w:after="0" w:line="133" w:lineRule="exact"/>
        <w:rPr>
          <w:rFonts w:ascii="Arial" w:cs="Arial" w:eastAsia="Arial" w:hAnsi="Arial"/>
          <w:sz w:val="16"/>
          <w:szCs w:val="16"/>
          <w:color w:val="auto"/>
        </w:rPr>
      </w:pPr>
    </w:p>
    <w:p>
      <w:pPr>
        <w:ind w:left="1340" w:hanging="393"/>
        <w:spacing w:after="0"/>
        <w:tabs>
          <w:tab w:leader="none" w:pos="134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Adjustments Upon Changes in Capitalization, Dissolution, Liquidation, Merger or Asset Sale</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00" w:right="379" w:firstLine="1295"/>
        <w:spacing w:after="0" w:line="269" w:lineRule="auto"/>
        <w:tabs>
          <w:tab w:leader="none" w:pos="2271"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any required action by the stockholders of the Company, the Reserves, the maximum number of shares each participant may purchase each Purchase Period (pursuant to Section 7), as well as the Purchase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outstanding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57" w:lineRule="exact"/>
        <w:rPr>
          <w:rFonts w:ascii="Arial" w:cs="Arial" w:eastAsia="Arial" w:hAnsi="Arial"/>
          <w:sz w:val="16"/>
          <w:szCs w:val="16"/>
          <w:color w:val="auto"/>
        </w:rPr>
      </w:pPr>
    </w:p>
    <w:p>
      <w:pPr>
        <w:ind w:left="300" w:right="419" w:firstLine="1295"/>
        <w:spacing w:after="0" w:line="248" w:lineRule="auto"/>
        <w:tabs>
          <w:tab w:leader="none" w:pos="2282"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Offering Periods shall terminate immediately prior to the consummation of such proposed action, unless otherwise provided by the Administrator.</w:t>
      </w:r>
    </w:p>
    <w:p>
      <w:pPr>
        <w:spacing w:after="0" w:line="168" w:lineRule="exact"/>
        <w:rPr>
          <w:rFonts w:ascii="Arial" w:cs="Arial" w:eastAsia="Arial" w:hAnsi="Arial"/>
          <w:sz w:val="18"/>
          <w:szCs w:val="18"/>
          <w:color w:val="auto"/>
        </w:rPr>
      </w:pPr>
    </w:p>
    <w:p>
      <w:pPr>
        <w:ind w:left="300" w:right="379" w:firstLine="1295"/>
        <w:spacing w:after="0" w:line="252" w:lineRule="auto"/>
        <w:tabs>
          <w:tab w:leader="none" w:pos="2271"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Merger or Asset Sale</w:t>
      </w:r>
      <w:r>
        <w:rPr>
          <w:rFonts w:ascii="Arial" w:cs="Arial" w:eastAsia="Arial" w:hAnsi="Arial"/>
          <w:sz w:val="17"/>
          <w:szCs w:val="17"/>
          <w:color w:val="auto"/>
        </w:rPr>
        <w:t>. In the event of a proposed sale of all or substantially all of the assets of the Company, or the merger of the Company with or into another corporation, limited liability company or other entity, the Plan shall terminate upon the date of the consummation of such transaction and any Purchase Periods then in progress shall be shortened by setting a new Exercise Date (the “New Exercise Date”) and any Offering Periods then in progress shall end on the New Exercise Date, unless the plan of merger, consolidation or reorganization provides otherwise. The New Exercise Date shall be determined by the Administrator in its sole discretion; provided, that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 The Plan shall in no event be construed to restrict the Company’s right to undertake any liquidation, dissolution, merger, consolidation or other reorganization.</w:t>
      </w:r>
    </w:p>
    <w:p>
      <w:pPr>
        <w:spacing w:after="0" w:line="166" w:lineRule="exact"/>
        <w:rPr>
          <w:rFonts w:ascii="Arial" w:cs="Arial" w:eastAsia="Arial" w:hAnsi="Arial"/>
          <w:sz w:val="17"/>
          <w:szCs w:val="17"/>
          <w:color w:val="auto"/>
        </w:rPr>
      </w:pPr>
    </w:p>
    <w:p>
      <w:pPr>
        <w:ind w:left="1340" w:hanging="393"/>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00" w:right="419" w:firstLine="1295"/>
        <w:spacing w:after="0" w:line="254" w:lineRule="auto"/>
        <w:tabs>
          <w:tab w:leader="none" w:pos="2268"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Board (or any committee thereof to which it delegates such authority) may at any time and for any reason terminate or amend the Plan. Except as provided in Section 18 hereof, no such termination can affect options previously granted, provided that an Offering Period may be terminated by the Board (or any committee thereof to which it delegates such authority) on any Exercise Date if the Board (or such committee) determines that the termination of such Offering Period is in the best interests of the Company and its stockholders. For purposes of the 423 Component, to the extent necessary to comply with Section 423 (or any successor rule or provision or any other applicable law, regulation or stock exchange rule), the Company shall obtain stockholder approval in such a manner and to such a degree as required.</w:t>
      </w:r>
    </w:p>
    <w:p>
      <w:pPr>
        <w:spacing w:after="0" w:line="167" w:lineRule="exact"/>
        <w:rPr>
          <w:rFonts w:ascii="Arial" w:cs="Arial" w:eastAsia="Arial" w:hAnsi="Arial"/>
          <w:sz w:val="17"/>
          <w:szCs w:val="17"/>
          <w:color w:val="auto"/>
        </w:rPr>
      </w:pPr>
    </w:p>
    <w:p>
      <w:pPr>
        <w:ind w:left="300" w:right="359" w:firstLine="1295"/>
        <w:spacing w:after="0" w:line="284" w:lineRule="auto"/>
        <w:tabs>
          <w:tab w:leader="none" w:pos="2282" w:val="left"/>
        </w:tabs>
        <w:numPr>
          <w:ilvl w:val="1"/>
          <w:numId w:val="61"/>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the Administrator shall be entitled to change the Offering Periods or Purchase Periods, limit the frequency and/or number of changes in the amount withheld during an Offering Period, establish the exchange ratio applicable to amounts withheld in a currency other than U.S. dollars,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7" w:name="page138"/>
    <w:bookmarkEnd w:id="137"/>
    <w:p>
      <w:pPr>
        <w:ind w:left="300" w:right="479"/>
        <w:spacing w:after="0" w:line="257" w:lineRule="auto"/>
        <w:rPr>
          <w:sz w:val="20"/>
          <w:szCs w:val="20"/>
          <w:color w:val="auto"/>
        </w:rPr>
      </w:pPr>
      <w:r>
        <w:rPr>
          <w:rFonts w:ascii="Arial" w:cs="Arial" w:eastAsia="Arial" w:hAnsi="Arial"/>
          <w:sz w:val="17"/>
          <w:szCs w:val="17"/>
          <w:color w:val="auto"/>
        </w:rPr>
        <w:t>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advisable which are consistent with the Plan.</w:t>
      </w:r>
    </w:p>
    <w:p>
      <w:pPr>
        <w:spacing w:after="0" w:line="162" w:lineRule="exact"/>
        <w:rPr>
          <w:sz w:val="20"/>
          <w:szCs w:val="20"/>
          <w:color w:val="auto"/>
        </w:rPr>
      </w:pPr>
    </w:p>
    <w:p>
      <w:pPr>
        <w:ind w:left="300" w:right="379" w:firstLine="647"/>
        <w:spacing w:after="0" w:line="248" w:lineRule="auto"/>
        <w:tabs>
          <w:tab w:leader="none" w:pos="134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95" w:lineRule="exact"/>
        <w:rPr>
          <w:rFonts w:ascii="Arial" w:cs="Arial" w:eastAsia="Arial" w:hAnsi="Arial"/>
          <w:sz w:val="18"/>
          <w:szCs w:val="18"/>
          <w:color w:val="auto"/>
        </w:rPr>
      </w:pPr>
    </w:p>
    <w:p>
      <w:pPr>
        <w:ind w:left="300" w:right="319" w:firstLine="647"/>
        <w:spacing w:after="0" w:line="255" w:lineRule="auto"/>
        <w:tabs>
          <w:tab w:leader="none" w:pos="134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 Shares shall not be issued with respect to an option unless the exercise of such option and the issuance and delivery of such shares pursuant thereto shall comply with all applicable provisions of law, domestic or foreign, including, without limitation, the U.S. Securities Act of 1933, as amended, the U.S. Securities Exchange Act of 1934, as amended, the rules and regulations promulgated thereunder, and the requirements of any stock exchange or stock market upon which the shares may then be listed, and any other applicable securities, exchange control or other regulations, and shall be further subject to the approval of counsel for the Company with respect to such compliance.</w:t>
      </w:r>
    </w:p>
    <w:p>
      <w:pPr>
        <w:spacing w:after="0" w:line="166" w:lineRule="exact"/>
        <w:rPr>
          <w:sz w:val="20"/>
          <w:szCs w:val="20"/>
          <w:color w:val="auto"/>
        </w:rPr>
      </w:pPr>
    </w:p>
    <w:p>
      <w:pPr>
        <w:ind w:left="300" w:right="459" w:firstLine="1295"/>
        <w:spacing w:after="0" w:line="284"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42" w:lineRule="exact"/>
        <w:rPr>
          <w:sz w:val="20"/>
          <w:szCs w:val="20"/>
          <w:color w:val="auto"/>
        </w:rPr>
      </w:pPr>
    </w:p>
    <w:p>
      <w:pPr>
        <w:ind w:left="300" w:right="419" w:firstLine="647"/>
        <w:spacing w:after="0" w:line="279" w:lineRule="auto"/>
        <w:tabs>
          <w:tab w:leader="none" w:pos="1344"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 Rights As An Employee</w:t>
      </w:r>
      <w:r>
        <w:rPr>
          <w:rFonts w:ascii="Arial" w:cs="Arial" w:eastAsia="Arial" w:hAnsi="Arial"/>
          <w:sz w:val="16"/>
          <w:szCs w:val="16"/>
          <w:color w:val="auto"/>
        </w:rPr>
        <w:t>. Nothing in the Plan or in any right granted under the Plan shall confer upon a participant any right to continue in the employ of the Company or any Designated Subsidiary for any period of specific duration or interfere with or otherwise restrict in any way the rights of the Company or any Designated Subsidiary or of a participant, which rights are hereby expressly reserved by each, to terminate his or her employment at any time and for any reason, with or without cause (subject to applicable law).</w:t>
      </w:r>
    </w:p>
    <w:p>
      <w:pPr>
        <w:spacing w:after="0" w:line="145" w:lineRule="exact"/>
        <w:rPr>
          <w:rFonts w:ascii="Arial" w:cs="Arial" w:eastAsia="Arial" w:hAnsi="Arial"/>
          <w:sz w:val="16"/>
          <w:szCs w:val="16"/>
          <w:color w:val="auto"/>
        </w:rPr>
      </w:pPr>
    </w:p>
    <w:p>
      <w:pPr>
        <w:ind w:left="300" w:right="459" w:firstLine="647"/>
        <w:spacing w:after="0" w:line="261" w:lineRule="auto"/>
        <w:tabs>
          <w:tab w:leader="none" w:pos="13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as amended and restated, shall become effective upon the Effective Date. It shall continue until terminated under Section 19 hereof.</w:t>
      </w:r>
    </w:p>
    <w:p>
      <w:pPr>
        <w:spacing w:after="0" w:line="157" w:lineRule="exact"/>
        <w:rPr>
          <w:rFonts w:ascii="Arial" w:cs="Arial" w:eastAsia="Arial" w:hAnsi="Arial"/>
          <w:sz w:val="18"/>
          <w:szCs w:val="18"/>
          <w:color w:val="auto"/>
        </w:rPr>
      </w:pPr>
    </w:p>
    <w:p>
      <w:pPr>
        <w:ind w:left="300" w:right="399" w:firstLine="647"/>
        <w:spacing w:after="0" w:line="257" w:lineRule="auto"/>
        <w:tabs>
          <w:tab w:leader="none" w:pos="1344"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Automatic Transfer to Low Price Offering Period</w:t>
      </w:r>
      <w:r>
        <w:rPr>
          <w:rFonts w:ascii="Arial" w:cs="Arial" w:eastAsia="Arial" w:hAnsi="Arial"/>
          <w:sz w:val="17"/>
          <w:szCs w:val="17"/>
          <w:color w:val="auto"/>
        </w:rPr>
        <w:t>. To the extent permitted by any applicable laws, regulations, or stock exchange rules, if the Fair Market Value of the Common Stock on any Exercise Date in an Offering Period is lower than the Fair Market Value of the Common Stock on the Enrollment Date of such Offering Period, then all participants in such Offering Period shall be automatically withdrawn from such Offering Period immediately after the exercise of their option on such Exercise Date and automatically re-enrolled in the immediately following Offering Period as of the first day thereof.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8" w:name="page139"/>
    <w:bookmarkEnd w:id="138"/>
    <w:p>
      <w:pPr>
        <w:ind w:left="7520"/>
        <w:spacing w:after="0"/>
        <w:rPr>
          <w:sz w:val="20"/>
          <w:szCs w:val="20"/>
          <w:color w:val="auto"/>
        </w:rPr>
      </w:pPr>
      <w:r>
        <w:rPr>
          <w:rFonts w:ascii="Arial" w:cs="Arial" w:eastAsia="Arial" w:hAnsi="Arial"/>
          <w:sz w:val="18"/>
          <w:szCs w:val="18"/>
          <w:b w:val="1"/>
          <w:bCs w:val="1"/>
          <w:color w:val="auto"/>
        </w:rPr>
        <w:t>Exhibit 10.19.1</w:t>
      </w:r>
    </w:p>
    <w:p>
      <w:pPr>
        <w:spacing w:after="0" w:line="232" w:lineRule="exact"/>
        <w:rPr>
          <w:sz w:val="20"/>
          <w:szCs w:val="20"/>
          <w:color w:val="auto"/>
        </w:rPr>
      </w:pPr>
    </w:p>
    <w:p>
      <w:pPr>
        <w:ind w:left="200" w:right="279"/>
        <w:spacing w:after="0" w:line="385" w:lineRule="auto"/>
        <w:rPr>
          <w:sz w:val="20"/>
          <w:szCs w:val="20"/>
          <w:color w:val="auto"/>
        </w:rPr>
      </w:pPr>
      <w:r>
        <w:rPr>
          <w:rFonts w:ascii="Arial" w:cs="Arial" w:eastAsia="Arial" w:hAnsi="Arial"/>
          <w:sz w:val="16"/>
          <w:szCs w:val="16"/>
          <w:b w:val="1"/>
          <w:bCs w:val="1"/>
          <w:i w:val="1"/>
          <w:iCs w:val="1"/>
          <w:color w:val="auto"/>
        </w:rPr>
        <w:t>Certain identified information, marked by [***], has been excluded from the exhibit because it is both (i) not material and (ii) would likely cause competitive harm to the Company, if publicly disclosed.</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Confidential Information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COLLABORATION AND LICENSE AGREEMENT</w:t>
      </w:r>
    </w:p>
    <w:p>
      <w:pPr>
        <w:spacing w:after="0" w:line="200" w:lineRule="exact"/>
        <w:rPr>
          <w:sz w:val="20"/>
          <w:szCs w:val="20"/>
          <w:color w:val="auto"/>
        </w:rPr>
      </w:pPr>
    </w:p>
    <w:p>
      <w:pPr>
        <w:spacing w:after="0" w:line="272" w:lineRule="exact"/>
        <w:rPr>
          <w:sz w:val="20"/>
          <w:szCs w:val="20"/>
          <w:color w:val="auto"/>
        </w:rPr>
      </w:pPr>
    </w:p>
    <w:p>
      <w:pPr>
        <w:jc w:val="both"/>
        <w:ind w:left="200" w:right="219"/>
        <w:spacing w:after="0" w:line="308" w:lineRule="auto"/>
        <w:rPr>
          <w:sz w:val="20"/>
          <w:szCs w:val="20"/>
          <w:color w:val="auto"/>
        </w:rPr>
      </w:pPr>
      <w:r>
        <w:rPr>
          <w:rFonts w:ascii="Arial" w:cs="Arial" w:eastAsia="Arial" w:hAnsi="Arial"/>
          <w:sz w:val="19"/>
          <w:szCs w:val="19"/>
          <w:color w:val="auto"/>
        </w:rPr>
        <w:t>This First Amendment (“</w:t>
      </w:r>
      <w:r>
        <w:rPr>
          <w:rFonts w:ascii="Arial" w:cs="Arial" w:eastAsia="Arial" w:hAnsi="Arial"/>
          <w:sz w:val="19"/>
          <w:szCs w:val="19"/>
          <w:b w:val="1"/>
          <w:bCs w:val="1"/>
          <w:color w:val="auto"/>
        </w:rPr>
        <w:t>Amendment</w:t>
      </w:r>
      <w:r>
        <w:rPr>
          <w:rFonts w:ascii="Arial" w:cs="Arial" w:eastAsia="Arial" w:hAnsi="Arial"/>
          <w:sz w:val="19"/>
          <w:szCs w:val="19"/>
          <w:color w:val="auto"/>
        </w:rPr>
        <w:t>”) to the Collaboration and License Agreement, dated January 12, 2020 (“</w:t>
      </w:r>
      <w:r>
        <w:rPr>
          <w:rFonts w:ascii="Arial" w:cs="Arial" w:eastAsia="Arial" w:hAnsi="Arial"/>
          <w:sz w:val="19"/>
          <w:szCs w:val="19"/>
          <w:b w:val="1"/>
          <w:bCs w:val="1"/>
          <w:color w:val="auto"/>
        </w:rPr>
        <w:t>Agreement</w:t>
      </w:r>
      <w:r>
        <w:rPr>
          <w:rFonts w:ascii="Arial" w:cs="Arial" w:eastAsia="Arial" w:hAnsi="Arial"/>
          <w:sz w:val="19"/>
          <w:szCs w:val="19"/>
          <w:color w:val="auto"/>
        </w:rPr>
        <w:t>”) is effective as of July 17, 2020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w:t>
      </w:r>
    </w:p>
    <w:p>
      <w:pPr>
        <w:spacing w:after="0" w:line="384" w:lineRule="exact"/>
        <w:rPr>
          <w:sz w:val="20"/>
          <w:szCs w:val="20"/>
          <w:color w:val="auto"/>
        </w:rPr>
      </w:pPr>
    </w:p>
    <w:p>
      <w:pPr>
        <w:jc w:val="both"/>
        <w:ind w:left="200" w:right="219"/>
        <w:spacing w:after="0" w:line="280" w:lineRule="auto"/>
        <w:rPr>
          <w:sz w:val="20"/>
          <w:szCs w:val="20"/>
          <w:color w:val="auto"/>
        </w:rPr>
      </w:pPr>
      <w:r>
        <w:rPr>
          <w:rFonts w:ascii="Arial" w:cs="Arial" w:eastAsia="Arial" w:hAnsi="Arial"/>
          <w:sz w:val="18"/>
          <w:szCs w:val="18"/>
          <w:b w:val="1"/>
          <w:bCs w:val="1"/>
          <w:color w:val="auto"/>
        </w:rPr>
        <w:t>MorphoSys AG</w:t>
      </w:r>
      <w:r>
        <w:rPr>
          <w:rFonts w:ascii="Arial" w:cs="Arial" w:eastAsia="Arial" w:hAnsi="Arial"/>
          <w:sz w:val="18"/>
          <w:szCs w:val="18"/>
          <w:color w:val="auto"/>
        </w:rPr>
        <w:t>, a German stock corporation having a place of business at Semmelweisstrasse 7, 82152</w:t>
      </w:r>
      <w:r>
        <w:rPr>
          <w:rFonts w:ascii="Arial" w:cs="Arial" w:eastAsia="Arial" w:hAnsi="Arial"/>
          <w:sz w:val="18"/>
          <w:szCs w:val="18"/>
          <w:b w:val="1"/>
          <w:bCs w:val="1"/>
          <w:color w:val="auto"/>
        </w:rPr>
        <w:t xml:space="preserve"> </w:t>
      </w:r>
      <w:r>
        <w:rPr>
          <w:rFonts w:ascii="Arial" w:cs="Arial" w:eastAsia="Arial" w:hAnsi="Arial"/>
          <w:sz w:val="18"/>
          <w:szCs w:val="18"/>
          <w:color w:val="auto"/>
        </w:rPr>
        <w:t>Planegg, Germany ("</w:t>
      </w:r>
      <w:r>
        <w:rPr>
          <w:rFonts w:ascii="Arial" w:cs="Arial" w:eastAsia="Arial" w:hAnsi="Arial"/>
          <w:sz w:val="18"/>
          <w:szCs w:val="18"/>
          <w:b w:val="1"/>
          <w:bCs w:val="1"/>
          <w:color w:val="auto"/>
        </w:rPr>
        <w:t>MorphoSys AG</w:t>
      </w:r>
      <w:r>
        <w:rPr>
          <w:rFonts w:ascii="Arial" w:cs="Arial" w:eastAsia="Arial" w:hAnsi="Arial"/>
          <w:sz w:val="18"/>
          <w:szCs w:val="18"/>
          <w:color w:val="auto"/>
        </w:rPr>
        <w:t xml:space="preserve">"), and </w:t>
      </w:r>
      <w:r>
        <w:rPr>
          <w:rFonts w:ascii="Arial" w:cs="Arial" w:eastAsia="Arial" w:hAnsi="Arial"/>
          <w:sz w:val="18"/>
          <w:szCs w:val="18"/>
          <w:b w:val="1"/>
          <w:bCs w:val="1"/>
          <w:color w:val="auto"/>
        </w:rPr>
        <w:t>MorphoSys US Inc</w:t>
      </w:r>
      <w:r>
        <w:rPr>
          <w:rFonts w:ascii="Arial" w:cs="Arial" w:eastAsia="Arial" w:hAnsi="Arial"/>
          <w:sz w:val="18"/>
          <w:szCs w:val="18"/>
          <w:color w:val="auto"/>
        </w:rPr>
        <w:t>., a Delaware corporation, wholly-owned by MorphoSys AG, having its place of business at 470 Atlantic Avenue, 14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Boston, MA 02210, USA ("</w:t>
      </w:r>
      <w:r>
        <w:rPr>
          <w:rFonts w:ascii="Arial" w:cs="Arial" w:eastAsia="Arial" w:hAnsi="Arial"/>
          <w:sz w:val="18"/>
          <w:szCs w:val="18"/>
          <w:b w:val="1"/>
          <w:bCs w:val="1"/>
          <w:color w:val="auto"/>
        </w:rPr>
        <w:t>MorphoSys Inc.</w:t>
      </w:r>
      <w:r>
        <w:rPr>
          <w:rFonts w:ascii="Arial" w:cs="Arial" w:eastAsia="Arial" w:hAnsi="Arial"/>
          <w:sz w:val="18"/>
          <w:szCs w:val="18"/>
          <w:color w:val="auto"/>
        </w:rPr>
        <w:t>"), (both MorphoSys AG and MorphoSys Inc., "</w:t>
      </w:r>
      <w:r>
        <w:rPr>
          <w:rFonts w:ascii="Arial" w:cs="Arial" w:eastAsia="Arial" w:hAnsi="Arial"/>
          <w:sz w:val="18"/>
          <w:szCs w:val="18"/>
          <w:b w:val="1"/>
          <w:bCs w:val="1"/>
          <w:color w:val="auto"/>
        </w:rPr>
        <w:t>MorphoSys</w:t>
      </w:r>
      <w:r>
        <w:rPr>
          <w:rFonts w:ascii="Arial" w:cs="Arial" w:eastAsia="Arial" w:hAnsi="Arial"/>
          <w:sz w:val="18"/>
          <w:szCs w:val="18"/>
          <w:color w:val="auto"/>
        </w:rPr>
        <w:t>")</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both"/>
        <w:ind w:left="200" w:right="239"/>
        <w:spacing w:after="0" w:line="295" w:lineRule="auto"/>
        <w:rPr>
          <w:sz w:val="20"/>
          <w:szCs w:val="20"/>
          <w:color w:val="auto"/>
        </w:rPr>
      </w:pPr>
      <w:r>
        <w:rPr>
          <w:rFonts w:ascii="Arial" w:cs="Arial" w:eastAsia="Arial" w:hAnsi="Arial"/>
          <w:sz w:val="20"/>
          <w:szCs w:val="20"/>
          <w:b w:val="1"/>
          <w:bCs w:val="1"/>
          <w:color w:val="auto"/>
        </w:rPr>
        <w:t>Incyte Corporation</w:t>
      </w:r>
      <w:r>
        <w:rPr>
          <w:rFonts w:ascii="Arial" w:cs="Arial" w:eastAsia="Arial" w:hAnsi="Arial"/>
          <w:sz w:val="20"/>
          <w:szCs w:val="20"/>
          <w:color w:val="auto"/>
        </w:rPr>
        <w:t>, a Delaware corporation with its principal place of business at 1801 Augustine Cut-Off, Wilmington, Delaware 19803, USA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23" w:lineRule="exact"/>
        <w:rPr>
          <w:sz w:val="20"/>
          <w:szCs w:val="20"/>
          <w:color w:val="auto"/>
        </w:rPr>
      </w:pPr>
    </w:p>
    <w:p>
      <w:pPr>
        <w:jc w:val="both"/>
        <w:ind w:left="200" w:right="219"/>
        <w:spacing w:after="0" w:line="267" w:lineRule="auto"/>
        <w:rPr>
          <w:sz w:val="20"/>
          <w:szCs w:val="20"/>
          <w:color w:val="auto"/>
        </w:rPr>
      </w:pPr>
      <w:r>
        <w:rPr>
          <w:rFonts w:ascii="Arial" w:cs="Arial" w:eastAsia="Arial" w:hAnsi="Arial"/>
          <w:sz w:val="20"/>
          <w:szCs w:val="20"/>
          <w:color w:val="auto"/>
        </w:rPr>
        <w:t>MorphoSys and COMPANY each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ind w:left="200" w:right="279"/>
        <w:spacing w:after="0" w:line="260" w:lineRule="auto"/>
        <w:rPr>
          <w:sz w:val="20"/>
          <w:szCs w:val="20"/>
          <w:color w:val="auto"/>
        </w:rPr>
      </w:pPr>
      <w:r>
        <w:rPr>
          <w:rFonts w:ascii="Arial" w:cs="Arial" w:eastAsia="Arial" w:hAnsi="Arial"/>
          <w:sz w:val="20"/>
          <w:szCs w:val="20"/>
          <w:color w:val="auto"/>
        </w:rPr>
        <w:t xml:space="preserve">WHEREAS, the Agreement, as more specifically set forth in its Sections 5.5(a)(i)-(ii) and 16.6(a)(i), provides for the inclusion of the approved statement set forth in </w:t>
      </w:r>
      <w:r>
        <w:rPr>
          <w:rFonts w:ascii="Arial" w:cs="Arial" w:eastAsia="Arial" w:hAnsi="Arial"/>
          <w:sz w:val="20"/>
          <w:szCs w:val="20"/>
          <w:b w:val="1"/>
          <w:bCs w:val="1"/>
          <w:u w:val="single" w:color="auto"/>
          <w:color w:val="auto"/>
        </w:rPr>
        <w:t>Exhibit 18</w:t>
      </w:r>
      <w:r>
        <w:rPr>
          <w:rFonts w:ascii="Arial" w:cs="Arial" w:eastAsia="Arial" w:hAnsi="Arial"/>
          <w:sz w:val="20"/>
          <w:szCs w:val="20"/>
          <w:color w:val="auto"/>
        </w:rPr>
        <w:t xml:space="preserve"> in any Public Disclosure, media release or public announcement referencing the Licensed Antibody and/or Product, and in certain publications; and</w:t>
      </w:r>
    </w:p>
    <w:p>
      <w:pPr>
        <w:spacing w:after="0" w:line="83" w:lineRule="exact"/>
        <w:rPr>
          <w:sz w:val="20"/>
          <w:szCs w:val="20"/>
          <w:color w:val="auto"/>
        </w:rPr>
      </w:pPr>
    </w:p>
    <w:p>
      <w:pPr>
        <w:ind w:left="200" w:right="219"/>
        <w:spacing w:after="0" w:line="274" w:lineRule="auto"/>
        <w:rPr>
          <w:sz w:val="20"/>
          <w:szCs w:val="20"/>
          <w:color w:val="auto"/>
        </w:rPr>
      </w:pPr>
      <w:r>
        <w:rPr>
          <w:rFonts w:ascii="Arial" w:cs="Arial" w:eastAsia="Arial" w:hAnsi="Arial"/>
          <w:sz w:val="20"/>
          <w:szCs w:val="20"/>
          <w:color w:val="auto"/>
        </w:rPr>
        <w:t>WHEREAS, COMPANY and MorphoSys have agreed to amend the Agreement to provide for a change of such approved statement and address potential further changes.</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20"/>
          <w:szCs w:val="20"/>
          <w:b w:val="1"/>
          <w:bCs w:val="1"/>
          <w:u w:val="single" w:color="auto"/>
          <w:color w:val="auto"/>
        </w:rPr>
        <w:t>NOW and THEREFORE, the Parties hereby agree as follows:</w:t>
      </w:r>
    </w:p>
    <w:p>
      <w:pPr>
        <w:spacing w:after="0" w:line="200" w:lineRule="exact"/>
        <w:rPr>
          <w:sz w:val="20"/>
          <w:szCs w:val="20"/>
          <w:color w:val="auto"/>
        </w:rPr>
      </w:pPr>
    </w:p>
    <w:p>
      <w:pPr>
        <w:spacing w:after="0" w:line="265" w:lineRule="exact"/>
        <w:rPr>
          <w:sz w:val="20"/>
          <w:szCs w:val="20"/>
          <w:color w:val="auto"/>
        </w:rPr>
      </w:pPr>
    </w:p>
    <w:p>
      <w:pPr>
        <w:ind w:left="200" w:right="239"/>
        <w:spacing w:after="0" w:line="260" w:lineRule="auto"/>
        <w:rPr>
          <w:sz w:val="20"/>
          <w:szCs w:val="20"/>
          <w:color w:val="auto"/>
        </w:rPr>
      </w:pPr>
      <w:r>
        <w:rPr>
          <w:rFonts w:ascii="Arial" w:cs="Arial" w:eastAsia="Arial" w:hAnsi="Arial"/>
          <w:sz w:val="20"/>
          <w:szCs w:val="20"/>
          <w:color w:val="auto"/>
        </w:rPr>
        <w:t>All capitalized terms used in this Amendment shall have the meaning ascribed to them in the Agreement, except as otherwise expressly stated herein.</w:t>
      </w:r>
    </w:p>
    <w:p>
      <w:pPr>
        <w:spacing w:after="0" w:line="400" w:lineRule="exact"/>
        <w:rPr>
          <w:sz w:val="20"/>
          <w:szCs w:val="20"/>
          <w:color w:val="auto"/>
        </w:rPr>
      </w:pPr>
    </w:p>
    <w:p>
      <w:pPr>
        <w:ind w:left="200" w:right="219" w:firstLine="9"/>
        <w:spacing w:after="0" w:line="267" w:lineRule="auto"/>
        <w:tabs>
          <w:tab w:leader="none" w:pos="398"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Exhibit 18</w:t>
      </w:r>
      <w:r>
        <w:rPr>
          <w:rFonts w:ascii="Arial" w:cs="Arial" w:eastAsia="Arial" w:hAnsi="Arial"/>
          <w:sz w:val="20"/>
          <w:szCs w:val="20"/>
          <w:b w:val="1"/>
          <w:bCs w:val="1"/>
          <w:color w:val="auto"/>
        </w:rPr>
        <w:t xml:space="preserve"> </w:t>
      </w:r>
      <w:r>
        <w:rPr>
          <w:rFonts w:ascii="Arial" w:cs="Arial" w:eastAsia="Arial" w:hAnsi="Arial"/>
          <w:sz w:val="20"/>
          <w:szCs w:val="20"/>
          <w:color w:val="auto"/>
        </w:rPr>
        <w:t>to the Agreement shall be deleted in its entirety and replaced by the new</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18</w:t>
      </w:r>
      <w:r>
        <w:rPr>
          <w:rFonts w:ascii="Arial" w:cs="Arial" w:eastAsia="Arial" w:hAnsi="Arial"/>
          <w:sz w:val="20"/>
          <w:szCs w:val="20"/>
          <w:b w:val="1"/>
          <w:bCs w:val="1"/>
          <w:color w:val="auto"/>
        </w:rPr>
        <w:t xml:space="preserve"> </w:t>
      </w:r>
      <w:r>
        <w:rPr>
          <w:rFonts w:ascii="Arial" w:cs="Arial" w:eastAsia="Arial" w:hAnsi="Arial"/>
          <w:sz w:val="20"/>
          <w:szCs w:val="20"/>
          <w:color w:val="auto"/>
        </w:rPr>
        <w:t>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Amendment.</w:t>
      </w:r>
    </w:p>
    <w:p>
      <w:pPr>
        <w:spacing w:after="0" w:line="392" w:lineRule="exact"/>
        <w:rPr>
          <w:rFonts w:ascii="Arial" w:cs="Arial" w:eastAsia="Arial" w:hAnsi="Arial"/>
          <w:sz w:val="20"/>
          <w:szCs w:val="20"/>
          <w:b w:val="1"/>
          <w:bCs w:val="1"/>
          <w:color w:val="auto"/>
        </w:rPr>
      </w:pPr>
    </w:p>
    <w:p>
      <w:pPr>
        <w:ind w:left="400" w:hanging="191"/>
        <w:spacing w:after="0"/>
        <w:tabs>
          <w:tab w:leader="none" w:pos="40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under all other terms of the Agreement.</w:t>
      </w:r>
    </w:p>
    <w:p>
      <w:pPr>
        <w:spacing w:after="0" w:line="114" w:lineRule="exact"/>
        <w:rPr>
          <w:sz w:val="20"/>
          <w:szCs w:val="20"/>
          <w:color w:val="auto"/>
        </w:rPr>
      </w:pPr>
    </w:p>
    <w:p>
      <w:pPr>
        <w:ind w:left="200" w:right="239"/>
        <w:spacing w:after="0" w:line="316" w:lineRule="auto"/>
        <w:rPr>
          <w:sz w:val="20"/>
          <w:szCs w:val="20"/>
          <w:color w:val="auto"/>
        </w:rPr>
      </w:pPr>
      <w:r>
        <w:rPr>
          <w:rFonts w:ascii="Arial" w:cs="Arial" w:eastAsia="Arial" w:hAnsi="Arial"/>
          <w:sz w:val="18"/>
          <w:szCs w:val="18"/>
          <w:color w:val="auto"/>
        </w:rPr>
        <w:t>Except as expressly amended hereby, the Agreement shall continue in full force and effect. This Amendment is incorporated and made a part of the Agreement between MorphoSys and COMPANY.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39" w:name="page140"/>
    <w:bookmarkEnd w:id="139"/>
    <w:p>
      <w:pPr>
        <w:ind w:left="200"/>
        <w:spacing w:after="0"/>
        <w:rPr>
          <w:sz w:val="20"/>
          <w:szCs w:val="20"/>
          <w:color w:val="auto"/>
        </w:rPr>
      </w:pPr>
      <w:r>
        <w:rPr>
          <w:rFonts w:ascii="Arial" w:cs="Arial" w:eastAsia="Arial" w:hAnsi="Arial"/>
          <w:sz w:val="20"/>
          <w:szCs w:val="20"/>
          <w:color w:val="auto"/>
        </w:rPr>
        <w:t>Confidential Information</w:t>
      </w:r>
    </w:p>
    <w:p>
      <w:pPr>
        <w:spacing w:after="0" w:line="202" w:lineRule="exact"/>
        <w:rPr>
          <w:sz w:val="20"/>
          <w:szCs w:val="20"/>
          <w:color w:val="auto"/>
        </w:rPr>
      </w:pPr>
    </w:p>
    <w:p>
      <w:pPr>
        <w:ind w:left="200" w:right="219"/>
        <w:spacing w:after="0" w:line="260" w:lineRule="auto"/>
        <w:rPr>
          <w:sz w:val="20"/>
          <w:szCs w:val="20"/>
          <w:color w:val="auto"/>
        </w:rPr>
      </w:pPr>
      <w:r>
        <w:rPr>
          <w:rFonts w:ascii="Arial" w:cs="Arial" w:eastAsia="Arial" w:hAnsi="Arial"/>
          <w:sz w:val="20"/>
          <w:szCs w:val="20"/>
          <w:color w:val="auto"/>
        </w:rPr>
        <w:t>the event of any conflict or inconsistency between the Agreement and this Amendment, the latter shall prevail.</w:t>
      </w:r>
    </w:p>
    <w:p>
      <w:pPr>
        <w:spacing w:after="0" w:line="40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3. Counterparts.</w:t>
      </w:r>
    </w:p>
    <w:p>
      <w:pPr>
        <w:spacing w:after="0" w:line="114" w:lineRule="exact"/>
        <w:rPr>
          <w:sz w:val="20"/>
          <w:szCs w:val="20"/>
          <w:color w:val="auto"/>
        </w:rPr>
      </w:pPr>
    </w:p>
    <w:p>
      <w:pPr>
        <w:ind w:left="200" w:right="219"/>
        <w:spacing w:after="0" w:line="260" w:lineRule="auto"/>
        <w:rPr>
          <w:sz w:val="20"/>
          <w:szCs w:val="20"/>
          <w:color w:val="auto"/>
        </w:rPr>
      </w:pPr>
      <w:r>
        <w:rPr>
          <w:rFonts w:ascii="Arial" w:cs="Arial" w:eastAsia="Arial" w:hAnsi="Arial"/>
          <w:sz w:val="20"/>
          <w:szCs w:val="20"/>
          <w:color w:val="auto"/>
        </w:rPr>
        <w:t>This Amendment may be executed in three (3)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27" w:lineRule="exact"/>
        <w:rPr>
          <w:sz w:val="20"/>
          <w:szCs w:val="20"/>
          <w:color w:val="auto"/>
        </w:rPr>
      </w:pPr>
    </w:p>
    <w:p>
      <w:pPr>
        <w:ind w:left="200" w:right="219"/>
        <w:spacing w:after="0" w:line="281"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by duly authorized persons, executed this Amendment,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w:t>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3520" w:type="dxa"/>
            <w:vAlign w:val="bottom"/>
            <w:gridSpan w:val="2"/>
          </w:tcPr>
          <w:p>
            <w:pPr>
              <w:spacing w:after="0"/>
              <w:rPr>
                <w:sz w:val="20"/>
                <w:szCs w:val="20"/>
                <w:color w:val="auto"/>
              </w:rPr>
            </w:pPr>
            <w:r>
              <w:rPr>
                <w:rFonts w:ascii="Arial" w:cs="Arial" w:eastAsia="Arial" w:hAnsi="Arial"/>
                <w:sz w:val="20"/>
                <w:szCs w:val="20"/>
                <w:b w:val="1"/>
                <w:bCs w:val="1"/>
                <w:color w:val="auto"/>
              </w:rPr>
              <w:t>MorphoSys AG</w:t>
            </w:r>
          </w:p>
        </w:tc>
        <w:tc>
          <w:tcPr>
            <w:tcW w:w="13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405"/>
        </w:trPr>
        <w:tc>
          <w:tcPr>
            <w:tcW w:w="580" w:type="dxa"/>
            <w:vAlign w:val="bottom"/>
          </w:tcPr>
          <w:p>
            <w:pPr>
              <w:spacing w:after="0"/>
              <w:rPr>
                <w:sz w:val="20"/>
                <w:szCs w:val="20"/>
                <w:color w:val="auto"/>
              </w:rPr>
            </w:pPr>
            <w:r>
              <w:rPr>
                <w:rFonts w:ascii="Arial" w:cs="Arial" w:eastAsia="Arial" w:hAnsi="Arial"/>
                <w:sz w:val="20"/>
                <w:szCs w:val="20"/>
                <w:color w:val="auto"/>
              </w:rPr>
              <w:t>By:</w:t>
            </w:r>
          </w:p>
        </w:tc>
        <w:tc>
          <w:tcPr>
            <w:tcW w:w="2940" w:type="dxa"/>
            <w:vAlign w:val="bottom"/>
          </w:tcPr>
          <w:p>
            <w:pPr>
              <w:ind w:left="80"/>
              <w:spacing w:after="0"/>
              <w:rPr>
                <w:sz w:val="20"/>
                <w:szCs w:val="20"/>
                <w:color w:val="auto"/>
              </w:rPr>
            </w:pPr>
            <w:r>
              <w:rPr>
                <w:rFonts w:ascii="Arial" w:cs="Arial" w:eastAsia="Arial" w:hAnsi="Arial"/>
                <w:sz w:val="20"/>
                <w:szCs w:val="20"/>
                <w:color w:val="auto"/>
              </w:rPr>
              <w:t>/s/ Dr. Barbara Krebs-Pohl</w:t>
            </w:r>
          </w:p>
        </w:tc>
        <w:tc>
          <w:tcPr>
            <w:tcW w:w="1320" w:type="dxa"/>
            <w:vAlign w:val="bottom"/>
          </w:tcPr>
          <w:p>
            <w:pPr>
              <w:ind w:left="760"/>
              <w:spacing w:after="0"/>
              <w:rPr>
                <w:sz w:val="20"/>
                <w:szCs w:val="20"/>
                <w:color w:val="auto"/>
              </w:rPr>
            </w:pPr>
            <w:r>
              <w:rPr>
                <w:rFonts w:ascii="Arial" w:cs="Arial" w:eastAsia="Arial" w:hAnsi="Arial"/>
                <w:sz w:val="20"/>
                <w:szCs w:val="20"/>
                <w:color w:val="auto"/>
              </w:rPr>
              <w:t>By:</w:t>
            </w:r>
          </w:p>
        </w:tc>
        <w:tc>
          <w:tcPr>
            <w:tcW w:w="1760" w:type="dxa"/>
            <w:vAlign w:val="bottom"/>
          </w:tcPr>
          <w:p>
            <w:pPr>
              <w:ind w:left="80"/>
              <w:spacing w:after="0"/>
              <w:rPr>
                <w:sz w:val="20"/>
                <w:szCs w:val="20"/>
                <w:color w:val="auto"/>
              </w:rPr>
            </w:pPr>
            <w:r>
              <w:rPr>
                <w:rFonts w:ascii="Arial" w:cs="Arial" w:eastAsia="Arial" w:hAnsi="Arial"/>
                <w:sz w:val="20"/>
                <w:szCs w:val="20"/>
                <w:color w:val="auto"/>
                <w:w w:val="89"/>
              </w:rPr>
              <w:t>/s/ Dr. Anja Pomrehn</w:t>
            </w:r>
          </w:p>
        </w:tc>
      </w:tr>
      <w:tr>
        <w:trPr>
          <w:trHeight w:val="63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2940" w:type="dxa"/>
            <w:vAlign w:val="bottom"/>
          </w:tcPr>
          <w:p>
            <w:pPr>
              <w:ind w:left="80"/>
              <w:spacing w:after="0"/>
              <w:rPr>
                <w:sz w:val="20"/>
                <w:szCs w:val="20"/>
                <w:color w:val="auto"/>
              </w:rPr>
            </w:pPr>
            <w:r>
              <w:rPr>
                <w:rFonts w:ascii="Arial" w:cs="Arial" w:eastAsia="Arial" w:hAnsi="Arial"/>
                <w:sz w:val="20"/>
                <w:szCs w:val="20"/>
                <w:color w:val="auto"/>
              </w:rPr>
              <w:t>Dr. Barbara Krebs-Pohl</w:t>
            </w:r>
          </w:p>
        </w:tc>
        <w:tc>
          <w:tcPr>
            <w:tcW w:w="1320" w:type="dxa"/>
            <w:vAlign w:val="bottom"/>
          </w:tcPr>
          <w:p>
            <w:pPr>
              <w:ind w:left="760"/>
              <w:spacing w:after="0"/>
              <w:rPr>
                <w:sz w:val="20"/>
                <w:szCs w:val="20"/>
                <w:color w:val="auto"/>
              </w:rPr>
            </w:pPr>
            <w:r>
              <w:rPr>
                <w:rFonts w:ascii="Arial" w:cs="Arial" w:eastAsia="Arial" w:hAnsi="Arial"/>
                <w:sz w:val="20"/>
                <w:szCs w:val="20"/>
                <w:color w:val="auto"/>
                <w:w w:val="91"/>
              </w:rPr>
              <w:t>Name:</w:t>
            </w:r>
          </w:p>
        </w:tc>
        <w:tc>
          <w:tcPr>
            <w:tcW w:w="1760" w:type="dxa"/>
            <w:vAlign w:val="bottom"/>
          </w:tcPr>
          <w:p>
            <w:pPr>
              <w:ind w:left="80"/>
              <w:spacing w:after="0"/>
              <w:rPr>
                <w:sz w:val="20"/>
                <w:szCs w:val="20"/>
                <w:color w:val="auto"/>
              </w:rPr>
            </w:pPr>
            <w:r>
              <w:rPr>
                <w:rFonts w:ascii="Arial" w:cs="Arial" w:eastAsia="Arial" w:hAnsi="Arial"/>
                <w:sz w:val="20"/>
                <w:szCs w:val="20"/>
                <w:color w:val="auto"/>
              </w:rPr>
              <w:t>Dr. Anja Pomrehn</w:t>
            </w:r>
          </w:p>
        </w:tc>
      </w:tr>
      <w:tr>
        <w:trPr>
          <w:trHeight w:val="648"/>
        </w:trPr>
        <w:tc>
          <w:tcPr>
            <w:tcW w:w="580" w:type="dxa"/>
            <w:vAlign w:val="bottom"/>
          </w:tcPr>
          <w:p>
            <w:pPr>
              <w:spacing w:after="0"/>
              <w:rPr>
                <w:sz w:val="20"/>
                <w:szCs w:val="20"/>
                <w:color w:val="auto"/>
              </w:rPr>
            </w:pPr>
            <w:r>
              <w:rPr>
                <w:rFonts w:ascii="Arial" w:cs="Arial" w:eastAsia="Arial" w:hAnsi="Arial"/>
                <w:sz w:val="20"/>
                <w:szCs w:val="20"/>
                <w:color w:val="auto"/>
              </w:rPr>
              <w:t>Title:</w:t>
            </w:r>
          </w:p>
        </w:tc>
        <w:tc>
          <w:tcPr>
            <w:tcW w:w="2940" w:type="dxa"/>
            <w:vAlign w:val="bottom"/>
          </w:tcPr>
          <w:p>
            <w:pPr>
              <w:ind w:left="40"/>
              <w:spacing w:after="0"/>
              <w:rPr>
                <w:sz w:val="20"/>
                <w:szCs w:val="20"/>
                <w:color w:val="auto"/>
              </w:rPr>
            </w:pPr>
            <w:r>
              <w:rPr>
                <w:rFonts w:ascii="Arial" w:cs="Arial" w:eastAsia="Arial" w:hAnsi="Arial"/>
                <w:sz w:val="20"/>
                <w:szCs w:val="20"/>
                <w:color w:val="auto"/>
              </w:rPr>
              <w:t>SVP, Head of BDL &amp; AM</w:t>
            </w:r>
          </w:p>
        </w:tc>
        <w:tc>
          <w:tcPr>
            <w:tcW w:w="1320" w:type="dxa"/>
            <w:vAlign w:val="bottom"/>
          </w:tcPr>
          <w:p>
            <w:pPr>
              <w:ind w:left="760"/>
              <w:spacing w:after="0"/>
              <w:rPr>
                <w:sz w:val="20"/>
                <w:szCs w:val="20"/>
                <w:color w:val="auto"/>
              </w:rPr>
            </w:pPr>
            <w:r>
              <w:rPr>
                <w:rFonts w:ascii="Arial" w:cs="Arial" w:eastAsia="Arial" w:hAnsi="Arial"/>
                <w:sz w:val="20"/>
                <w:szCs w:val="20"/>
                <w:color w:val="auto"/>
              </w:rPr>
              <w:t>Title:</w:t>
            </w:r>
          </w:p>
        </w:tc>
        <w:tc>
          <w:tcPr>
            <w:tcW w:w="1760" w:type="dxa"/>
            <w:vAlign w:val="bottom"/>
          </w:tcPr>
          <w:p>
            <w:pPr>
              <w:ind w:left="60"/>
              <w:spacing w:after="0"/>
              <w:rPr>
                <w:sz w:val="20"/>
                <w:szCs w:val="20"/>
                <w:color w:val="auto"/>
              </w:rPr>
            </w:pPr>
            <w:r>
              <w:rPr>
                <w:rFonts w:ascii="Arial" w:cs="Arial" w:eastAsia="Arial" w:hAnsi="Arial"/>
                <w:sz w:val="20"/>
                <w:szCs w:val="20"/>
                <w:color w:val="auto"/>
              </w:rPr>
              <w:t>SVP, Head of IR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3100" w:type="dxa"/>
            <w:vAlign w:val="bottom"/>
            <w:gridSpan w:val="2"/>
          </w:tcPr>
          <w:p>
            <w:pPr>
              <w:spacing w:after="0"/>
              <w:rPr>
                <w:sz w:val="20"/>
                <w:szCs w:val="20"/>
                <w:color w:val="auto"/>
              </w:rPr>
            </w:pPr>
            <w:r>
              <w:rPr>
                <w:rFonts w:ascii="Arial" w:cs="Arial" w:eastAsia="Arial" w:hAnsi="Arial"/>
                <w:sz w:val="20"/>
                <w:szCs w:val="20"/>
                <w:b w:val="1"/>
                <w:bCs w:val="1"/>
                <w:color w:val="auto"/>
              </w:rPr>
              <w:t>MorphoSys US Inc.</w:t>
            </w:r>
          </w:p>
        </w:tc>
        <w:tc>
          <w:tcPr>
            <w:tcW w:w="17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05"/>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2540" w:type="dxa"/>
            <w:vAlign w:val="bottom"/>
          </w:tcPr>
          <w:p>
            <w:pPr>
              <w:ind w:left="20"/>
              <w:spacing w:after="0"/>
              <w:rPr>
                <w:sz w:val="20"/>
                <w:szCs w:val="20"/>
                <w:color w:val="auto"/>
              </w:rPr>
            </w:pPr>
            <w:r>
              <w:rPr>
                <w:rFonts w:ascii="Arial" w:cs="Arial" w:eastAsia="Arial" w:hAnsi="Arial"/>
                <w:sz w:val="20"/>
                <w:szCs w:val="20"/>
                <w:color w:val="auto"/>
              </w:rPr>
              <w:t>/s/ David Trexler</w:t>
            </w:r>
          </w:p>
        </w:tc>
        <w:tc>
          <w:tcPr>
            <w:tcW w:w="1760" w:type="dxa"/>
            <w:vAlign w:val="bottom"/>
          </w:tcPr>
          <w:p>
            <w:pPr>
              <w:ind w:left="1180"/>
              <w:spacing w:after="0"/>
              <w:rPr>
                <w:sz w:val="20"/>
                <w:szCs w:val="20"/>
                <w:color w:val="auto"/>
              </w:rPr>
            </w:pPr>
            <w:r>
              <w:rPr>
                <w:rFonts w:ascii="Arial" w:cs="Arial" w:eastAsia="Arial" w:hAnsi="Arial"/>
                <w:sz w:val="20"/>
                <w:szCs w:val="20"/>
                <w:color w:val="auto"/>
              </w:rPr>
              <w:t>By:</w:t>
            </w:r>
          </w:p>
        </w:tc>
        <w:tc>
          <w:tcPr>
            <w:tcW w:w="1240" w:type="dxa"/>
            <w:vAlign w:val="bottom"/>
          </w:tcPr>
          <w:p>
            <w:pPr>
              <w:ind w:left="60"/>
              <w:spacing w:after="0"/>
              <w:rPr>
                <w:sz w:val="20"/>
                <w:szCs w:val="20"/>
                <w:color w:val="auto"/>
              </w:rPr>
            </w:pPr>
            <w:r>
              <w:rPr>
                <w:rFonts w:ascii="Arial" w:cs="Arial" w:eastAsia="Arial" w:hAnsi="Arial"/>
                <w:sz w:val="20"/>
                <w:szCs w:val="20"/>
                <w:color w:val="auto"/>
                <w:w w:val="89"/>
              </w:rPr>
              <w:t>/s/ Ben Looker</w:t>
            </w:r>
          </w:p>
        </w:tc>
      </w:tr>
      <w:tr>
        <w:trPr>
          <w:trHeight w:val="635"/>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2540" w:type="dxa"/>
            <w:vAlign w:val="bottom"/>
          </w:tcPr>
          <w:p>
            <w:pPr>
              <w:ind w:left="100"/>
              <w:spacing w:after="0"/>
              <w:rPr>
                <w:sz w:val="20"/>
                <w:szCs w:val="20"/>
                <w:color w:val="auto"/>
              </w:rPr>
            </w:pPr>
            <w:r>
              <w:rPr>
                <w:rFonts w:ascii="Arial" w:cs="Arial" w:eastAsia="Arial" w:hAnsi="Arial"/>
                <w:sz w:val="20"/>
                <w:szCs w:val="20"/>
                <w:color w:val="auto"/>
              </w:rPr>
              <w:t>David Trexler</w:t>
            </w:r>
          </w:p>
        </w:tc>
        <w:tc>
          <w:tcPr>
            <w:tcW w:w="1760" w:type="dxa"/>
            <w:vAlign w:val="bottom"/>
          </w:tcPr>
          <w:p>
            <w:pPr>
              <w:ind w:left="1180"/>
              <w:spacing w:after="0"/>
              <w:rPr>
                <w:sz w:val="20"/>
                <w:szCs w:val="20"/>
                <w:color w:val="auto"/>
              </w:rPr>
            </w:pPr>
            <w:r>
              <w:rPr>
                <w:rFonts w:ascii="Arial" w:cs="Arial" w:eastAsia="Arial" w:hAnsi="Arial"/>
                <w:sz w:val="20"/>
                <w:szCs w:val="20"/>
                <w:color w:val="auto"/>
                <w:w w:val="94"/>
              </w:rPr>
              <w:t>Name:</w:t>
            </w:r>
          </w:p>
        </w:tc>
        <w:tc>
          <w:tcPr>
            <w:tcW w:w="1240" w:type="dxa"/>
            <w:vAlign w:val="bottom"/>
          </w:tcPr>
          <w:p>
            <w:pPr>
              <w:ind w:left="60"/>
              <w:spacing w:after="0"/>
              <w:rPr>
                <w:sz w:val="20"/>
                <w:szCs w:val="20"/>
                <w:color w:val="auto"/>
              </w:rPr>
            </w:pPr>
            <w:r>
              <w:rPr>
                <w:rFonts w:ascii="Arial" w:cs="Arial" w:eastAsia="Arial" w:hAnsi="Arial"/>
                <w:sz w:val="20"/>
                <w:szCs w:val="20"/>
                <w:color w:val="auto"/>
              </w:rPr>
              <w:t>Ben Looker</w:t>
            </w:r>
          </w:p>
        </w:tc>
      </w:tr>
      <w:tr>
        <w:trPr>
          <w:trHeight w:val="648"/>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2540" w:type="dxa"/>
            <w:vAlign w:val="bottom"/>
          </w:tcPr>
          <w:p>
            <w:pPr>
              <w:ind w:left="100"/>
              <w:spacing w:after="0"/>
              <w:rPr>
                <w:sz w:val="20"/>
                <w:szCs w:val="20"/>
                <w:color w:val="auto"/>
              </w:rPr>
            </w:pPr>
            <w:r>
              <w:rPr>
                <w:rFonts w:ascii="Arial" w:cs="Arial" w:eastAsia="Arial" w:hAnsi="Arial"/>
                <w:sz w:val="20"/>
                <w:szCs w:val="20"/>
                <w:color w:val="auto"/>
              </w:rPr>
              <w:t>President</w:t>
            </w:r>
          </w:p>
        </w:tc>
        <w:tc>
          <w:tcPr>
            <w:tcW w:w="1760" w:type="dxa"/>
            <w:vAlign w:val="bottom"/>
          </w:tcPr>
          <w:p>
            <w:pPr>
              <w:ind w:left="1180"/>
              <w:spacing w:after="0"/>
              <w:rPr>
                <w:sz w:val="20"/>
                <w:szCs w:val="20"/>
                <w:color w:val="auto"/>
              </w:rPr>
            </w:pPr>
            <w:r>
              <w:rPr>
                <w:rFonts w:ascii="Arial" w:cs="Arial" w:eastAsia="Arial" w:hAnsi="Arial"/>
                <w:sz w:val="20"/>
                <w:szCs w:val="20"/>
                <w:color w:val="auto"/>
              </w:rPr>
              <w:t>Title:</w:t>
            </w:r>
          </w:p>
        </w:tc>
        <w:tc>
          <w:tcPr>
            <w:tcW w:w="1240" w:type="dxa"/>
            <w:vAlign w:val="bottom"/>
          </w:tcPr>
          <w:p>
            <w:pPr>
              <w:ind w:left="60"/>
              <w:spacing w:after="0"/>
              <w:rPr>
                <w:sz w:val="20"/>
                <w:szCs w:val="20"/>
                <w:color w:val="auto"/>
              </w:rPr>
            </w:pPr>
            <w:r>
              <w:rPr>
                <w:rFonts w:ascii="Arial" w:cs="Arial" w:eastAsia="Arial" w:hAnsi="Arial"/>
                <w:sz w:val="20"/>
                <w:szCs w:val="20"/>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NCYTE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p>
    <w:p>
      <w:pPr>
        <w:spacing w:after="0" w:line="168"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Vijay Iyengar</w:t>
      </w: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Name: Vijay Iyengar</w:t>
      </w:r>
    </w:p>
    <w:p>
      <w:pPr>
        <w:spacing w:after="0" w:line="200" w:lineRule="exact"/>
        <w:rPr>
          <w:sz w:val="20"/>
          <w:szCs w:val="20"/>
          <w:color w:val="auto"/>
        </w:rPr>
      </w:pPr>
    </w:p>
    <w:p>
      <w:pPr>
        <w:spacing w:after="0" w:line="205"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20"/>
          <w:szCs w:val="20"/>
          <w:color w:val="auto"/>
        </w:rPr>
        <w:t>Title:</w:t>
        <w:tab/>
        <w:t>EVP, GS &amp; 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2" w:right="1440" w:bottom="1440" w:gutter="0" w:footer="0" w:header="0"/>
        </w:sectPr>
      </w:pPr>
    </w:p>
    <w:bookmarkStart w:id="140" w:name="page141"/>
    <w:bookmarkEnd w:id="140"/>
    <w:p>
      <w:pPr>
        <w:ind w:left="200"/>
        <w:spacing w:after="0"/>
        <w:rPr>
          <w:sz w:val="20"/>
          <w:szCs w:val="20"/>
          <w:color w:val="auto"/>
        </w:rPr>
      </w:pPr>
      <w:r>
        <w:rPr>
          <w:rFonts w:ascii="Arial" w:cs="Arial" w:eastAsia="Arial" w:hAnsi="Arial"/>
          <w:sz w:val="20"/>
          <w:szCs w:val="20"/>
          <w:color w:val="auto"/>
        </w:rPr>
        <w:t>Confidential Information</w:t>
      </w:r>
    </w:p>
    <w:p>
      <w:pPr>
        <w:spacing w:after="0" w:line="210"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EXHIBIT 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STATEMENT FOR COMPANY’S MEDIA RELEASES AND PUBLICATIONS*</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2" w:right="1440" w:bottom="1440" w:gutter="0" w:footer="0" w:header="0"/>
        </w:sectPr>
      </w:pPr>
    </w:p>
    <w:bookmarkStart w:id="141" w:name="page142"/>
    <w:bookmarkEnd w:id="141"/>
    <w:tbl>
      <w:tblPr>
        <w:tblLayout w:type="fixed"/>
        <w:tblInd w:w="4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800"/>
              <w:spacing w:after="0"/>
              <w:rPr>
                <w:sz w:val="20"/>
                <w:szCs w:val="20"/>
                <w:color w:val="auto"/>
              </w:rPr>
            </w:pPr>
            <w:r>
              <w:rPr>
                <w:rFonts w:ascii="Arial" w:cs="Arial" w:eastAsia="Arial" w:hAnsi="Arial"/>
                <w:sz w:val="18"/>
                <w:szCs w:val="18"/>
                <w:b w:val="1"/>
                <w:bCs w:val="1"/>
                <w:color w:val="auto"/>
                <w:w w:val="89"/>
              </w:rPr>
              <w:t>Exhibit 21.1</w:t>
            </w:r>
          </w:p>
        </w:tc>
      </w:tr>
      <w:tr>
        <w:trPr>
          <w:trHeight w:val="418"/>
        </w:trPr>
        <w:tc>
          <w:tcPr>
            <w:tcW w:w="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60" w:type="dxa"/>
            <w:vAlign w:val="bottom"/>
            <w:gridSpan w:val="4"/>
          </w:tcPr>
          <w:p>
            <w:pPr>
              <w:ind w:left="160"/>
              <w:spacing w:after="0"/>
              <w:rPr>
                <w:sz w:val="20"/>
                <w:szCs w:val="20"/>
                <w:color w:val="auto"/>
              </w:rPr>
            </w:pPr>
            <w:r>
              <w:rPr>
                <w:rFonts w:ascii="Arial" w:cs="Arial" w:eastAsia="Arial" w:hAnsi="Arial"/>
                <w:sz w:val="18"/>
                <w:szCs w:val="18"/>
                <w:b w:val="1"/>
                <w:bCs w:val="1"/>
                <w:color w:val="auto"/>
              </w:rPr>
              <w:t>SUBSIDIARIES</w:t>
            </w:r>
          </w:p>
        </w:tc>
      </w:tr>
      <w:tr>
        <w:trPr>
          <w:trHeight w:val="355"/>
        </w:trPr>
        <w:tc>
          <w:tcPr>
            <w:tcW w:w="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Jurisdiction of</w:t>
            </w:r>
          </w:p>
        </w:tc>
      </w:tr>
      <w:tr>
        <w:trPr>
          <w:trHeight w:val="185"/>
        </w:trPr>
        <w:tc>
          <w:tcPr>
            <w:tcW w:w="8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Incorporation</w:t>
            </w:r>
          </w:p>
        </w:tc>
      </w:tr>
      <w:tr>
        <w:trPr>
          <w:trHeight w:val="209"/>
        </w:trPr>
        <w:tc>
          <w:tcPr>
            <w:tcW w:w="80" w:type="dxa"/>
            <w:vAlign w:val="bottom"/>
          </w:tcPr>
          <w:p>
            <w:pPr>
              <w:spacing w:after="0"/>
              <w:rPr>
                <w:sz w:val="18"/>
                <w:szCs w:val="18"/>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Incyte Biosciences Corporation</w:t>
            </w:r>
          </w:p>
        </w:tc>
        <w:tc>
          <w:tcPr>
            <w:tcW w:w="3400" w:type="dxa"/>
            <w:vAlign w:val="bottom"/>
            <w:tcBorders>
              <w:top w:val="single" w:sz="8" w:color="auto"/>
            </w:tcBorders>
          </w:tcPr>
          <w:p>
            <w:pPr>
              <w:ind w:left="2180"/>
              <w:spacing w:after="0"/>
              <w:rPr>
                <w:sz w:val="20"/>
                <w:szCs w:val="20"/>
                <w:color w:val="auto"/>
              </w:rPr>
            </w:pPr>
            <w:r>
              <w:rPr>
                <w:rFonts w:ascii="Arial" w:cs="Arial" w:eastAsia="Arial" w:hAnsi="Arial"/>
                <w:sz w:val="18"/>
                <w:szCs w:val="18"/>
                <w:color w:val="auto"/>
              </w:rPr>
              <w:t>Delaware</w:t>
            </w:r>
          </w:p>
        </w:tc>
        <w:tc>
          <w:tcPr>
            <w:tcW w:w="1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Holdings Corporation</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Delaware</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Research Institute LLC</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Delaware</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International Holdings Corporation</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Delaware</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Canada Corporation</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Canada</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International Holdings S.à r.l.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Luxembourg</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International S.à r.l.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Switzerland</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Austria GmbH</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Austria</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Denmark ApS</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Denmark</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Finland Oy</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Finland</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France</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France</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Germany GmbH</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Germany</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Italy S.R.L.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Italy</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Israel Ltd</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Israel</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Distribution B.V.</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Netherlands</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Benelux B.V.</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Netherlands</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Norway AS</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Norway</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Iberia S.L.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Spain</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Nordic AB</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Sweden</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UK Ltd</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UK</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3"/>
              </w:rPr>
              <w:t>Incyte Biosciences Technical Operations S.à r.l.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Switzerland</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Australia Pty Ltd</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Australia</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Japan G.K.</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Japan</w:t>
            </w:r>
          </w:p>
        </w:tc>
      </w:tr>
      <w:tr>
        <w:trPr>
          <w:trHeight w:val="230"/>
        </w:trPr>
        <w:tc>
          <w:tcPr>
            <w:tcW w:w="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(Shanghai) Co., Ltd.</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China</w:t>
            </w:r>
          </w:p>
        </w:tc>
      </w:tr>
      <w:tr>
        <w:trPr>
          <w:trHeight w:val="763"/>
        </w:trPr>
        <w:tc>
          <w:tcPr>
            <w:tcW w:w="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2" w:name="page143"/>
    <w:bookmarkEnd w:id="142"/>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2" w:lineRule="exact"/>
        <w:rPr>
          <w:sz w:val="20"/>
          <w:szCs w:val="20"/>
          <w:color w:val="auto"/>
        </w:rPr>
      </w:pPr>
    </w:p>
    <w:p>
      <w:pPr>
        <w:ind w:left="700" w:hanging="332"/>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(Form S-3 No. 333-229682) of Incyte Corporation,</w:t>
      </w:r>
    </w:p>
    <w:p>
      <w:pPr>
        <w:spacing w:after="0" w:line="211" w:lineRule="exact"/>
        <w:rPr>
          <w:rFonts w:ascii="Arial" w:cs="Arial" w:eastAsia="Arial" w:hAnsi="Arial"/>
          <w:sz w:val="18"/>
          <w:szCs w:val="18"/>
          <w:color w:val="auto"/>
        </w:rPr>
      </w:pPr>
    </w:p>
    <w:p>
      <w:pPr>
        <w:ind w:left="700" w:right="79" w:hanging="332"/>
        <w:spacing w:after="0" w:line="261"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Statements (Form S-8 Nos. 333-31409, 333-174919, 333-212102 and 333-239162) pertaining to the 1997 Employee Stock Purchase Plan of Incyte Corporation, and</w:t>
      </w:r>
    </w:p>
    <w:p>
      <w:pPr>
        <w:spacing w:after="0" w:line="170" w:lineRule="exact"/>
        <w:rPr>
          <w:rFonts w:ascii="Arial" w:cs="Arial" w:eastAsia="Arial" w:hAnsi="Arial"/>
          <w:sz w:val="18"/>
          <w:szCs w:val="18"/>
          <w:color w:val="auto"/>
        </w:rPr>
      </w:pPr>
    </w:p>
    <w:p>
      <w:pPr>
        <w:jc w:val="both"/>
        <w:ind w:left="700" w:right="59" w:hanging="332"/>
        <w:spacing w:after="0" w:line="24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Statements (Form S-8 Nos. 333-167526, 333-174918, 333-182218, 333-189424, 333-197907, 333-212104, 333-225181 and 333-231129) pertaining to the Incyte Corporation Amended and Restated 2010 Stock Incentive Plan;</w:t>
      </w:r>
    </w:p>
    <w:p>
      <w:pPr>
        <w:spacing w:after="0" w:line="182"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8"/>
          <w:szCs w:val="18"/>
          <w:color w:val="auto"/>
        </w:rPr>
        <w:t>of our reports dated February 9, 2021, with respect to the consolidated financial statements of Incyte Corporation and the effectiveness of internal control over financial reporting of Incyte Corporation, included in this Annual Report (Form 10-K) of Incyte Corporation for the year ended December 31, 2020.</w:t>
      </w: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3" w:name="page144"/>
    <w:bookmarkEnd w:id="14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Hervé Hoppenot, certify that:</w:t>
      </w:r>
    </w:p>
    <w:p>
      <w:pPr>
        <w:spacing w:after="0" w:line="212" w:lineRule="exact"/>
        <w:rPr>
          <w:sz w:val="20"/>
          <w:szCs w:val="20"/>
          <w:color w:val="auto"/>
        </w:rPr>
      </w:pPr>
    </w:p>
    <w:p>
      <w:pPr>
        <w:ind w:left="560" w:hanging="510"/>
        <w:spacing w:after="0"/>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Incyte Corporation;</w:t>
      </w:r>
    </w:p>
    <w:p>
      <w:pPr>
        <w:spacing w:after="0" w:line="211" w:lineRule="exact"/>
        <w:rPr>
          <w:rFonts w:ascii="Arial" w:cs="Arial" w:eastAsia="Arial" w:hAnsi="Arial"/>
          <w:sz w:val="18"/>
          <w:szCs w:val="18"/>
          <w:color w:val="auto"/>
        </w:rPr>
      </w:pPr>
    </w:p>
    <w:p>
      <w:pPr>
        <w:jc w:val="both"/>
        <w:ind w:left="560" w:right="79" w:hanging="510"/>
        <w:spacing w:after="0" w:line="248" w:lineRule="auto"/>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560" w:right="79" w:hanging="510"/>
        <w:spacing w:after="0" w:line="248" w:lineRule="auto"/>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60" w:right="79" w:hanging="510"/>
        <w:spacing w:after="0" w:line="270" w:lineRule="auto"/>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7"/>
          <w:szCs w:val="17"/>
          <w:color w:val="auto"/>
        </w:rPr>
      </w:pPr>
    </w:p>
    <w:p>
      <w:pPr>
        <w:jc w:val="both"/>
        <w:ind w:left="1080" w:right="79" w:hanging="517"/>
        <w:spacing w:after="0" w:line="243" w:lineRule="auto"/>
        <w:tabs>
          <w:tab w:leader="none" w:pos="1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080" w:right="79" w:hanging="517"/>
        <w:spacing w:after="0" w:line="243" w:lineRule="auto"/>
        <w:tabs>
          <w:tab w:leader="none" w:pos="1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080" w:right="79" w:hanging="517"/>
        <w:spacing w:after="0" w:line="248" w:lineRule="auto"/>
        <w:tabs>
          <w:tab w:leader="none" w:pos="1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080" w:right="79" w:hanging="517"/>
        <w:spacing w:after="0" w:line="243" w:lineRule="auto"/>
        <w:tabs>
          <w:tab w:leader="none" w:pos="1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560" w:right="79" w:hanging="510"/>
        <w:spacing w:after="0" w:line="248" w:lineRule="auto"/>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1080" w:right="79" w:hanging="517"/>
        <w:spacing w:after="0" w:line="248" w:lineRule="auto"/>
        <w:tabs>
          <w:tab w:leader="none" w:pos="1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080" w:right="79" w:hanging="517"/>
        <w:spacing w:after="0" w:line="261" w:lineRule="auto"/>
        <w:tabs>
          <w:tab w:leader="none" w:pos="1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9, 2021</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Hervé Hoppenot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4" w:name="page145"/>
    <w:bookmarkEnd w:id="14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Christiana Stamoulis, certify that:</w:t>
      </w:r>
    </w:p>
    <w:p>
      <w:pPr>
        <w:spacing w:after="0" w:line="212" w:lineRule="exact"/>
        <w:rPr>
          <w:sz w:val="20"/>
          <w:szCs w:val="20"/>
          <w:color w:val="auto"/>
        </w:rPr>
      </w:pPr>
    </w:p>
    <w:p>
      <w:pPr>
        <w:ind w:left="560" w:hanging="516"/>
        <w:spacing w:after="0"/>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Incyte Corporation;</w:t>
      </w:r>
    </w:p>
    <w:p>
      <w:pPr>
        <w:spacing w:after="0" w:line="211" w:lineRule="exact"/>
        <w:rPr>
          <w:rFonts w:ascii="Arial" w:cs="Arial" w:eastAsia="Arial" w:hAnsi="Arial"/>
          <w:sz w:val="18"/>
          <w:szCs w:val="18"/>
          <w:color w:val="auto"/>
        </w:rPr>
      </w:pPr>
    </w:p>
    <w:p>
      <w:pPr>
        <w:jc w:val="both"/>
        <w:ind w:left="560" w:right="59" w:hanging="516"/>
        <w:spacing w:after="0" w:line="248"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560" w:right="59" w:hanging="516"/>
        <w:spacing w:after="0" w:line="248"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60" w:right="59" w:hanging="516"/>
        <w:spacing w:after="0" w:line="270" w:lineRule="auto"/>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7"/>
          <w:szCs w:val="17"/>
          <w:color w:val="auto"/>
        </w:rPr>
      </w:pPr>
    </w:p>
    <w:p>
      <w:pPr>
        <w:jc w:val="both"/>
        <w:ind w:left="1060" w:right="59" w:hanging="503"/>
        <w:spacing w:after="0" w:line="243"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060" w:right="59" w:hanging="503"/>
        <w:spacing w:after="0" w:line="243"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060" w:right="79" w:hanging="503"/>
        <w:spacing w:after="0" w:line="248"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060" w:right="59" w:hanging="503"/>
        <w:spacing w:after="0" w:line="243"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560" w:right="59" w:hanging="516"/>
        <w:spacing w:after="0" w:line="248"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1060" w:right="59" w:hanging="503"/>
        <w:spacing w:after="0" w:line="248"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060" w:right="79" w:hanging="503"/>
        <w:spacing w:after="0" w:line="261"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2021</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HRISTIANA</w:t>
      </w:r>
      <w:r>
        <w:rPr>
          <w:rFonts w:ascii="Arial" w:cs="Arial" w:eastAsia="Arial" w:hAnsi="Arial"/>
          <w:sz w:val="18"/>
          <w:szCs w:val="18"/>
          <w:color w:val="auto"/>
        </w:rPr>
        <w:t xml:space="preserve"> S</w:t>
      </w:r>
      <w:r>
        <w:rPr>
          <w:rFonts w:ascii="Arial" w:cs="Arial" w:eastAsia="Arial" w:hAnsi="Arial"/>
          <w:sz w:val="12"/>
          <w:szCs w:val="12"/>
          <w:color w:val="auto"/>
        </w:rPr>
        <w:t>TAMOULIS</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9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6"/>
          <w:szCs w:val="16"/>
          <w:color w:val="auto"/>
        </w:rPr>
        <w:t>With reference to the Annual Report of Incyte Corporation (the “Company”) on Form 10-K for the year ended December 31, 2020, as filed with the Securities and Exchange Commission on the date hereof (the “Report”), I, Hervé Hoppenot, Chief Executive Officer of the Company, certify, for the purposes of 18 U.S.C. § 1350, as adopted pursuant to</w:t>
      </w:r>
    </w:p>
    <w:p>
      <w:pPr>
        <w:ind w:left="180" w:hanging="136"/>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906 of the Sarbanes-Oxley Act of 2002, that, to my knowledge:</w:t>
      </w:r>
    </w:p>
    <w:p>
      <w:pPr>
        <w:spacing w:after="0" w:line="195" w:lineRule="exact"/>
        <w:rPr>
          <w:rFonts w:ascii="Arial" w:cs="Arial" w:eastAsia="Arial" w:hAnsi="Arial"/>
          <w:sz w:val="18"/>
          <w:szCs w:val="18"/>
          <w:color w:val="auto"/>
        </w:rPr>
      </w:pPr>
    </w:p>
    <w:p>
      <w:pPr>
        <w:ind w:left="1340" w:right="79" w:hanging="648"/>
        <w:spacing w:after="0" w:line="261" w:lineRule="auto"/>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79" w:hanging="648"/>
        <w:spacing w:after="0" w:line="261" w:lineRule="auto"/>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Hervé Hoppenot</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Chief Executive Officer</w:t>
      </w:r>
    </w:p>
    <w:p>
      <w:pPr>
        <w:ind w:left="4560"/>
        <w:spacing w:after="0"/>
        <w:rPr>
          <w:sz w:val="20"/>
          <w:szCs w:val="20"/>
          <w:color w:val="auto"/>
        </w:rPr>
      </w:pPr>
      <w:r>
        <w:rPr>
          <w:rFonts w:ascii="Arial" w:cs="Arial" w:eastAsia="Arial" w:hAnsi="Arial"/>
          <w:sz w:val="18"/>
          <w:szCs w:val="18"/>
          <w:color w:val="auto"/>
        </w:rPr>
        <w:t>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6" w:name="page147"/>
    <w:bookmarkEnd w:id="14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9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6"/>
          <w:szCs w:val="16"/>
          <w:color w:val="auto"/>
        </w:rPr>
        <w:t>With reference to the Annual Report of Incyte Corporation (the “Company”) on Form 10-K for the year ended December 31, 2020, as filed with the Securities and Exchange Commission on the date hereof (the “Report”), I, Christiana Stamoulis, Chief Financial Officer of the Company, certify, for the purposes of 18 U.S.C. § 1350, as adopted pursuant to</w:t>
      </w:r>
    </w:p>
    <w:p>
      <w:pPr>
        <w:ind w:left="180" w:hanging="136"/>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906 of the Sarbanes-Oxley Act of 2002, that, to my knowledge:</w:t>
      </w:r>
    </w:p>
    <w:p>
      <w:pPr>
        <w:spacing w:after="0" w:line="195" w:lineRule="exact"/>
        <w:rPr>
          <w:rFonts w:ascii="Arial" w:cs="Arial" w:eastAsia="Arial" w:hAnsi="Arial"/>
          <w:sz w:val="18"/>
          <w:szCs w:val="18"/>
          <w:color w:val="auto"/>
        </w:rPr>
      </w:pPr>
    </w:p>
    <w:p>
      <w:pPr>
        <w:ind w:left="1340" w:right="79" w:hanging="648"/>
        <w:spacing w:after="0" w:line="261"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79" w:hanging="648"/>
        <w:spacing w:after="0" w:line="261"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HRISTIANA</w:t>
      </w:r>
      <w:r>
        <w:rPr>
          <w:rFonts w:ascii="Arial" w:cs="Arial" w:eastAsia="Arial" w:hAnsi="Arial"/>
          <w:sz w:val="18"/>
          <w:szCs w:val="18"/>
          <w:color w:val="auto"/>
        </w:rPr>
        <w:t xml:space="preserve"> S</w:t>
      </w:r>
      <w:r>
        <w:rPr>
          <w:rFonts w:ascii="Arial" w:cs="Arial" w:eastAsia="Arial" w:hAnsi="Arial"/>
          <w:sz w:val="12"/>
          <w:szCs w:val="12"/>
          <w:color w:val="auto"/>
        </w:rPr>
        <w:t>TAMOULIS</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Christiana Stamoulis</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Chief Financial Officer</w:t>
      </w:r>
    </w:p>
    <w:p>
      <w:pPr>
        <w:ind w:left="4560"/>
        <w:spacing w:after="0"/>
        <w:rPr>
          <w:sz w:val="20"/>
          <w:szCs w:val="20"/>
          <w:color w:val="auto"/>
        </w:rPr>
      </w:pPr>
      <w:r>
        <w:rPr>
          <w:rFonts w:ascii="Arial" w:cs="Arial" w:eastAsia="Arial" w:hAnsi="Arial"/>
          <w:sz w:val="18"/>
          <w:szCs w:val="18"/>
          <w:color w:val="auto"/>
        </w:rPr>
        <w:t>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upperLetter"/>
      <w:start w:val="6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2"/>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lowerRoman"/>
      <w:start w:val="1"/>
    </w:lvl>
  </w:abstractNum>
  <w:abstractNum w:abstractNumId="37">
    <w:nsid w:val="520EEDD1"/>
    <w:multiLevelType w:val="hybridMultilevel"/>
    <w:lvl w:ilvl="0">
      <w:lvlJc w:val="left"/>
      <w:lvlText w:val="(%1)"/>
      <w:numFmt w:val="lowerRoman"/>
      <w:start w:val="2"/>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lowerLetter"/>
      <w:start w:val="1"/>
    </w:lvl>
    <w:lvl w:ilvl="1">
      <w:lvlJc w:val="left"/>
      <w:lvlText w:val="(%2)"/>
      <w:numFmt w:val="decimal"/>
      <w:start w:val="1"/>
    </w:lvl>
  </w:abstractNum>
  <w:abstractNum w:abstractNumId="40">
    <w:nsid w:val="23F9C13C"/>
    <w:multiLevelType w:val="hybridMultilevel"/>
    <w:lvl w:ilvl="0">
      <w:lvlJc w:val="left"/>
      <w:lvlText w:val="(%1)"/>
      <w:numFmt w:val="decimal"/>
      <w:start w:val="2"/>
    </w:lvl>
  </w:abstractNum>
  <w:abstractNum w:abstractNumId="41">
    <w:nsid w:val="649BB77C"/>
    <w:multiLevelType w:val="hybridMultilevel"/>
    <w:lvl w:ilvl="0">
      <w:lvlJc w:val="left"/>
      <w:lvlText w:val="(%1)"/>
      <w:numFmt w:val="decimal"/>
      <w:start w:val="3"/>
    </w:lvl>
  </w:abstractNum>
  <w:abstractNum w:abstractNumId="42">
    <w:nsid w:val="275AC794"/>
    <w:multiLevelType w:val="hybridMultilevel"/>
    <w:lvl w:ilvl="0">
      <w:lvlJc w:val="left"/>
      <w:lvlText w:val="(%1)"/>
      <w:numFmt w:val="lowerLetter"/>
      <w:start w:val="2"/>
    </w:lvl>
  </w:abstractNum>
  <w:abstractNum w:abstractNumId="43">
    <w:nsid w:val="39386575"/>
    <w:multiLevelType w:val="hybridMultilevel"/>
    <w:lvl w:ilvl="0">
      <w:lvlJc w:val="left"/>
      <w:lvlText w:val="*"/>
      <w:numFmt w:val="bullet"/>
      <w:start w:val="1"/>
    </w:lvl>
    <w:lvl w:ilvl="1">
      <w:lvlJc w:val="left"/>
      <w:lvlText w:val="%2"/>
      <w:numFmt w:val="decimal"/>
      <w:start w:val="104"/>
    </w:lvl>
  </w:abstractNum>
  <w:abstractNum w:abstractNumId="44">
    <w:nsid w:val="1CF10FD8"/>
    <w:multiLevelType w:val="hybridMultilevel"/>
    <w:lvl w:ilvl="0">
      <w:lvlJc w:val="left"/>
      <w:lvlText w:val="**"/>
      <w:numFmt w:val="bullet"/>
      <w:start w:val="1"/>
    </w:lvl>
    <w:lvl w:ilvl="1">
      <w:lvlJc w:val="left"/>
      <w:lvlText w:val="%2"/>
      <w:numFmt w:val="decimal"/>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lowerLetter"/>
      <w:start w:val="3"/>
    </w:lvl>
  </w:abstractNum>
  <w:abstractNum w:abstractNumId="47">
    <w:nsid w:val="47398C89"/>
    <w:multiLevelType w:val="hybridMultilevel"/>
    <w:lvl w:ilvl="0">
      <w:lvlJc w:val="left"/>
      <w:lvlText w:val="%1."/>
      <w:numFmt w:val="decimal"/>
      <w:start w:val="1"/>
    </w:lvl>
    <w:lvl w:ilvl="1">
      <w:lvlJc w:val="left"/>
      <w:lvlText w:val="(%2)"/>
      <w:numFmt w:val="lowerLetter"/>
      <w:start w:val="1"/>
    </w:lvl>
  </w:abstractNum>
  <w:abstractNum w:abstractNumId="48">
    <w:nsid w:val="354FE9F9"/>
    <w:multiLevelType w:val="hybridMultilevel"/>
    <w:lvl w:ilvl="0">
      <w:lvlJc w:val="left"/>
      <w:lvlText w:val="(%1)"/>
      <w:numFmt w:val="lowerLetter"/>
      <w:start w:val="11"/>
    </w:lvl>
    <w:lvl w:ilvl="1">
      <w:lvlJc w:val="left"/>
      <w:lvlText w:val="(%2)"/>
      <w:numFmt w:val="decimal"/>
      <w:start w:val="1"/>
    </w:lvl>
  </w:abstractNum>
  <w:abstractNum w:abstractNumId="49">
    <w:nsid w:val="15B5AF5C"/>
    <w:multiLevelType w:val="hybridMultilevel"/>
    <w:lvl w:ilvl="0">
      <w:lvlJc w:val="left"/>
      <w:lvlText w:val="(%1)"/>
      <w:numFmt w:val="lowerLetter"/>
      <w:start w:val="15"/>
    </w:lvl>
  </w:abstractNum>
  <w:abstractNum w:abstractNumId="50">
    <w:nsid w:val="741226BB"/>
    <w:multiLevelType w:val="hybridMultilevel"/>
    <w:lvl w:ilvl="0">
      <w:lvlJc w:val="left"/>
      <w:lvlText w:val="%1"/>
      <w:numFmt w:val="decimal"/>
      <w:start w:val="1"/>
    </w:lvl>
    <w:lvl w:ilvl="1">
      <w:lvlJc w:val="left"/>
      <w:lvlText w:val="(%2)"/>
      <w:numFmt w:val="lowerLetter"/>
      <w:start w:val="18"/>
    </w:lvl>
  </w:abstractNum>
  <w:abstractNum w:abstractNumId="51">
    <w:nsid w:val="D34B6A8"/>
    <w:multiLevelType w:val="hybridMultilevel"/>
    <w:lvl w:ilvl="0">
      <w:lvlJc w:val="left"/>
      <w:lvlText w:val="%1."/>
      <w:numFmt w:val="decimal"/>
      <w:start w:val="3"/>
    </w:lvl>
    <w:lvl w:ilvl="1">
      <w:lvlJc w:val="left"/>
      <w:lvlText w:val="(%2)"/>
      <w:numFmt w:val="lowerLetter"/>
      <w:start w:val="1"/>
    </w:lvl>
  </w:abstractNum>
  <w:abstractNum w:abstractNumId="52">
    <w:nsid w:val="10233C99"/>
    <w:multiLevelType w:val="hybridMultilevel"/>
    <w:lvl w:ilvl="0">
      <w:lvlJc w:val="left"/>
      <w:lvlText w:val="%1."/>
      <w:numFmt w:val="decimal"/>
      <w:start w:val="4"/>
    </w:lvl>
    <w:lvl w:ilvl="1">
      <w:lvlJc w:val="left"/>
      <w:lvlText w:val="(%2)"/>
      <w:numFmt w:val="lowerLetter"/>
      <w:start w:val="1"/>
    </w:lvl>
  </w:abstractNum>
  <w:abstractNum w:abstractNumId="53">
    <w:nsid w:val="3F6AB60F"/>
    <w:multiLevelType w:val="hybridMultilevel"/>
    <w:lvl w:ilvl="0">
      <w:lvlJc w:val="left"/>
      <w:lvlText w:val="(%1)"/>
      <w:numFmt w:val="lowerLetter"/>
      <w:start w:val="4"/>
    </w:lvl>
  </w:abstractNum>
  <w:abstractNum w:abstractNumId="54">
    <w:nsid w:val="61574095"/>
    <w:multiLevelType w:val="hybridMultilevel"/>
    <w:lvl w:ilvl="0">
      <w:lvlJc w:val="left"/>
      <w:lvlText w:val="%1"/>
      <w:numFmt w:val="decimal"/>
      <w:start w:val="1"/>
    </w:lvl>
    <w:lvl w:ilvl="1">
      <w:lvlJc w:val="left"/>
      <w:lvlText w:val="(%2)"/>
      <w:numFmt w:val="lowerLetter"/>
      <w:start w:val="5"/>
    </w:lvl>
  </w:abstractNum>
  <w:abstractNum w:abstractNumId="55">
    <w:nsid w:val="7E0C57B1"/>
    <w:multiLevelType w:val="hybridMultilevel"/>
    <w:lvl w:ilvl="0">
      <w:lvlJc w:val="left"/>
      <w:lvlText w:val="%1."/>
      <w:numFmt w:val="decimal"/>
      <w:start w:val="7"/>
    </w:lvl>
    <w:lvl w:ilvl="1">
      <w:lvlJc w:val="left"/>
      <w:lvlText w:val="%2"/>
      <w:numFmt w:val="lowerLetter"/>
      <w:start w:val="1"/>
    </w:lvl>
  </w:abstractNum>
  <w:abstractNum w:abstractNumId="56">
    <w:nsid w:val="77AE35EB"/>
    <w:multiLevelType w:val="hybridMultilevel"/>
    <w:lvl w:ilvl="0">
      <w:lvlJc w:val="left"/>
      <w:lvlText w:val="%1"/>
      <w:numFmt w:val="decimal"/>
      <w:start w:val="1"/>
    </w:lvl>
    <w:lvl w:ilvl="1">
      <w:lvlJc w:val="left"/>
      <w:lvlText w:val="(%2)"/>
      <w:numFmt w:val="lowerLetter"/>
      <w:start w:val="1"/>
    </w:lvl>
  </w:abstractNum>
  <w:abstractNum w:abstractNumId="57">
    <w:nsid w:val="579BE4F1"/>
    <w:multiLevelType w:val="hybridMultilevel"/>
    <w:lvl w:ilvl="0">
      <w:lvlJc w:val="left"/>
      <w:lvlText w:val="%1."/>
      <w:numFmt w:val="decimal"/>
      <w:start w:val="11"/>
    </w:lvl>
    <w:lvl w:ilvl="1">
      <w:lvlJc w:val="left"/>
      <w:lvlText w:val="(%2)"/>
      <w:numFmt w:val="lowerLetter"/>
      <w:start w:val="1"/>
    </w:lvl>
  </w:abstractNum>
  <w:abstractNum w:abstractNumId="58">
    <w:nsid w:val="310C50B3"/>
    <w:multiLevelType w:val="hybridMultilevel"/>
    <w:lvl w:ilvl="0">
      <w:lvlJc w:val="left"/>
      <w:lvlText w:val="%1"/>
      <w:numFmt w:val="decimal"/>
      <w:start w:val="1"/>
    </w:lvl>
    <w:lvl w:ilvl="1">
      <w:lvlJc w:val="left"/>
      <w:lvlText w:val="(%2)"/>
      <w:numFmt w:val="lowerLetter"/>
      <w:start w:val="2"/>
    </w:lvl>
  </w:abstractNum>
  <w:abstractNum w:abstractNumId="59">
    <w:nsid w:val="5FF87E05"/>
    <w:multiLevelType w:val="hybridMultilevel"/>
    <w:lvl w:ilvl="0">
      <w:lvlJc w:val="left"/>
      <w:lvlText w:val="%1."/>
      <w:numFmt w:val="decimal"/>
      <w:start w:val="14"/>
    </w:lvl>
    <w:lvl w:ilvl="1">
      <w:lvlJc w:val="left"/>
      <w:lvlText w:val="(%2)"/>
      <w:numFmt w:val="lowerLetter"/>
      <w:start w:val="1"/>
    </w:lvl>
  </w:abstractNum>
  <w:abstractNum w:abstractNumId="60">
    <w:nsid w:val="2F305DEF"/>
    <w:multiLevelType w:val="hybridMultilevel"/>
    <w:lvl w:ilvl="0">
      <w:lvlJc w:val="left"/>
      <w:lvlText w:val="%1."/>
      <w:numFmt w:val="decimal"/>
      <w:start w:val="17"/>
    </w:lvl>
    <w:lvl w:ilvl="1">
      <w:lvlJc w:val="left"/>
      <w:lvlText w:val="(%2)"/>
      <w:numFmt w:val="lowerLetter"/>
      <w:start w:val="1"/>
    </w:lvl>
  </w:abstractNum>
  <w:abstractNum w:abstractNumId="61">
    <w:nsid w:val="25A70BF7"/>
    <w:multiLevelType w:val="hybridMultilevel"/>
    <w:lvl w:ilvl="0">
      <w:lvlJc w:val="left"/>
      <w:lvlText w:val="%1."/>
      <w:numFmt w:val="decimal"/>
      <w:start w:val="20"/>
    </w:lvl>
  </w:abstractNum>
  <w:abstractNum w:abstractNumId="62">
    <w:nsid w:val="1DBABF00"/>
    <w:multiLevelType w:val="hybridMultilevel"/>
    <w:lvl w:ilvl="0">
      <w:lvlJc w:val="left"/>
      <w:lvlText w:val="%1."/>
      <w:numFmt w:val="decimal"/>
      <w:start w:val="22"/>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
      <w:numFmt w:val="bullet"/>
      <w:start w:val="1"/>
    </w:lvl>
    <w:lvl w:ilvl="1">
      <w:lvlJc w:val="left"/>
      <w:lvlText w:val="(%2)"/>
      <w:numFmt w:val="decimal"/>
      <w:start w:val="1"/>
    </w:lvl>
  </w:abstractNum>
  <w:abstractNum w:abstractNumId="68">
    <w:nsid w:val="6590700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0" Type="http://schemas.openxmlformats.org/officeDocument/2006/relationships/image" Target="media/image137.png"/><Relationship Id="rId16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44" Type="http://schemas.openxmlformats.org/officeDocument/2006/relationships/hyperlink" Target="http://www.sec.gov/Archives/edgar/data/879169/000104746910001834/a2196849zex-3_i.htm" TargetMode="External"/><Relationship Id="rId145" Type="http://schemas.openxmlformats.org/officeDocument/2006/relationships/hyperlink" Target="http://www.sec.gov/Archives/edgar/data/879169/000110465917069305/a17-27253_1ex3d1.htm" TargetMode="External"/><Relationship Id="rId146" Type="http://schemas.openxmlformats.org/officeDocument/2006/relationships/hyperlink" Target="http://www.sec.gov/Archives/edgar/data/879169/000102140803005282/dex41.htm" TargetMode="External"/><Relationship Id="rId147" Type="http://schemas.openxmlformats.org/officeDocument/2006/relationships/hyperlink" Target="https://www.sec.gov/Archives/edgar/data/879169/000155837020000774/ex-4d3.htm" TargetMode="External"/><Relationship Id="rId148" Type="http://schemas.openxmlformats.org/officeDocument/2006/relationships/hyperlink" Target="http://www.sec.gov/Archives/edgar/data/879169/000110465919025327/a19-8991_1ex10d1.htm" TargetMode="External"/><Relationship Id="rId149" Type="http://schemas.openxmlformats.org/officeDocument/2006/relationships/hyperlink" Target="https://www.sec.gov/Archives/edgar/data/879169/000155837020012834/incy-20200930xex10d1.htm" TargetMode="External"/><Relationship Id="rId151" Type="http://schemas.openxmlformats.org/officeDocument/2006/relationships/hyperlink" Target="https://www.sec.gov/Archives/edgar/data/879169/000155837020012834/incy-20200930xex10d2.htm" TargetMode="External"/><Relationship Id="rId152" Type="http://schemas.openxmlformats.org/officeDocument/2006/relationships/hyperlink" Target="https://www.sec.gov/Archives/edgar/data/879169/000155837020012834/incy-20200930xex10d3.htm" TargetMode="External"/><Relationship Id="rId153" Type="http://schemas.openxmlformats.org/officeDocument/2006/relationships/hyperlink" Target="http://www.sec.gov/Archives/edgar/data/879169/000104746914001174/a2218324zex-10_24.htm" TargetMode="External"/><Relationship Id="rId154" Type="http://schemas.openxmlformats.org/officeDocument/2006/relationships/hyperlink" Target="http://www.sec.gov/Archives/edgar/data/879169/000155837019006550/incy-20190630ex101dc8f47.htm" TargetMode="External"/><Relationship Id="rId155" Type="http://schemas.openxmlformats.org/officeDocument/2006/relationships/hyperlink" Target="http://www.sec.gov/Archives/edgar/data/879169/000104746913001393/a2212845zex-10_14.htm" TargetMode="External"/><Relationship Id="rId156" Type="http://schemas.openxmlformats.org/officeDocument/2006/relationships/hyperlink" Target="http://www.sec.gov/Archives/edgar/data/879169/000110465912029092/a12-6693_1ex10d14.htm" TargetMode="External"/><Relationship Id="rId157" Type="http://schemas.openxmlformats.org/officeDocument/2006/relationships/hyperlink" Target="http://www.sec.gov/Archives/edgar/data/879169/000155837019003610/incy-20190331ex102573f77.htm" TargetMode="External"/><Relationship Id="rId158" Type="http://schemas.openxmlformats.org/officeDocument/2006/relationships/hyperlink" Target="http://www.sec.gov/Archives/edgar/data/879169/000155837019009326/incy-20190930ex10388737b.htm" TargetMode="External"/><Relationship Id="rId159" Type="http://schemas.openxmlformats.org/officeDocument/2006/relationships/hyperlink" Target="http://www.sec.gov/Archives/edgar/data/879169/000155837019009326/incy-20190930ex101e8f74d.htm" TargetMode="External"/><Relationship Id="rId160" Type="http://schemas.openxmlformats.org/officeDocument/2006/relationships/hyperlink" Target="http://www.sec.gov/Archives/edgar/data/879169/000155837019009326/incy-20190930ex10117002c.htm" TargetMode="External"/><Relationship Id="rId161" Type="http://schemas.openxmlformats.org/officeDocument/2006/relationships/hyperlink" Target="https://www.sec.gov/Archives/edgar/data/879169/000155837020005185/incy-20200331xex10d2.htm" TargetMode="External"/><Relationship Id="rId162" Type="http://schemas.openxmlformats.org/officeDocument/2006/relationships/hyperlink" Target="http://www.sec.gov/Archives/edgar/data/879169/000155837019009326/incy-20190930ex1020eebfd.htm" TargetMode="External"/><Relationship Id="rId163" Type="http://schemas.openxmlformats.org/officeDocument/2006/relationships/hyperlink" Target="http://www.sec.gov/Archives/edgar/data/879169/000155837019009326/incy-20190930ex1021f3558.htm" TargetMode="External"/><Relationship Id="rId164" Type="http://schemas.openxmlformats.org/officeDocument/2006/relationships/hyperlink" Target="http://www.sec.gov/Archives/edgar/data/879169/000155837019009326/incy-20190930ex10225e24a.htm" TargetMode="External"/><Relationship Id="rId166" Type="http://schemas.openxmlformats.org/officeDocument/2006/relationships/hyperlink" Target="http://www.sec.gov/Archives/edgar/data/879169/000110465917043033/a17-15971_1ex10d21d4.htm" TargetMode="External"/><Relationship Id="rId167" Type="http://schemas.openxmlformats.org/officeDocument/2006/relationships/hyperlink" Target="https://www.sec.gov/Archives/edgar/data/879169/000155837020009164/incy-20200630xex10d1.htm" TargetMode="External"/><Relationship Id="rId168" Type="http://schemas.openxmlformats.org/officeDocument/2006/relationships/hyperlink" Target="http://www.sec.gov/Archives/edgar/data/879169/000110465915032614/a15-7158_1ex10d1.htm" TargetMode="External"/><Relationship Id="rId169" Type="http://schemas.openxmlformats.org/officeDocument/2006/relationships/hyperlink" Target="http://www.sec.gov/Archives/edgar/data/879169/000155837017003529/incy-20170331ex1018c8960.htm" TargetMode="External"/><Relationship Id="rId170" Type="http://schemas.openxmlformats.org/officeDocument/2006/relationships/hyperlink" Target="http://www.sec.gov/Archives/edgar/data/879169/000110465917009266/a17-3826_1ex10d3.htm" TargetMode="External"/><Relationship Id="rId171" Type="http://schemas.openxmlformats.org/officeDocument/2006/relationships/hyperlink" Target="http://www.sec.gov/Archives/edgar/data/879169/000110465917043033/a17-15971_1ex10d27.htm" TargetMode="External"/><Relationship Id="rId172" Type="http://schemas.openxmlformats.org/officeDocument/2006/relationships/hyperlink" Target="http://www.sec.gov/Archives/edgar/data/879169/000155837018000722/incy-20171231ex10239cab7.htm" TargetMode="External"/><Relationship Id="rId173" Type="http://schemas.openxmlformats.org/officeDocument/2006/relationships/hyperlink" Target="http://www.sec.gov/Archives/edgar/data/879169/000155837018003642/incy-20180331ex10150c35f.htm" TargetMode="External"/><Relationship Id="rId174" Type="http://schemas.openxmlformats.org/officeDocument/2006/relationships/hyperlink" Target="https://www.sec.gov/Archives/edgar/data/879169/000155837020005185/incy-20200331xex10d1.htm" TargetMode="External"/><Relationship Id="rId175" Type="http://schemas.openxmlformats.org/officeDocument/2006/relationships/hyperlink" Target="http://www.sec.gov/Archives/edgar/data/879169/000155837016003196/incy-20151231ex10283b05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2021-02-09T15:11:59Z</dcterms:created>
  <dcterms:modified xsi:type="dcterms:W3CDTF">2021-02-09T15:11:59Z</dcterms:modified>
</cp:coreProperties>
</file>