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FORM 10-K</w:t>
      </w:r>
    </w:p>
    <w:tbl>
      <w:tblPr>
        <w:tblW w:w="9270" w:type="dxa"/>
        <w:jc w:val="left"/>
        <w:tblInd w:w="0" w:type="dxa"/>
        <w:tblLayout w:type="fixed"/>
        <w:tblCellMar>
          <w:top w:w="28" w:type="dxa"/>
          <w:left w:w="28" w:type="dxa"/>
          <w:bottom w:w="28" w:type="dxa"/>
          <w:right w:w="28" w:type="dxa"/>
        </w:tblCellMar>
      </w:tblPr>
      <w:tblGrid>
        <w:gridCol w:w="337"/>
        <w:gridCol w:w="295"/>
        <w:gridCol w:w="298"/>
        <w:gridCol w:w="2437"/>
        <w:gridCol w:w="2437"/>
        <w:gridCol w:w="3466"/>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(mark one)</w:t>
            </w:r>
          </w:p>
        </w:tc>
        <w:tc>
          <w:tcPr>
            <w:tcW w:w="8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fiscal year ended December 31, 2025 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transition period from                     to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001-12400</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INCYTE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6764" w:type="dxa"/>
        <w:jc w:val="left"/>
        <w:tblInd w:w="0" w:type="dxa"/>
        <w:tblLayout w:type="fixed"/>
        <w:tblCellMar>
          <w:top w:w="28" w:type="dxa"/>
          <w:left w:w="28" w:type="dxa"/>
          <w:bottom w:w="28" w:type="dxa"/>
          <w:right w:w="28" w:type="dxa"/>
        </w:tblCellMar>
      </w:tblPr>
      <w:tblGrid>
        <w:gridCol w:w="1059"/>
        <w:gridCol w:w="930"/>
        <w:gridCol w:w="935"/>
        <w:gridCol w:w="1118"/>
        <w:gridCol w:w="1118"/>
        <w:gridCol w:w="160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3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94-3136539</w:t>
            </w:r>
          </w:p>
        </w:tc>
      </w:tr>
      <w:tr>
        <w:trPr/>
        <w:tc>
          <w:tcPr>
            <w:tcW w:w="29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(State of other jurisdiction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 or organization)</w:t>
            </w:r>
          </w:p>
        </w:tc>
        <w:tc>
          <w:tcPr>
            <w:tcW w:w="3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1801 Augustine Cut-Off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Wilmington, DE</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19803</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executives offices)</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(302) 498-6700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107" w:type="dxa"/>
        <w:jc w:val="left"/>
        <w:tblInd w:w="0" w:type="dxa"/>
        <w:tblLayout w:type="fixed"/>
        <w:tblCellMar>
          <w:top w:w="28" w:type="dxa"/>
          <w:left w:w="28" w:type="dxa"/>
          <w:bottom w:w="28" w:type="dxa"/>
          <w:right w:w="28" w:type="dxa"/>
        </w:tblCellMar>
      </w:tblPr>
      <w:tblGrid>
        <w:gridCol w:w="1106"/>
        <w:gridCol w:w="970"/>
        <w:gridCol w:w="983"/>
        <w:gridCol w:w="109"/>
        <w:gridCol w:w="109"/>
        <w:gridCol w:w="109"/>
        <w:gridCol w:w="484"/>
        <w:gridCol w:w="484"/>
        <w:gridCol w:w="486"/>
        <w:gridCol w:w="109"/>
        <w:gridCol w:w="109"/>
        <w:gridCol w:w="109"/>
        <w:gridCol w:w="861"/>
        <w:gridCol w:w="861"/>
        <w:gridCol w:w="1218"/>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None</w:t>
      </w:r>
    </w:p>
    <w:p>
      <w:pPr>
        <w:pStyle w:val="TextBody"/>
        <w:bidi w:val="0"/>
        <w:spacing w:lineRule="auto" w:line="288" w:before="60" w:after="283"/>
        <w:ind w:left="0" w:right="0" w:firstLine="720"/>
        <w:jc w:val="both"/>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80" w:after="283"/>
        <w:ind w:left="0" w:right="0" w:firstLine="720"/>
        <w:jc w:val="both"/>
        <w:rPr/>
      </w:pPr>
      <w:r>
        <w:rPr>
          <w:rFonts w:ascii="Times New Roman;serif" w:hAnsi="Times New Roman;serif"/>
          <w:b w:val="false"/>
          <w:color w:val="000000"/>
          <w:sz w:val="16"/>
        </w:rPr>
        <w:t xml:space="preserve">Indicate by check mark if the registrant is not required to file reports pursuant to Section 13 or Section 15 (d)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80" w:after="283"/>
        <w:ind w:left="0" w:right="0" w:firstLine="72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80" w:after="283"/>
        <w:ind w:left="0" w:right="0" w:firstLine="72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80" w:after="6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18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60" w:after="283"/>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80" w:after="283"/>
        <w:ind w:left="0" w:right="0" w:firstLine="72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ind w:left="0" w:right="0" w:firstLine="720"/>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60" w:after="283"/>
        <w:ind w:left="0" w:right="0" w:firstLine="72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r>
        <w:rPr>
          <w:color w:val="000000"/>
        </w:rPr>
        <w:t xml:space="preserve"> </w:t>
      </w:r>
    </w:p>
    <w:p>
      <w:pPr>
        <w:pStyle w:val="TextBody"/>
        <w:bidi w:val="0"/>
        <w:spacing w:lineRule="auto" w:line="288" w:before="80" w:after="283"/>
        <w:ind w:left="0" w:right="0" w:firstLine="720"/>
        <w:jc w:val="both"/>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80" w:after="283"/>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xml:space="preserve">The aggregate market value of Common Stock held by non-affiliates (based on the closing sale price on The Nasdaq Global Select Market on June 30, 2025) was approximately $11.2 billion. </w:t>
      </w:r>
    </w:p>
    <w:p>
      <w:pPr>
        <w:pStyle w:val="TextBody"/>
        <w:bidi w:val="0"/>
        <w:spacing w:lineRule="auto" w:line="288" w:before="100" w:after="283"/>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As of February 3, 2026 there were 199,014,486 shares of Common Stock, $.001 par value per share, outstanding.</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60" w:after="283"/>
        <w:ind w:left="0" w:right="0" w:firstLine="720"/>
        <w:jc w:val="both"/>
        <w:rPr/>
      </w:pPr>
      <w:r>
        <w:rPr>
          <w:rFonts w:ascii="Times New Roman;serif" w:hAnsi="Times New Roman;serif"/>
          <w:b w:val="false"/>
          <w:color w:val="000000"/>
          <w:sz w:val="16"/>
        </w:rPr>
        <w:t>Items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2026 Annual Meeting of Stockholders to be held on June 8, 2026</w:t>
      </w:r>
      <w:r>
        <w:rPr>
          <w:rFonts w:ascii="Times New Roman;serif" w:hAnsi="Times New Roman;serif"/>
          <w:b w:val="false"/>
          <w:color w:val="000000"/>
          <w:sz w:val="18"/>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3"/>
        <w:gridCol w:w="285"/>
        <w:gridCol w:w="288"/>
        <w:gridCol w:w="2944"/>
        <w:gridCol w:w="2944"/>
        <w:gridCol w:w="2952"/>
        <w:gridCol w:w="136"/>
        <w:gridCol w:w="136"/>
        <w:gridCol w:w="197"/>
      </w:tblGrid>
      <w:tr>
        <w:trPr/>
        <w:tc>
          <w:tcPr>
            <w:tcW w:w="3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0">
              <w:r>
                <w:rPr>
                  <w:rStyle w:val="InternetLink"/>
                  <w:rFonts w:ascii="Times New Roman;serif" w:hAnsi="Times New Roman;serif"/>
                  <w:b w:val="false"/>
                  <w:color w:val="0000FF"/>
                  <w:sz w:val="20"/>
                  <w:u w:val="single"/>
                </w:rPr>
                <w:t>Forward-Looking Statements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0">
              <w:r>
                <w:rPr>
                  <w:rStyle w:val="InternetLink"/>
                  <w:rFonts w:ascii="Times New Roman;serif" w:hAnsi="Times New Roman;serif"/>
                  <w:b w:val="false"/>
                  <w:strike w:val="false"/>
                  <w:dstrike w:val="false"/>
                  <w:color w:val="000000"/>
                  <w:sz w:val="20"/>
                  <w:u w:val="none"/>
                  <w:effect w:val="none"/>
                </w:rPr>
                <w:t>2</w:t>
              </w:r>
            </w:hyperlink>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3">
              <w:r>
                <w:rPr>
                  <w:rStyle w:val="InternetLink"/>
                  <w:rFonts w:ascii="Times New Roman;serif" w:hAnsi="Times New Roman;serif"/>
                  <w:b w:val="false"/>
                  <w:color w:val="0000FF"/>
                  <w:sz w:val="20"/>
                  <w:u w:val="single"/>
                </w:rPr>
                <w:t>Summary 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3">
              <w:r>
                <w:rPr>
                  <w:rStyle w:val="InternetLink"/>
                  <w:rFonts w:ascii="Times New Roman;serif" w:hAnsi="Times New Roman;serif"/>
                  <w:b w:val="false"/>
                  <w:strike w:val="false"/>
                  <w:dstrike w:val="false"/>
                  <w:color w:val="000000"/>
                  <w:sz w:val="20"/>
                  <w:u w:val="none"/>
                  <w:effect w:val="none"/>
                </w:rPr>
                <w:t>5</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16">
              <w:r>
                <w:rPr>
                  <w:rStyle w:val="InternetLink"/>
                  <w:rFonts w:ascii="Times New Roman;serif" w:hAnsi="Times New Roman;serif"/>
                  <w:b/>
                  <w:strike w:val="false"/>
                  <w:dstrike w:val="false"/>
                  <w:color w:val="000000"/>
                  <w:sz w:val="20"/>
                  <w:u w:val="none"/>
                  <w:effect w:val="none"/>
                </w:rPr>
                <w:t>PART I</w:t>
              </w:r>
            </w:hyperlink>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19">
              <w:r>
                <w:rPr>
                  <w:rStyle w:val="InternetLink"/>
                  <w:rFonts w:ascii="Times New Roman;serif" w:hAnsi="Times New Roman;serif"/>
                  <w:b w:val="false"/>
                  <w:color w:val="0000FF"/>
                  <w:sz w:val="20"/>
                  <w:u w:val="single"/>
                </w:rPr>
                <w:t>Item 1.</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9">
              <w:r>
                <w:rPr>
                  <w:rStyle w:val="InternetLink"/>
                  <w:rFonts w:ascii="Times New Roman;serif" w:hAnsi="Times New Roman;serif"/>
                  <w:b w:val="false"/>
                  <w:color w:val="0000FF"/>
                  <w:sz w:val="20"/>
                  <w:u w:val="single"/>
                </w:rPr>
                <w:t>Business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9">
              <w:r>
                <w:rPr>
                  <w:rStyle w:val="InternetLink"/>
                  <w:rFonts w:ascii="Times New Roman;serif" w:hAnsi="Times New Roman;serif"/>
                  <w:b w:val="false"/>
                  <w:strike w:val="false"/>
                  <w:dstrike w:val="false"/>
                  <w:color w:val="000000"/>
                  <w:sz w:val="20"/>
                  <w:u w:val="none"/>
                  <w:effect w:val="none"/>
                </w:rPr>
                <w:t>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49">
              <w:r>
                <w:rPr>
                  <w:rStyle w:val="InternetLink"/>
                  <w:rFonts w:ascii="Times New Roman;serif" w:hAnsi="Times New Roman;serif"/>
                  <w:b w:val="false"/>
                  <w:color w:val="0000FF"/>
                  <w:sz w:val="20"/>
                  <w:u w:val="single"/>
                </w:rPr>
                <w:t>Item 1A.</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49">
              <w:r>
                <w:rPr>
                  <w:rStyle w:val="InternetLink"/>
                  <w:rFonts w:ascii="Times New Roman;serif" w:hAnsi="Times New Roman;serif"/>
                  <w:b w:val="false"/>
                  <w:color w:val="0000FF"/>
                  <w:sz w:val="20"/>
                  <w:u w:val="single"/>
                </w:rPr>
                <w:t>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49">
              <w:r>
                <w:rPr>
                  <w:rStyle w:val="InternetLink"/>
                  <w:rFonts w:ascii="Times New Roman;serif" w:hAnsi="Times New Roman;serif"/>
                  <w:b w:val="false"/>
                  <w:strike w:val="false"/>
                  <w:dstrike w:val="false"/>
                  <w:color w:val="000000"/>
                  <w:sz w:val="20"/>
                  <w:u w:val="none"/>
                  <w:effect w:val="none"/>
                </w:rPr>
                <w:t>28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52">
              <w:r>
                <w:rPr>
                  <w:rStyle w:val="InternetLink"/>
                  <w:rFonts w:ascii="Times New Roman;serif" w:hAnsi="Times New Roman;serif"/>
                  <w:b w:val="false"/>
                  <w:color w:val="0000FF"/>
                  <w:sz w:val="20"/>
                  <w:u w:val="single"/>
                </w:rPr>
                <w:t>Item 1B.</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52">
              <w:r>
                <w:rPr>
                  <w:rStyle w:val="InternetLink"/>
                  <w:rFonts w:ascii="Times New Roman;serif" w:hAnsi="Times New Roman;serif"/>
                  <w:b w:val="false"/>
                  <w:color w:val="0000FF"/>
                  <w:sz w:val="20"/>
                  <w:u w:val="single"/>
                </w:rPr>
                <w:t>Unresolved Staff Comments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52">
              <w:r>
                <w:rPr>
                  <w:rStyle w:val="InternetLink"/>
                  <w:rFonts w:ascii="Times New Roman;serif" w:hAnsi="Times New Roman;serif"/>
                  <w:b w:val="false"/>
                  <w:strike w:val="false"/>
                  <w:dstrike w:val="false"/>
                  <w:color w:val="000000"/>
                  <w:sz w:val="20"/>
                  <w:u w:val="none"/>
                  <w:effect w:val="none"/>
                </w:rPr>
                <w:t>56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55">
              <w:r>
                <w:rPr>
                  <w:rStyle w:val="InternetLink"/>
                  <w:rFonts w:ascii="Times New Roman;serif" w:hAnsi="Times New Roman;serif"/>
                  <w:b w:val="false"/>
                  <w:color w:val="0000FF"/>
                  <w:sz w:val="20"/>
                  <w:u w:val="single"/>
                </w:rPr>
                <w:t>Item 1C.</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55">
              <w:r>
                <w:rPr>
                  <w:rStyle w:val="InternetLink"/>
                  <w:rFonts w:ascii="Times New Roman;serif" w:hAnsi="Times New Roman;serif"/>
                  <w:b w:val="false"/>
                  <w:color w:val="0000FF"/>
                  <w:sz w:val="20"/>
                  <w:u w:val="single"/>
                </w:rPr>
                <w:t>Cybersecurity</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55">
              <w:r>
                <w:rPr>
                  <w:rStyle w:val="InternetLink"/>
                  <w:rFonts w:ascii="Times New Roman;serif" w:hAnsi="Times New Roman;serif"/>
                  <w:b w:val="false"/>
                  <w:strike w:val="false"/>
                  <w:dstrike w:val="false"/>
                  <w:color w:val="000000"/>
                  <w:sz w:val="20"/>
                  <w:u w:val="none"/>
                  <w:effect w:val="none"/>
                </w:rPr>
                <w:t>56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58">
              <w:r>
                <w:rPr>
                  <w:rStyle w:val="InternetLink"/>
                  <w:rFonts w:ascii="Times New Roman;serif" w:hAnsi="Times New Roman;serif"/>
                  <w:b w:val="false"/>
                  <w:color w:val="0000FF"/>
                  <w:sz w:val="20"/>
                  <w:u w:val="single"/>
                </w:rPr>
                <w:t>Item 2.</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58">
              <w:r>
                <w:rPr>
                  <w:rStyle w:val="InternetLink"/>
                  <w:rFonts w:ascii="Times New Roman;serif" w:hAnsi="Times New Roman;serif"/>
                  <w:b w:val="false"/>
                  <w:color w:val="0000FF"/>
                  <w:sz w:val="20"/>
                  <w:u w:val="single"/>
                </w:rPr>
                <w:t>Properties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58">
              <w:r>
                <w:rPr>
                  <w:rStyle w:val="InternetLink"/>
                  <w:rFonts w:ascii="Times New Roman;serif" w:hAnsi="Times New Roman;serif"/>
                  <w:b w:val="false"/>
                  <w:strike w:val="false"/>
                  <w:dstrike w:val="false"/>
                  <w:color w:val="000000"/>
                  <w:sz w:val="20"/>
                  <w:u w:val="none"/>
                  <w:effect w:val="none"/>
                </w:rPr>
                <w:t>56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61">
              <w:r>
                <w:rPr>
                  <w:rStyle w:val="InternetLink"/>
                  <w:rFonts w:ascii="Times New Roman;serif" w:hAnsi="Times New Roman;serif"/>
                  <w:b w:val="false"/>
                  <w:color w:val="0000FF"/>
                  <w:sz w:val="20"/>
                  <w:u w:val="single"/>
                </w:rPr>
                <w:t>Item 3.</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61">
              <w:r>
                <w:rPr>
                  <w:rStyle w:val="InternetLink"/>
                  <w:rFonts w:ascii="Times New Roman;serif" w:hAnsi="Times New Roman;serif"/>
                  <w:b w:val="false"/>
                  <w:color w:val="0000FF"/>
                  <w:sz w:val="20"/>
                  <w:u w:val="single"/>
                </w:rPr>
                <w:t>Legal Proceedings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61">
              <w:r>
                <w:rPr>
                  <w:rStyle w:val="InternetLink"/>
                  <w:rFonts w:ascii="Times New Roman;serif" w:hAnsi="Times New Roman;serif"/>
                  <w:b w:val="false"/>
                  <w:strike w:val="false"/>
                  <w:dstrike w:val="false"/>
                  <w:color w:val="000000"/>
                  <w:sz w:val="20"/>
                  <w:u w:val="none"/>
                  <w:effect w:val="none"/>
                </w:rPr>
                <w:t>57</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64">
              <w:r>
                <w:rPr>
                  <w:rStyle w:val="InternetLink"/>
                  <w:rFonts w:ascii="Times New Roman;serif" w:hAnsi="Times New Roman;serif"/>
                  <w:b w:val="false"/>
                  <w:color w:val="0000FF"/>
                  <w:sz w:val="20"/>
                  <w:u w:val="single"/>
                </w:rPr>
                <w:t>Item 4.</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64">
              <w:r>
                <w:rPr>
                  <w:rStyle w:val="InternetLink"/>
                  <w:rFonts w:ascii="Times New Roman;serif" w:hAnsi="Times New Roman;serif"/>
                  <w:b w:val="false"/>
                  <w:color w:val="0000FF"/>
                  <w:sz w:val="20"/>
                  <w:u w:val="single"/>
                </w:rPr>
                <w:t>Mine Safety Disclosures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64">
              <w:r>
                <w:rPr>
                  <w:rStyle w:val="InternetLink"/>
                  <w:rFonts w:ascii="Times New Roman;serif" w:hAnsi="Times New Roman;serif"/>
                  <w:b w:val="false"/>
                  <w:strike w:val="false"/>
                  <w:dstrike w:val="false"/>
                  <w:color w:val="000000"/>
                  <w:sz w:val="20"/>
                  <w:u w:val="none"/>
                  <w:effect w:val="none"/>
                </w:rPr>
                <w:t>57</w:t>
              </w:r>
            </w:hyperlink>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67">
              <w:r>
                <w:rPr>
                  <w:rStyle w:val="InternetLink"/>
                  <w:rFonts w:ascii="Times New Roman;serif" w:hAnsi="Times New Roman;serif"/>
                  <w:b w:val="false"/>
                  <w:color w:val="0000FF"/>
                  <w:sz w:val="20"/>
                  <w:u w:val="single"/>
                </w:rPr>
                <w:t>Information about our Executive Officers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67">
              <w:r>
                <w:rPr>
                  <w:rStyle w:val="InternetLink"/>
                  <w:rFonts w:ascii="Times New Roman;serif" w:hAnsi="Times New Roman;serif"/>
                  <w:b w:val="false"/>
                  <w:strike w:val="false"/>
                  <w:dstrike w:val="false"/>
                  <w:color w:val="000000"/>
                  <w:sz w:val="20"/>
                  <w:u w:val="none"/>
                  <w:effect w:val="none"/>
                </w:rPr>
                <w:t>57</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70">
              <w:r>
                <w:rPr>
                  <w:rStyle w:val="InternetLink"/>
                  <w:rFonts w:ascii="Times New Roman;serif" w:hAnsi="Times New Roman;serif"/>
                  <w:b/>
                  <w:color w:val="0000FF"/>
                  <w:sz w:val="20"/>
                  <w:u w:val="single"/>
                </w:rPr>
                <w:t>PART II</w:t>
              </w:r>
            </w:hyperlink>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73">
              <w:r>
                <w:rPr>
                  <w:rStyle w:val="InternetLink"/>
                  <w:rFonts w:ascii="Times New Roman;serif" w:hAnsi="Times New Roman;serif"/>
                  <w:b w:val="false"/>
                  <w:color w:val="0000FF"/>
                  <w:sz w:val="20"/>
                  <w:u w:val="single"/>
                </w:rPr>
                <w:t>Item 5.</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73">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73">
              <w:r>
                <w:rPr>
                  <w:rStyle w:val="InternetLink"/>
                  <w:rFonts w:ascii="Times New Roman;serif" w:hAnsi="Times New Roman;serif"/>
                  <w:b w:val="false"/>
                  <w:strike w:val="false"/>
                  <w:dstrike w:val="false"/>
                  <w:color w:val="000000"/>
                  <w:sz w:val="20"/>
                  <w:u w:val="none"/>
                  <w:effect w:val="none"/>
                </w:rPr>
                <w:t>60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76">
              <w:r>
                <w:rPr>
                  <w:rStyle w:val="InternetLink"/>
                  <w:rFonts w:ascii="Times New Roman;serif" w:hAnsi="Times New Roman;serif"/>
                  <w:b w:val="false"/>
                  <w:color w:val="0000FF"/>
                  <w:sz w:val="20"/>
                  <w:u w:val="single"/>
                </w:rPr>
                <w:t>Item 6.</w:t>
              </w:r>
            </w:hyperlink>
          </w:p>
        </w:tc>
        <w:tc>
          <w:tcPr>
            <w:tcW w:w="884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hyperlink w:anchor="id3ab262c4cbb44b5a5597cb827b9b977_76">
              <w:r>
                <w:rPr>
                  <w:rStyle w:val="InternetLink"/>
                  <w:rFonts w:ascii="Times New Roman;serif" w:hAnsi="Times New Roman;serif"/>
                  <w:b w:val="false"/>
                  <w:color w:val="0000FF"/>
                  <w:sz w:val="20"/>
                  <w:u w:val="single"/>
                </w:rPr>
                <w:t>Reserved</w:t>
              </w:r>
            </w:hyperlink>
            <w:r>
              <w:rPr>
                <w:rFonts w:ascii="Times New Roman;serif" w:hAnsi="Times New Roman;serif"/>
                <w:b w:val="false"/>
                <w:color w:val="000000"/>
                <w:sz w:val="20"/>
              </w:rPr>
              <w:t>]</w:t>
            </w:r>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76">
              <w:r>
                <w:rPr>
                  <w:rStyle w:val="InternetLink"/>
                  <w:rFonts w:ascii="Times New Roman;serif" w:hAnsi="Times New Roman;serif"/>
                  <w:b w:val="false"/>
                  <w:strike w:val="false"/>
                  <w:dstrike w:val="false"/>
                  <w:color w:val="000000"/>
                  <w:sz w:val="20"/>
                  <w:u w:val="none"/>
                  <w:effect w:val="none"/>
                </w:rPr>
                <w:t>60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79">
              <w:r>
                <w:rPr>
                  <w:rStyle w:val="InternetLink"/>
                  <w:rFonts w:ascii="Times New Roman;serif" w:hAnsi="Times New Roman;serif"/>
                  <w:b w:val="false"/>
                  <w:color w:val="0000FF"/>
                  <w:sz w:val="20"/>
                  <w:u w:val="single"/>
                </w:rPr>
                <w:t>Item 7.</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79">
              <w:r>
                <w:rPr>
                  <w:rStyle w:val="InternetLink"/>
                  <w:rFonts w:ascii="Times New Roman;serif" w:hAnsi="Times New Roman;serif"/>
                  <w:b w:val="false"/>
                  <w:strike w:val="false"/>
                  <w:dstrike w:val="false"/>
                  <w:color w:val="000000"/>
                  <w:sz w:val="20"/>
                  <w:u w:val="none"/>
                  <w:effect w:val="none"/>
                </w:rPr>
                <w:t>60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94">
              <w:r>
                <w:rPr>
                  <w:rStyle w:val="InternetLink"/>
                  <w:rFonts w:ascii="Times New Roman;serif" w:hAnsi="Times New Roman;serif"/>
                  <w:b w:val="false"/>
                  <w:color w:val="0000FF"/>
                  <w:sz w:val="20"/>
                  <w:u w:val="single"/>
                </w:rPr>
                <w:t>Item 7A.</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94">
              <w:r>
                <w:rPr>
                  <w:rStyle w:val="InternetLink"/>
                  <w:rFonts w:ascii="Times New Roman;serif" w:hAnsi="Times New Roman;serif"/>
                  <w:b w:val="false"/>
                  <w:color w:val="0000FF"/>
                  <w:sz w:val="20"/>
                  <w:u w:val="single"/>
                </w:rPr>
                <w:t>Quantitative and Qualitative Disclosures About Market Risk</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94">
              <w:r>
                <w:rPr>
                  <w:rStyle w:val="InternetLink"/>
                  <w:rFonts w:ascii="Times New Roman;serif" w:hAnsi="Times New Roman;serif"/>
                  <w:b w:val="false"/>
                  <w:strike w:val="false"/>
                  <w:dstrike w:val="false"/>
                  <w:color w:val="000000"/>
                  <w:sz w:val="20"/>
                  <w:u w:val="none"/>
                  <w:effect w:val="none"/>
                </w:rPr>
                <w:t>70</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97">
              <w:r>
                <w:rPr>
                  <w:rStyle w:val="InternetLink"/>
                  <w:rFonts w:ascii="Times New Roman;serif" w:hAnsi="Times New Roman;serif"/>
                  <w:b w:val="false"/>
                  <w:color w:val="0000FF"/>
                  <w:sz w:val="20"/>
                  <w:u w:val="single"/>
                </w:rPr>
                <w:t>Item 8.</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97">
              <w:r>
                <w:rPr>
                  <w:rStyle w:val="InternetLink"/>
                  <w:rFonts w:ascii="Times New Roman;serif" w:hAnsi="Times New Roman;serif"/>
                  <w:b w:val="false"/>
                  <w:color w:val="0000FF"/>
                  <w:sz w:val="20"/>
                  <w:u w:val="single"/>
                </w:rPr>
                <w:t>Financial Statements and Supplementary Data</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97">
              <w:r>
                <w:rPr>
                  <w:rStyle w:val="InternetLink"/>
                  <w:rFonts w:ascii="Times New Roman;serif" w:hAnsi="Times New Roman;serif"/>
                  <w:b w:val="false"/>
                  <w:strike w:val="false"/>
                  <w:dstrike w:val="false"/>
                  <w:color w:val="000000"/>
                  <w:sz w:val="20"/>
                  <w:u w:val="none"/>
                  <w:effect w:val="none"/>
                </w:rPr>
                <w:t>71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178">
              <w:r>
                <w:rPr>
                  <w:rStyle w:val="InternetLink"/>
                  <w:rFonts w:ascii="Times New Roman;serif" w:hAnsi="Times New Roman;serif"/>
                  <w:b w:val="false"/>
                  <w:color w:val="0000FF"/>
                  <w:sz w:val="20"/>
                  <w:u w:val="single"/>
                </w:rPr>
                <w:t>Item 9.</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78">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78">
              <w:r>
                <w:rPr>
                  <w:rStyle w:val="InternetLink"/>
                  <w:rFonts w:ascii="Times New Roman;serif" w:hAnsi="Times New Roman;serif"/>
                  <w:b w:val="false"/>
                  <w:strike w:val="false"/>
                  <w:dstrike w:val="false"/>
                  <w:color w:val="000000"/>
                  <w:sz w:val="20"/>
                  <w:u w:val="none"/>
                  <w:effect w:val="none"/>
                </w:rPr>
                <w:t>116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181">
              <w:r>
                <w:rPr>
                  <w:rStyle w:val="InternetLink"/>
                  <w:rFonts w:ascii="Times New Roman;serif" w:hAnsi="Times New Roman;serif"/>
                  <w:b w:val="false"/>
                  <w:color w:val="0000FF"/>
                  <w:sz w:val="20"/>
                  <w:u w:val="single"/>
                </w:rPr>
                <w:t>Item 9A.</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81">
              <w:r>
                <w:rPr>
                  <w:rStyle w:val="InternetLink"/>
                  <w:rFonts w:ascii="Times New Roman;serif" w:hAnsi="Times New Roman;serif"/>
                  <w:b w:val="false"/>
                  <w:color w:val="0000FF"/>
                  <w:sz w:val="20"/>
                  <w:u w:val="single"/>
                </w:rPr>
                <w:t>Controls and Procedures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81">
              <w:r>
                <w:rPr>
                  <w:rStyle w:val="InternetLink"/>
                  <w:rFonts w:ascii="Times New Roman;serif" w:hAnsi="Times New Roman;serif"/>
                  <w:b w:val="false"/>
                  <w:strike w:val="false"/>
                  <w:dstrike w:val="false"/>
                  <w:color w:val="000000"/>
                  <w:sz w:val="20"/>
                  <w:u w:val="none"/>
                  <w:effect w:val="none"/>
                </w:rPr>
                <w:t>116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184">
              <w:r>
                <w:rPr>
                  <w:rStyle w:val="InternetLink"/>
                  <w:rFonts w:ascii="Times New Roman;serif" w:hAnsi="Times New Roman;serif"/>
                  <w:b w:val="false"/>
                  <w:color w:val="0000FF"/>
                  <w:sz w:val="20"/>
                  <w:u w:val="single"/>
                </w:rPr>
                <w:t>Item 9B.</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84">
              <w:r>
                <w:rPr>
                  <w:rStyle w:val="InternetLink"/>
                  <w:rFonts w:ascii="Times New Roman;serif" w:hAnsi="Times New Roman;serif"/>
                  <w:b w:val="false"/>
                  <w:color w:val="0000FF"/>
                  <w:sz w:val="20"/>
                  <w:u w:val="single"/>
                </w:rPr>
                <w:t>Other Information</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84">
              <w:r>
                <w:rPr>
                  <w:rStyle w:val="InternetLink"/>
                  <w:rFonts w:ascii="Times New Roman;serif" w:hAnsi="Times New Roman;serif"/>
                  <w:b w:val="false"/>
                  <w:strike w:val="false"/>
                  <w:dstrike w:val="false"/>
                  <w:color w:val="000000"/>
                  <w:sz w:val="20"/>
                  <w:u w:val="none"/>
                  <w:effect w:val="none"/>
                </w:rPr>
                <w:t>118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190">
              <w:r>
                <w:rPr>
                  <w:rStyle w:val="InternetLink"/>
                  <w:rFonts w:ascii="Times New Roman;serif" w:hAnsi="Times New Roman;serif"/>
                  <w:b w:val="false"/>
                  <w:color w:val="0000FF"/>
                  <w:sz w:val="20"/>
                  <w:u w:val="single"/>
                </w:rPr>
                <w:t>Item 9C.</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90">
              <w:r>
                <w:rPr>
                  <w:rStyle w:val="InternetLink"/>
                  <w:rFonts w:ascii="Times New Roman;serif" w:hAnsi="Times New Roman;serif"/>
                  <w:b w:val="false"/>
                  <w:color w:val="0000FF"/>
                  <w:sz w:val="20"/>
                  <w:u w:val="single"/>
                </w:rPr>
                <w:t>Disclosure Regarding Foreign Jurisdictions that Prevent Inspections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90">
              <w:r>
                <w:rPr>
                  <w:rStyle w:val="InternetLink"/>
                  <w:rFonts w:ascii="Times New Roman;serif" w:hAnsi="Times New Roman;serif"/>
                  <w:b w:val="false"/>
                  <w:strike w:val="false"/>
                  <w:dstrike w:val="false"/>
                  <w:color w:val="000000"/>
                  <w:sz w:val="20"/>
                  <w:u w:val="none"/>
                  <w:effect w:val="none"/>
                </w:rPr>
                <w:t>118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193">
              <w:r>
                <w:rPr>
                  <w:rStyle w:val="InternetLink"/>
                  <w:rFonts w:ascii="Times New Roman;serif" w:hAnsi="Times New Roman;serif"/>
                  <w:b/>
                  <w:color w:val="0000FF"/>
                  <w:sz w:val="20"/>
                  <w:u w:val="single"/>
                </w:rPr>
                <w:t>PART III</w:t>
              </w:r>
            </w:hyperlink>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196">
              <w:r>
                <w:rPr>
                  <w:rStyle w:val="InternetLink"/>
                  <w:rFonts w:ascii="Times New Roman;serif" w:hAnsi="Times New Roman;serif"/>
                  <w:b w:val="false"/>
                  <w:color w:val="0000FF"/>
                  <w:sz w:val="20"/>
                  <w:u w:val="single"/>
                </w:rPr>
                <w:t>Item 10.</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96">
              <w:r>
                <w:rPr>
                  <w:rStyle w:val="InternetLink"/>
                  <w:rFonts w:ascii="Times New Roman;serif" w:hAnsi="Times New Roman;serif"/>
                  <w:b w:val="false"/>
                  <w:color w:val="0000FF"/>
                  <w:sz w:val="20"/>
                  <w:u w:val="single"/>
                </w:rPr>
                <w:t>Directors, Executive Officers and Corporate Governance</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96">
              <w:r>
                <w:rPr>
                  <w:rStyle w:val="InternetLink"/>
                  <w:rFonts w:ascii="Times New Roman;serif" w:hAnsi="Times New Roman;serif"/>
                  <w:b w:val="false"/>
                  <w:strike w:val="false"/>
                  <w:dstrike w:val="false"/>
                  <w:color w:val="000000"/>
                  <w:sz w:val="20"/>
                  <w:u w:val="none"/>
                  <w:effect w:val="none"/>
                </w:rPr>
                <w:t>118</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199">
              <w:r>
                <w:rPr>
                  <w:rStyle w:val="InternetLink"/>
                  <w:rFonts w:ascii="Times New Roman;serif" w:hAnsi="Times New Roman;serif"/>
                  <w:b w:val="false"/>
                  <w:color w:val="0000FF"/>
                  <w:sz w:val="20"/>
                  <w:u w:val="single"/>
                </w:rPr>
                <w:t>Item 11.</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99">
              <w:r>
                <w:rPr>
                  <w:rStyle w:val="InternetLink"/>
                  <w:rFonts w:ascii="Times New Roman;serif" w:hAnsi="Times New Roman;serif"/>
                  <w:b w:val="false"/>
                  <w:color w:val="0000FF"/>
                  <w:sz w:val="20"/>
                  <w:u w:val="single"/>
                </w:rPr>
                <w:t>Executive Compensation</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99">
              <w:r>
                <w:rPr>
                  <w:rStyle w:val="InternetLink"/>
                  <w:rFonts w:ascii="Times New Roman;serif" w:hAnsi="Times New Roman;serif"/>
                  <w:b w:val="false"/>
                  <w:strike w:val="false"/>
                  <w:dstrike w:val="false"/>
                  <w:color w:val="000000"/>
                  <w:sz w:val="20"/>
                  <w:u w:val="none"/>
                  <w:effect w:val="none"/>
                </w:rPr>
                <w:t>119</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202">
              <w:r>
                <w:rPr>
                  <w:rStyle w:val="InternetLink"/>
                  <w:rFonts w:ascii="Times New Roman;serif" w:hAnsi="Times New Roman;serif"/>
                  <w:b w:val="false"/>
                  <w:color w:val="0000FF"/>
                  <w:sz w:val="20"/>
                  <w:u w:val="single"/>
                </w:rPr>
                <w:t>Item 12.</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202">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202">
              <w:r>
                <w:rPr>
                  <w:rStyle w:val="InternetLink"/>
                  <w:rFonts w:ascii="Times New Roman;serif" w:hAnsi="Times New Roman;serif"/>
                  <w:b w:val="false"/>
                  <w:strike w:val="false"/>
                  <w:dstrike w:val="false"/>
                  <w:color w:val="000000"/>
                  <w:sz w:val="20"/>
                  <w:u w:val="none"/>
                  <w:effect w:val="none"/>
                </w:rPr>
                <w:t>119</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205">
              <w:r>
                <w:rPr>
                  <w:rStyle w:val="InternetLink"/>
                  <w:rFonts w:ascii="Times New Roman;serif" w:hAnsi="Times New Roman;serif"/>
                  <w:b w:val="false"/>
                  <w:color w:val="0000FF"/>
                  <w:sz w:val="20"/>
                  <w:u w:val="single"/>
                </w:rPr>
                <w:t>Item 13.</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205">
              <w:r>
                <w:rPr>
                  <w:rStyle w:val="InternetLink"/>
                  <w:rFonts w:ascii="Times New Roman;serif" w:hAnsi="Times New Roman;serif"/>
                  <w:b w:val="false"/>
                  <w:color w:val="0000FF"/>
                  <w:sz w:val="20"/>
                  <w:u w:val="single"/>
                </w:rPr>
                <w:t>Certain Relationships and Related Transactions, and Director Independence</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205">
              <w:r>
                <w:rPr>
                  <w:rStyle w:val="InternetLink"/>
                  <w:rFonts w:ascii="Times New Roman;serif" w:hAnsi="Times New Roman;serif"/>
                  <w:b w:val="false"/>
                  <w:strike w:val="false"/>
                  <w:dstrike w:val="false"/>
                  <w:color w:val="000000"/>
                  <w:sz w:val="20"/>
                  <w:u w:val="none"/>
                  <w:effect w:val="none"/>
                </w:rPr>
                <w:t>119</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208">
              <w:r>
                <w:rPr>
                  <w:rStyle w:val="InternetLink"/>
                  <w:rFonts w:ascii="Times New Roman;serif" w:hAnsi="Times New Roman;serif"/>
                  <w:b w:val="false"/>
                  <w:color w:val="0000FF"/>
                  <w:sz w:val="20"/>
                  <w:u w:val="single"/>
                </w:rPr>
                <w:t>Item 14.</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208">
              <w:r>
                <w:rPr>
                  <w:rStyle w:val="InternetLink"/>
                  <w:rFonts w:ascii="Times New Roman;serif" w:hAnsi="Times New Roman;serif"/>
                  <w:b w:val="false"/>
                  <w:color w:val="0000FF"/>
                  <w:sz w:val="20"/>
                  <w:u w:val="single"/>
                </w:rPr>
                <w:t>Principal Accountant Fees and Services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208">
              <w:r>
                <w:rPr>
                  <w:rStyle w:val="InternetLink"/>
                  <w:rFonts w:ascii="Times New Roman;serif" w:hAnsi="Times New Roman;serif"/>
                  <w:b w:val="false"/>
                  <w:strike w:val="false"/>
                  <w:dstrike w:val="false"/>
                  <w:color w:val="000000"/>
                  <w:sz w:val="20"/>
                  <w:u w:val="none"/>
                  <w:effect w:val="none"/>
                </w:rPr>
                <w:t>119</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211">
              <w:r>
                <w:rPr>
                  <w:rStyle w:val="InternetLink"/>
                  <w:rFonts w:ascii="Times New Roman;serif" w:hAnsi="Times New Roman;serif"/>
                  <w:b/>
                  <w:color w:val="0000FF"/>
                  <w:sz w:val="20"/>
                  <w:u w:val="single"/>
                </w:rPr>
                <w:t>PART IV</w:t>
              </w:r>
            </w:hyperlink>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214">
              <w:r>
                <w:rPr>
                  <w:rStyle w:val="InternetLink"/>
                  <w:rFonts w:ascii="Times New Roman;serif" w:hAnsi="Times New Roman;serif"/>
                  <w:b w:val="false"/>
                  <w:color w:val="0000FF"/>
                  <w:sz w:val="20"/>
                  <w:u w:val="single"/>
                </w:rPr>
                <w:t>Item 15.</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214">
              <w:r>
                <w:rPr>
                  <w:rStyle w:val="InternetLink"/>
                  <w:rFonts w:ascii="Times New Roman;serif" w:hAnsi="Times New Roman;serif"/>
                  <w:b w:val="false"/>
                  <w:color w:val="000080"/>
                  <w:sz w:val="20"/>
                  <w:u w:val="single"/>
                </w:rPr>
                <w:t>Exhibits</w:t>
              </w:r>
            </w:hyperlink>
            <w:hyperlink w:anchor="id3ab262c4cbb44b5a5597cb827b9b977_214">
              <w:r>
                <w:rPr>
                  <w:rStyle w:val="InternetLink"/>
                  <w:rFonts w:ascii="Times New Roman;serif" w:hAnsi="Times New Roman;serif"/>
                  <w:b w:val="false"/>
                  <w:color w:val="000080"/>
                  <w:sz w:val="20"/>
                  <w:u w:val="single"/>
                </w:rPr>
                <w:t xml:space="preserve"> and</w:t>
              </w:r>
            </w:hyperlink>
            <w:hyperlink w:anchor="id3ab262c4cbb44b5a5597cb827b9b977_214">
              <w:r>
                <w:rPr>
                  <w:rStyle w:val="InternetLink"/>
                  <w:rFonts w:ascii="Times New Roman;serif" w:hAnsi="Times New Roman;serif"/>
                  <w:b w:val="false"/>
                  <w:color w:val="000080"/>
                  <w:sz w:val="20"/>
                  <w:u w:val="single"/>
                </w:rPr>
                <w:t xml:space="preserve"> Financial Statement Schedules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214">
              <w:r>
                <w:rPr>
                  <w:rStyle w:val="InternetLink"/>
                  <w:rFonts w:ascii="Times New Roman;serif" w:hAnsi="Times New Roman;serif"/>
                  <w:b w:val="false"/>
                  <w:strike w:val="false"/>
                  <w:dstrike w:val="false"/>
                  <w:color w:val="000000"/>
                  <w:sz w:val="20"/>
                  <w:u w:val="none"/>
                  <w:effect w:val="none"/>
                </w:rPr>
                <w:t>119</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217">
              <w:r>
                <w:rPr>
                  <w:rStyle w:val="InternetLink"/>
                  <w:rFonts w:ascii="Times New Roman;serif" w:hAnsi="Times New Roman;serif"/>
                  <w:b w:val="false"/>
                  <w:color w:val="0000FF"/>
                  <w:sz w:val="20"/>
                  <w:u w:val="single"/>
                </w:rPr>
                <w:t>Item 16.</w:t>
              </w:r>
            </w:hyperlink>
          </w:p>
        </w:tc>
        <w:tc>
          <w:tcPr>
            <w:tcW w:w="884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217">
              <w:r>
                <w:rPr>
                  <w:rStyle w:val="InternetLink"/>
                  <w:rFonts w:ascii="Times New Roman;serif" w:hAnsi="Times New Roman;serif"/>
                  <w:b w:val="false"/>
                  <w:color w:val="0000FF"/>
                  <w:sz w:val="20"/>
                  <w:u w:val="single"/>
                </w:rPr>
                <w:t>Form 10-K Summary</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217">
              <w:r>
                <w:rPr>
                  <w:rStyle w:val="InternetLink"/>
                  <w:rFonts w:ascii="Times New Roman;serif" w:hAnsi="Times New Roman;serif"/>
                  <w:b w:val="false"/>
                  <w:strike w:val="false"/>
                  <w:dstrike w:val="false"/>
                  <w:color w:val="000000"/>
                  <w:sz w:val="20"/>
                  <w:u w:val="none"/>
                  <w:effect w:val="none"/>
                </w:rPr>
                <w:t>123</w:t>
              </w:r>
            </w:hyperlink>
          </w:p>
        </w:tc>
      </w:tr>
      <w:tr>
        <w:trPr/>
        <w:tc>
          <w:tcPr>
            <w:tcW w:w="9736"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hyperlink w:anchor="id3ab262c4cbb44b5a5597cb827b9b977_220">
              <w:r>
                <w:rPr>
                  <w:rStyle w:val="InternetLink"/>
                  <w:rFonts w:ascii="Times New Roman;serif" w:hAnsi="Times New Roman;serif"/>
                  <w:b w:val="false"/>
                  <w:color w:val="0000FF"/>
                  <w:sz w:val="20"/>
                  <w:u w:val="single"/>
                </w:rPr>
                <w:t>SIGNATURES</w:t>
              </w:r>
            </w:hyperlink>
          </w:p>
        </w:tc>
        <w:tc>
          <w:tcPr>
            <w:tcW w:w="46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220">
              <w:r>
                <w:rPr>
                  <w:rStyle w:val="InternetLink"/>
                  <w:rFonts w:ascii="Times New Roman;serif" w:hAnsi="Times New Roman;serif"/>
                  <w:b w:val="false"/>
                  <w:strike w:val="false"/>
                  <w:dstrike w:val="false"/>
                  <w:color w:val="000000"/>
                  <w:sz w:val="20"/>
                  <w:u w:val="none"/>
                  <w:effect w:val="none"/>
                </w:rPr>
                <w:t>123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among other things, statements as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discovery, development, formulation, manufacturing and commercialization of our compounds, our drug candidates and JAKAFI</w:t>
      </w:r>
      <w:r>
        <w:rPr>
          <w:rFonts w:ascii="Times New Roman;serif" w:hAnsi="Times New Roman;serif"/>
          <w:b w:val="false"/>
          <w:i/>
          <w:color w:val="000000"/>
          <w:sz w:val="13"/>
        </w:rPr>
        <w:t>®</w:t>
      </w:r>
      <w:r>
        <w:rPr>
          <w:rFonts w:ascii="Times New Roman;serif" w:hAnsi="Times New Roman;serif"/>
          <w:b w:val="false"/>
          <w:i/>
          <w:color w:val="000000"/>
          <w:sz w:val="20"/>
        </w:rPr>
        <w:t>/JAKAVI</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(ruxolitinib), PEMAZYRE</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(pemigatinib), ICLUSIG</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(ponatinib), MONJUVI</w:t>
      </w:r>
      <w:r>
        <w:rPr>
          <w:rFonts w:ascii="Times New Roman;serif" w:hAnsi="Times New Roman;serif"/>
          <w:b w:val="false"/>
          <w:i/>
          <w:color w:val="000000"/>
          <w:sz w:val="13"/>
        </w:rPr>
        <w:t xml:space="preserve">® </w:t>
      </w:r>
      <w:r>
        <w:rPr>
          <w:rFonts w:ascii="Times New Roman;serif" w:hAnsi="Times New Roman;serif"/>
          <w:b w:val="false"/>
          <w:i/>
          <w:color w:val="000000"/>
          <w:sz w:val="20"/>
        </w:rPr>
        <w:t>(tafasitamab-cxix)</w:t>
      </w:r>
      <w:r>
        <w:rPr>
          <w:color w:val="000000"/>
        </w:rPr>
        <w:t xml:space="preserve"> </w:t>
      </w:r>
      <w:r>
        <w:rPr>
          <w:rFonts w:ascii="Times New Roman;serif" w:hAnsi="Times New Roman;serif"/>
          <w:b w:val="false"/>
          <w:i/>
          <w:color w:val="000000"/>
          <w:sz w:val="20"/>
        </w:rPr>
        <w:t>/ MINJUVI</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(tafasitamab), OPZELURA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(ruxolitinib) cream, ZYNYZ</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(retifanlimab-dlwr) and NIKTIMVO</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(axatilimab);</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collaboration and strategic relationship strategy, and anticipated benefits and disadvantages of entering into collaboration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licensing, investment and commercialization strategies, including our plans to commercialize our drug products and drug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regulatory approval process, including obtaining U.S. Food and Drug Administration and other international regulatory authorities’ approval for our products in the United States and abroad;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safety, effectiveness and potential benefits and indications of our drug candidates and other compounds under development;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timing, structure and size of our clinical trials; the compounds expected to enter clinical trials; the nature and timing of clinical trial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manage expansion of our drug discovery and development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future required expertise relating to clinical trials, manufacturing, sales and marketing;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obtaining and terminating licenses to products, drug candidates or technology, or other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receipt from or payments pursuant to collaboration or license agreements resulting from milestones or royalties;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plans to develop and commercialize products on our own;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plans for our manufacturing operations, including plans relating to the use of third-party manufacturers;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expected expenses and expenditure levels; expected uses of cash; expected revenues and sources of revenues; expectations with respect to inventory;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expectations with respect to reimbursement for our products; expectations with respect to the impact on our revenues of U.S. or other government proposals regarding drug pricing;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expected impact of recent accounting pronouncements and changes in tax laws;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expected losses; the fluctuation of losses; the currency translation impact associated with non-U.S. operations and collaboration royalties;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profitability; the adequacy of our capital resources to continue operations; our expectations with respect to the need or ability to raise additional capital;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costs and other financial impacts associated with resolving matters in litigation and governmental proceedings;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expectations regarding competition;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investments, including anticipated expenditures, losses and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patent prosecution and maintenance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our ability to discover, develop, formulate, manufacture and successfully commercialize our drug products and drug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or maintain at anticipated levels, coverage and reimbursement for our products from government health administration authorities, private health insurers and other organizations;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changes in drug pricing and reimbursement in the markets in which we or our collaborators and licensees commercialize our drug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establish and maintain effective sales, marketing and distribution capabilities;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and maintain regulatory approvals to market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achieve a significant market share in order to achieve or maintain profitability;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civil or criminal penalties if we market our products in a manner that violates healthcare fraud and abuse and other applicable laws, rules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unanticipated delays in, or discontinuations of, research and development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that previous preclinical testing or clinical trial results are not necessarily indicative of future clinical trial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conduct of our clinical trials, including geopolitical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changing regulatory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adverse safety findings;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that results of our clinical trials do not support submission of a marketing approval application for our drug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reliance on third-party manufacturers, collaborators, and clinical research organizations;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development of new products and their use by us and our current and potential collaborators;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maintain or obtain adequate product liability and other insurance coverage;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impact of technological advances and competition to develop and commercialize drug products similar to our own, including potential generic competition;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and maintain patent protection and freedom to operate for our discoveries and to continue to be effective in prosecuting, maintaining, defending and enforcing patent claims and other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impact of changing laws on our patent portfolio;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developments in, and expenses relating to, litigation and governmental proceedings;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in-license drug candidates or other technology;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unanticipated delays or changes in plans or regulatory agency interactions or other issues relating to our large molecule production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impact of tariffs and trade conflicts and the effects of any economic slowdown;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integrate successfully acquired businesses, development programs or technology;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obtain additional capital when needed;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fluctuations in net cash provided and used by operating, financing and investing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changes in tax laws and regulations and our ability to analyze the effects of new accounting pronouncements and apply new accounting rules;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sustain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public health pandemics such as the COVID-19 pandemic, natural disasters, or geopolitical events such as the Russian invasion of Ukraine and conflicts in the Middle East;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risks set forth under “Risk Factors” in Item 1A of Part I of this Annual Report on Form 10-K.</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 this report all references to “Incyte,” “we,” “us,” “our” or the “Company” mean Incyte Corporation and our subsidiaries, except where it is made clear that such term means only the parent company.</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Incyte, JAKAFI, MINJUVI, MONJUVI, OPZELURA, PEMAZYRE and ZYNYZ are our registered trademarks and NIKTIMVO and JAKAFI XR are our trademarks. We also refer to trademarks of other corporations and organizations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“Risk Factors” of this report before deciding whether to invest in our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depend heavily on JAKAFI/JAKAVI (ruxolitinib), and if we are not able to maintain revenues from JAKAFI/JAKAVI or those revenues decrease, our business may be materially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or our collaborators are unable to obtain, or maintain at anticipated levels, coverage and reimbursement for our products from government and other third-party payors, our results of operations and financial condition could be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establish and maintain effective sales, marketing and distribution capabilities, or to enter into agreements with third parties to do so, we will not be able to successfully commercialize our products.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fail to comply with applicable laws and regulations, we could lose our approval to market our products or be subject to other governmental enforcement activity, and we could face increased costs, penalties and a loss of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market our products in a manner that violates various laws and regulations, we may be subject to civil or criminal penalties.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Competition for our products could harm our business and result in a decrease in our revenue.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or our collaborators may be unsuccessful in discovering and developing drug candidates, and we may spend significant time and money attempting to do so, in particular with our later stage drug candidates.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or our collaborators are unable to obtain regulatory approval in and outside of the United States for drug candidates, we and our collaborators will be unable to commercialize those drug candidates.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Healthcare reform measures could impact the pricing and profitability of pharmaceuticals, and adversely affect the commercial viability of our or our collaborators’ products and drug candidates. If recent proposals for changes to Medicare and Medicaid reimbursement of drug prices are adopted into law, our results of operations and financial condition could be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Conflicts between us and our collaborators or the termination of our collaboration agreements could limit future development and commercialization of our drug candidates and harm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establish collaborations to fully exploit our drug discovery and development capabilities or if such collaborations are unsuccessful, our future revenue prospects could be diminished.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fail to enter into additional in-licensing agreements or if these arrangements are unsuccessful, we may be unable to increase our number of successfully marketed products and our revenues.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Business disruptions, including those resulting from public health pandemics, natural disasters and other geopolitical events, could adversely affect our business and results of operations.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Even if one of our drug candidates receives regulatory approval, we may determine that commercialization would not be worth the investment.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have limited capacity to conduct preclinical testing and clinical trials, and our resulting dependence on other parties could result in delays in and additional costs for our drug development efforts.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reliance on others to manufacture our drug products and drug candidates could result in drug supply constraints, delays in clinical trials, increased costs, and withdrawal or denial of regulatory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illegal distribution and sale by third parties of counterfeit or unfit versions of our or our collaborators’ products or stolen products could harm our business and reputation.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As most of our drug discovery and development operations are conducted at our headquarters in Wilmington, Delaware, the loss of access to this facility would negatively impact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lose any of our key employees or are unable to attract and retain additional personnel, our business and ability to achieve our objectives could be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fail to manage our growth effectively, our ability to develop and commercialize products could suffer.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Risks associated with our operations outside of the United States could adversely affect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the use of our products harms or is perceived to harm patients or product liability lawsuits are brought against us, our regulatory approvals could be revoked or negatively impacted and we could face substantial liabilities, which may require us to limit commercialization of our products, and our results of operations could be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Because our activities involve the use of hazardous materials, we may be subject to claims relating to improper handling, storage or disposal of these materials that could be time consuming and costly.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expect to continue to incur significant expenses to discover and develop drugs, which could result in future losses and impair our ability to achieve sustained profitability in the future.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raise additional capital in the future when we require it, our efforts to broaden our product portfolio or commercialization efforts could be limited.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marketable securities and equity investments are subject to risks that could adversely affect our overall financial position, and tax law changes could adversely affect our results of operations and financial condition.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achieve milestones, develop product candidates to license or renew or enter into new collaborations, our royalty and milestone revenues and future prospects for those revenues may decrease.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Any arbitration or litigation involving us and regarding intellectual property infringement claims could be costly and disrupt our drug discovery and development efforts.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inability to adequately protect or enforce our proprietary information may result in loss of revenues or otherwise reduce our ability to compete.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the effective term of our patents is decreased or if we need to refile some of our patent applications, the value of our patent portfolio and the revenues we derive from it may be decreased.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International patent protection is particularly uncertain and costly, and our involvement in opposition proceedings may result in the expenditure of substantial sums and management resources.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Significant disruptions of information technology systems, breaches of data security or unauthorized disclosures of sensitive data could harm our business and subject us to liability or reputational damage.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Increasing use of social media and new technology, including artificial intelligence, could give rise to liability, breaches of data security or reputational damage, which could harm our business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pPr>
      <w:r>
        <w:rPr>
          <w:rFonts w:ascii="Times New Roman;serif" w:hAnsi="Times New Roman;serif"/>
          <w:b/>
          <w:color w:val="000000"/>
          <w:sz w:val="20"/>
        </w:rPr>
        <w:t xml:space="preserve">Item 1. </w:t>
      </w:r>
      <w:r>
        <w:rPr>
          <w:rFonts w:ascii="Times New Roman;serif" w:hAnsi="Times New Roman;serif"/>
          <w:b/>
          <w:i/>
          <w:color w:val="000000"/>
          <w:sz w:val="20"/>
        </w:rPr>
        <w:t>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headquarters in Tokyo and our Canadian headquarters in Montreal.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in three therapeutic areas that are defined by the indications of our approved medicines and the diseases for which our clinical candidates are being developed. These therapeutic areas are: Hematology, Oncology, and Inflammation and Autoimmunity (“IAI”).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Hematology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hematology franchise includes four approved products, JAKAFI (ruxolitinib), ICLUSIG (ponatinib), MONJUVI (tafasitamab-cxix)/MINJUVI (tafasitamab) and NIKTIMVO (axatilimab-csfr), as well as multiple clinical development programs.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JAKAFI (ruxolitinib)</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JAKAFI (ruxolitinib)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w:t>
      </w:r>
      <w:r>
        <w:rPr>
          <w:rFonts w:ascii="Times New Roman;serif" w:hAnsi="Times New Roman;serif"/>
          <w:b w:val="false"/>
          <w:color w:val="000000"/>
          <w:sz w:val="20"/>
          <w:shd w:fill="FFFFFF" w:val="clear"/>
        </w:rPr>
        <w:t>for the treatment of steroid-refractory acute graft-versus-host disease (</w:t>
      </w:r>
      <w:r>
        <w:rPr>
          <w:color w:val="000000"/>
        </w:rPr>
        <w:t>“</w:t>
      </w:r>
      <w:r>
        <w:rPr>
          <w:rFonts w:ascii="Times New Roman;serif" w:hAnsi="Times New Roman;serif"/>
          <w:b w:val="false"/>
          <w:color w:val="000000"/>
          <w:sz w:val="20"/>
          <w:shd w:fill="FFFFFF" w:val="clear"/>
        </w:rPr>
        <w:t>GVHD</w:t>
      </w:r>
      <w:r>
        <w:rPr>
          <w:color w:val="000000"/>
        </w:rPr>
        <w:t>”</w:t>
      </w:r>
      <w:r>
        <w:rPr>
          <w:rFonts w:ascii="Times New Roman;serif" w:hAnsi="Times New Roman;serif"/>
          <w:b w:val="false"/>
          <w:color w:val="000000"/>
          <w:sz w:val="20"/>
          <w:shd w:fill="FFFFFF" w:val="clear"/>
        </w:rPr>
        <w:t>) in adult and pediatric patients 12 years and older; and in September 2021 for the treatment of chronic GVHD after failure of one or two lines of systemic therapy in adult and pediatric patients 12 years and older</w:t>
      </w:r>
      <w:r>
        <w:rPr>
          <w:rFonts w:ascii="Times New Roman;serif" w:hAnsi="Times New Roman;serif"/>
          <w:b w:val="false"/>
          <w:color w:val="000000"/>
          <w:sz w:val="20"/>
        </w:rPr>
        <w:t xml:space="preserve">. MF and PV are both myeloproliferative neoplasms (“MPNs”), a group of rare blood cancers, and GVHD is an adverse immune response to an allogeneic hematopoietic stem cell transplant (“HSCT”).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FDA has granted JAKAFI orphan drug status for MF, PV and GVHD. In addition, ruxolitinib phosphate qualifies for the Small Biotech Exception from the Centers for Medicare and Medicaid Services (“CMS”) under the Inflation Reduction Act.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Myelofibrosis.</w:t>
      </w:r>
      <w:r>
        <w:rPr>
          <w:color w:val="000000"/>
        </w:rPr>
        <w:t xml:space="preserve"> </w:t>
      </w:r>
      <w:r>
        <w:rPr>
          <w:rFonts w:ascii="Times New Roman;serif" w:hAnsi="Times New Roman;serif"/>
          <w:b w:val="false"/>
          <w:color w:val="000000"/>
          <w:sz w:val="20"/>
        </w:rPr>
        <w:t>MF, a rare, life-threatening condition, is considered the most serious of the MPNs and can occur either as primary MF or as secondary MF in patients who previously had PV or essential thrombocythemia (“ET”). In November 2011, the FDA approved JAKAFI for the treatment of adults with intermediate or high-risk MF, including primary MF, post-PV MF and post-ET MF. There were no FDA approved therapies for MF until the approval of JAKAFI.</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Polycythemia Vera.</w:t>
      </w:r>
      <w:r>
        <w:rPr>
          <w:color w:val="000000"/>
        </w:rPr>
        <w:t xml:space="preserve"> </w:t>
      </w:r>
      <w:r>
        <w:rPr>
          <w:rFonts w:ascii="Times New Roman;serif" w:hAnsi="Times New Roman;serif"/>
          <w:b w:val="false"/>
          <w:color w:val="000000"/>
          <w:sz w:val="20"/>
        </w:rPr>
        <w:t xml:space="preserve">PV is an MPN typically characterized by elevated hematocrit, the volume percentage of red blood cells in whole blood, which can lead to a thickening of the blood and an increased risk of blood clots, as well as an elevated white blood cell and platelet count. In December 2014, the FDA approved JAKAFI for the treatment of patients with PV who have had an inadequate response to or are intolerant of hydroxyurea.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Graft-versus-host disease.</w:t>
      </w:r>
      <w:r>
        <w:rPr>
          <w:color w:val="000000"/>
        </w:rPr>
        <w:t xml:space="preserve"> </w:t>
      </w:r>
      <w:r>
        <w:rPr>
          <w:rFonts w:ascii="Times New Roman;serif" w:hAnsi="Times New Roman;serif"/>
          <w:b w:val="false"/>
          <w:color w:val="000000"/>
          <w:sz w:val="20"/>
        </w:rPr>
        <w:t>GVHD is a condition that can occur after an allogeneic HSCT (the transfer of genetically dissimilar stem cells or tissue) where the donated bone marrow or peripheral blood stem cells view the recipient’s body as foreign and attack various tissues. In May 2019, the FDA approved JAKAFI for the treatment of steroid-refractory acute GVHD in adult and pediatric patients 12 years and older. In September 2021, the FDA approved JAKAFI for the treatment of chronic GVHD after failure of one or two lines of systemic therapy in adult and pediatric patients 12 years and older.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collaboration agreement with Novartis Pharmaceutical International Ltd. (“Novartis”), Novartis received exclusive development and commercialization rights to ruxolitinib outside of the United States for all hematologic and oncologic indications and sells ruxolitinib outside of the United States under the name JAKAVI. We are eligible to receive development and sales milestones as well as royalties from product sales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retained all development and commercialization rights to JAKAFI in the United States. We market JAKAFI in the United States through our own specialty sales force and commercial team. JAKAFI is distributed primarily through a network of specialty pharmacy providers and wholesalers that allow for efficient delivery of the medication by mail directly to patients or direct delivery to the patient’s pharmacy.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patents that cover the composition of matter and use of ruxolitinib and its salt. These patents, including applicable extensions, currently expire in mid and late 2028, respectively.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ICLUSIG (ponatinib)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2016, we acquired the European operations of ARIAD Pharmaceuticals, Inc. and obtained an exclusive license to develop and commercialize ICLUSIG (ponatinib), a kinase inhibitor, in Europe and other select countries. The primary target for ICLUSIG is BCR-ABL, an abnormal tyrosine kinase that is expressed in chronic myeloid leukemia (“CML”) and Philadelphia-chromosome positive acute lymphoblastic leukemia (“Ph+ ALL”).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In the European Union, ICLUSIG also is approved for the treatment of adult patients with Ph+ ALL who are resistant to dasatinib; who are intolerant to dasatinib and for whom subsequent treatment with imatinib is not clinically appropriate; or who have the T315I mutation.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MONJUVI (tafasitamab-cxix) / MINJUVI (tafasitamab)</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2020, we and MorphoSys AG (“MorphoSys”) entered into a collaboration and license agreement to further develop and commercialize MorphoSys’ proprietary anti-CD19 antibody tafasitamab (formerly MOR208) globally. In February 2024, we entered into a purchase agreement with MorphoSys relating to tafasitamab. As a result, we now hold exclusive global rights for tafasitamab, and the collaboration and license agreement was terminated.</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Diffuse Large B-cell Lymphoma. </w:t>
      </w:r>
      <w:r>
        <w:rPr>
          <w:rFonts w:ascii="Times New Roman;serif" w:hAnsi="Times New Roman;serif"/>
          <w:b w:val="false"/>
          <w:color w:val="000000"/>
          <w:sz w:val="20"/>
        </w:rPr>
        <w:t>In July 2020, the FDA approved MONJUVI (tafasitamab-cxix), in combination with lenalidomide, for the treatment of adult patients with relapsed or refractory (“r/r”) diffuse large B-cell lymphoma (“DLBCL”) not otherwise specified, including DLBCL arising from low grade lymphoma, and who are not eligible for autologous stem cell transplant (“ASCT”). In August 2021, the European Commission granted conditional marketing authorization for MINJUVI (tafasitamab) in combination with lenalidomide, followed by MINJUVI monotherapy, for the treatment of adult patients with r/r DLBCL who are not eligible for ASCT.</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Follicular Lymphoma. </w:t>
      </w:r>
      <w:r>
        <w:rPr>
          <w:rFonts w:ascii="Times New Roman;serif" w:hAnsi="Times New Roman;serif"/>
          <w:b w:val="false"/>
          <w:color w:val="000000"/>
          <w:sz w:val="20"/>
        </w:rPr>
        <w:t>In June 2025, MONJUVI (tafasitamab-cxix) was approved by the FDA for the treatment of adult patients with r/r follicular lymphoma (“FL”) in combination with rituximab and lenalidomide. In December 2025, MINJUVI (tafasitamab) was approved by the European Commission in combination with lenalidomide and rituximab for the treatment of adult patients with r/r FL (Grade 1-3a) after at least one line of systemic therapy. Also in December 2025, MINJUVI (tafasitamab) was approved by Japan’s Ministry of Health, Labour and Welfare (“MHLW”) in combination with rituximab and lenalidomide for adult patients with r/r FL (2L+ FL).</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NIKTIMVO (axatilimab-csfr)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2021, we entered into an exclusive worldwide collaboration and license agreement with Syndax Pharmaceuticals, Inc. (“Syndax”) to develop and commercialize axatilimab, Syndax’s anti-CSF-1R monoclonal antibody.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2024, the FDA approved NIKTIMVO (axatilimab-csfr) for the treatment of chronic GVHD after failure of at least two prior lines of systemic therapy in adult and pediatric patients. NIKTIMVO is the first approved anti-CSF-1R antibody targeting the drivers of inflammation and fibrosis seen in chronic GVHD. The U.S. commercial launch of NIKTIMVO commenced in January 2025.</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Clinical Programs in Hematology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JAKAFI XR</w:t>
      </w:r>
    </w:p>
    <w:p>
      <w:pPr>
        <w:pStyle w:val="TextBody"/>
        <w:bidi w:val="0"/>
        <w:spacing w:lineRule="auto" w:line="288" w:before="240" w:after="283"/>
        <w:ind w:left="0" w:right="0" w:firstLine="720"/>
        <w:jc w:val="both"/>
        <w:rPr/>
      </w:pPr>
      <w:r>
        <w:rPr>
          <w:rFonts w:ascii="Times New Roman;serif" w:hAnsi="Times New Roman;serif"/>
          <w:b w:val="false"/>
          <w:color w:val="000000"/>
          <w:sz w:val="20"/>
        </w:rPr>
        <w:t>We are developing a once-a-day formulation of ruxolitinib for potential use as monotherapy and in combinations. Bioavailability and bioequivalence data were published for ruxolitinib’s once-daily (“QD”) extended release (“XR”) formulation at the European Hematology Association Virtual Congress in June 2021. In March 2023, the FDA issued a complete response letter (“CRL”) for ruxolitinib XR tablets for QD use in the treatment of certain types of MF, PV and GVHD. In December 2023, we received FDA feedback and agreed on the requirements to address the CRL. In early 2025, we announced that a bioequivalence study of ruxolitinib XR was completed and the bioequivalence criteria were met. A response to the CRL has been submitted and we anticipate a regulatory decision and potential commercial launch in mid-2026</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INCA033989 (mutCALR)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INCA033989 is an Incyte-discovered, investigational, novel, anti-mutant calreticulin (“CALR”)-targeted monoclonal antibody in clinical development for the treatment of adults with mutCALR-positive ET and MF.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Essential Thrombocythemia.</w:t>
      </w:r>
      <w:r>
        <w:rPr>
          <w:color w:val="000000"/>
        </w:rPr>
        <w:t xml:space="preserve"> </w:t>
      </w:r>
      <w:r>
        <w:rPr>
          <w:rFonts w:ascii="Times New Roman;serif" w:hAnsi="Times New Roman;serif"/>
          <w:b w:val="false"/>
          <w:color w:val="000000"/>
          <w:sz w:val="20"/>
        </w:rPr>
        <w:t xml:space="preserve">INCA033989 is being evaluated for the treatment of adults with mutCALR-positive ET who are resistant or intolerant to at least one cytoreductive therapy. In 2025, we presented data from our Phase 1 study demonstrating a rapid and durable normalization of platelet counts and a reduction in peripheral blood mutCALR variant allele frequency (“VAF”) correlating with hematologic response with INCA033989 treatment. INCA033989 was well tolerated with no dose limiting toxicities reported. In December 2025, </w:t>
      </w:r>
      <w:r>
        <w:rPr>
          <w:rFonts w:ascii="Times New Roman;serif" w:hAnsi="Times New Roman;serif"/>
          <w:b w:val="false"/>
          <w:color w:val="000000"/>
          <w:sz w:val="20"/>
          <w:shd w:fill="FFFFFF" w:val="clear"/>
        </w:rPr>
        <w:t>we announced that the FDA granted Breakthrough Therapy designation to INCA033989 for the treatment of patients with ET harboring a Type 1 CALR mutation who are resistant or intolerant to at least one cytoreductive therapy. The initiation of a Phase 3 trial evaluating INCA033989 in ET is anticipated in mid-2026.</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Myelofibrosis. </w:t>
      </w:r>
      <w:r>
        <w:rPr>
          <w:rFonts w:ascii="Times New Roman;serif" w:hAnsi="Times New Roman;serif"/>
          <w:b w:val="false"/>
          <w:color w:val="000000"/>
          <w:sz w:val="20"/>
        </w:rPr>
        <w:t xml:space="preserve">INCA033989 is being evaluated for the treatment of adults with mutCALR-positive MF. </w:t>
      </w:r>
      <w:r>
        <w:rPr>
          <w:rFonts w:ascii="Times New Roman;serif" w:hAnsi="Times New Roman;serif"/>
          <w:b w:val="false"/>
          <w:color w:val="000000"/>
          <w:sz w:val="20"/>
          <w:shd w:fill="FFFFFF" w:val="clear"/>
        </w:rPr>
        <w:t xml:space="preserve">In December 2025, at the 2025 American Society of Hematology Annual Meeting, we presented data from our Phase 1 studies evaluating INCA033989 as a monotherapy and in combination with ruxolitinib in patients with mutCALR positive MF. The data demonstrated rapid and robust reductions in spleen volume and symptoms, and improvements in anemia with INCA033989 treatment, and a favorable safety profile with no dose limiting toxicities reported. Additionally, exploratory analyses from clinical studies demonstrate the potential for disease modifying activity by directly inhibiting and eliminating oncogenic mutCALR cells, while sparing healthy cells and restoring normal blood cell production in MF patients with a CALR mutation. The planned initiation of a Phase 3 trial evaluating INCA033989 in MF is anticipated in the second half of 2026.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October 2025, we announced an agreement with Enable Injections, Inc. (“Enable”) to develop for use with specific assets in our portfolio, including INCA033989, Enable’s enFuse on-body delivery system. Under the terms of the agreement, we obtained a worldwide, exclusive license to use the enFuse technology with INCA033989 in ET and MF, with the potential to expand to additional assets and indications</w:t>
      </w:r>
      <w:r>
        <w:rPr>
          <w:rFonts w:ascii="Times New Roman;serif" w:hAnsi="Times New Roman;serif"/>
          <w:b w:val="false"/>
          <w:color w:val="000000"/>
          <w:sz w:val="20"/>
          <w:shd w:fill="FFFFFF" w:val="clear"/>
        </w:rPr>
        <w:t>. A Phase 1 trial initiation is anticipated in the first quarter of 2026.</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INCA035784 (mutCALRxCD3 bispecific)</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INCA035784 is a novel, equipotent T-cell redirecting mutCALR x CD3 bispecific antibody being evaluated for patients with mutCALR positive MPNs. Phase 1 data evaluating INCA035784 in MF and ET patients with a CALR mutation are anticipated in 2027.</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INCB160058 (JAK2V617Fi)</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INCB160058 is an Incyte-discovered, novel JAK2V617F mutant-specific inhibitor being evaluated in patients with MPNs harboring a JAK2V617F mutation. Results from the Phase 1 trial evaluating INCB160058 in MPN patients with a JAK2V617F mutation are anticipated in the second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Axatilimab-csfr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Axatilimab is a colony stimulating factor-1 receptor (CSF-1R)-blocking antibody targeting monocytes and macrophages, reducing inflammation and fibrosis associated with chronic GVHD. A Phase 2 trial evaluating axatilimab in combination with ruxolitinib in patients with newly diagnosed chronic GVHD is ongoing, with results anticipated in early 2027. A Phase 3 trial evaluating axatilimab in combination with corticosteroids as an initial treatment in patients with chronic GVHD is ongoing, with results anticipated in early 2028.</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Tafasitamab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Tafasitamab is a humanized Fc-modified cytolytic CD19 targeting monoclonal antibody that is being evaluated in combination with lenalidomide added to rituximab plus chemotherapy as a first-line therapy for patients with DLBCL.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we announced positive topline results from the pivotal Phase 3 frontMIND trial evaluating tafasitamab and lenalidomide in combination with R-CHOP as a first-line therapy for patients with DLBCL. The trial met the primary endpoint of progression free survival by investigator assessment and also met the key secondary endpoint of event-free survival by investigator assessment. No new safety signals were observed. Additional frontMIND data will be submitted for presentation at an upcoming scientific meeting. Based on these positive results, we expect to file a supplemental Biologics License Application for tafasitamab and lenalidomide in addition to R-CHOP for the first-line treatment of adult patients with newly diagnosed DLBCL in the first half of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Oncology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oncology franchise includes two approved products, PEMAZYRE (pemigatinib) and ZYNYZ (retifanlimab-dlwr), as well as several clinical development programs.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PEMAZYRE (pemigatinib)</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Cholangiocarcinoma. </w:t>
      </w:r>
      <w:r>
        <w:rPr>
          <w:rFonts w:ascii="Times New Roman;serif" w:hAnsi="Times New Roman;serif"/>
          <w:b w:val="false"/>
          <w:color w:val="000000"/>
          <w:sz w:val="20"/>
        </w:rPr>
        <w:t xml:space="preserve">In April 2020, the FDA approved PEMAZYRE (pemigatinib), a selective fibroblast growth factor receptor kinase inhibitor, for the treatment of adults with previously treated, unresectable locally advanced or metastatic cholangiocarcinoma with a fibroblast growth factor receptor 2 (“FGFR2”) fusion or other rearrangement as detected by an FDA-approved test. Cholangiocarcinoma is a rare cancer that arises from the cells within the bile ducts. PEMAZYRE is the first FDA-approved treatment for this indication.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2021, PEMAZYRE was approved by the MHLW for the treatment of patients with unresectable biliary tract cancer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2021, the U.K.’s National Institute for Health and Care Excellence (“NICE”) recommended PEMAZYRE for patients with cholangiocarcinoma with an FGFR2 fusion or rearrangement that have progressed after at least one prior line of systemic therapy. NICE’s guidance enables all eligible patients in England and Wales to have access to PEMAZYRE through the National Health Service.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2022, PEMAZYRE was approved by the National Medical Products Administration of the People’s Republic of China for the treatment of adults with locally advanced or metastatic cholangiocarcinoma with an FGFR2 fusion or rearrangement as confirmed by a validated diagnostic test that has progressed after at least one prior line of systemic therapy.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Myeloid/Lymphoid Neoplasms</w:t>
      </w:r>
      <w:r>
        <w:rPr>
          <w:rFonts w:ascii="Times New Roman;serif" w:hAnsi="Times New Roman;serif"/>
          <w:b w:val="false"/>
          <w:color w:val="000000"/>
          <w:sz w:val="20"/>
        </w:rPr>
        <w:t xml:space="preserve">. In August 2022, PEMAZYRE was approved by the FDA as the first and only targeted treatment for myeloid/lymphoid neoplasms (“MLNs”) with a fibroblast growth factor receptor 1 (“FGFR1”) rearrangement. MLNs with FGFR1 rearrangements are a group of extremely rare but aggressive blood cancers. In March 2023, PEMAZYRE was approved by the MHLW for the treatment of MLNs with FGFR1 rearrangement.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ZYNYZ (retifanlimab-dlwr)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2017, we and MacroGenics, Inc. (“MacroGenics”), announced an exclusive global collaboration and license agreement for MacroGenics’ retifanlimab (formerly INCMGA0012), a humanized monoclonal antibody targeting programmed death receptor-1 (“PD-1”). Under this collaboration, we obtained exclusive worldwide rights for the development and commercialization of retifanlimab in all indications.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Merkel Cell Carcinoma.</w:t>
      </w:r>
      <w:r>
        <w:rPr>
          <w:color w:val="000000"/>
        </w:rPr>
        <w:t xml:space="preserve"> </w:t>
      </w:r>
      <w:r>
        <w:rPr>
          <w:rFonts w:ascii="Times New Roman;serif" w:hAnsi="Times New Roman;serif"/>
          <w:b w:val="false"/>
          <w:color w:val="000000"/>
          <w:sz w:val="20"/>
        </w:rPr>
        <w:t>In March 2023, the FDA approved ZYNYZ (retifanlimab-dlwr) under accelerated approval for the treatment of adults with metastatic or recurrent locally advanced Merkel cell carcinoma (“MCC”). In April 2024, the European Commission approved ZYNYZ (retifanlimab) as a monotherapy for the first-line treatment of adult patients with metastatic or recurrent locally advanced MCC not amenable to curative surgery or radiation therapy.</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Squamous Cell Carcinoma of the Anal Canal.</w:t>
      </w:r>
      <w:r>
        <w:rPr>
          <w:color w:val="000000"/>
        </w:rPr>
        <w:t xml:space="preserve"> </w:t>
      </w:r>
      <w:r>
        <w:rPr>
          <w:rFonts w:ascii="Times New Roman;serif" w:hAnsi="Times New Roman;serif"/>
          <w:b w:val="false"/>
          <w:color w:val="000000"/>
          <w:sz w:val="20"/>
        </w:rPr>
        <w:t>In May 2025, the FDA approved ZYNYZ (retifanlimab-dlwr) for the treatment of adult patients with advanced squamous cell carcinoma of the anal canal (“SCAC”) in combination with chemotherapy and as a single agent. In December 2025, the MHLW approved ZYNYZ in combination with carboplatin and paclitaxel (platinum-based chemotherapy) for the first-line treatment of advanced SCAC. We submitted a Type II variation Marketing Authorization Application (“MAA”) to the European Medicines Agency (“EMA”) and, in January 2026, we announced that the Committee for Medicinal Products for Human Use (“CHMP”) issued a positive opinion for ZYNYZ in combination with carboplatin and paclitaxel (platinum-based chemotherapy) for the first-line treatment of adult patients with metastatic or with inoperable locally recurrent SCAC.</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Clinical Programs in Oncology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INCB123667 (CDK2)</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INCB123667 is a novel, potent and selective oral small molecule inhibitor of serine threonine kinase (CDK2) in clinical development for the treatment of ovarian cancer in patients with Cyclin E1 overexpression.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we initiated MAESTRA-1, a Phase 2 single-arm study of INCB123667 in patients with platinum-resistant ovarian cancer (“PROC”) with Cyclin E1 overexpression, and MAESTRA-2, a Phase 3, randomized, open-label study of INCB123667 versus investigator’s choice chemotherapy in patients with PROC with Cyclin E1 overexpression. The initiation of a Phase 3 study evaluating INCB123667 in first-line maintenance ovarian cancer is anticipated in 2026.</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INCB161734 (KRAS G12D)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INCB161734 is a potent, selective and orally bioavailable KRAS G12D inhibitor that is currently being evaluated in patients with locally advanced or metastatic solid tumors with KRASG12D mutation.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Pancreatic Ductal Adenocarcinoma.</w:t>
      </w:r>
      <w:r>
        <w:rPr>
          <w:color w:val="000000"/>
        </w:rPr>
        <w:t xml:space="preserve"> </w:t>
      </w:r>
      <w:r>
        <w:rPr>
          <w:rFonts w:ascii="Times New Roman;serif" w:hAnsi="Times New Roman;serif"/>
          <w:b w:val="false"/>
          <w:color w:val="000000"/>
          <w:sz w:val="20"/>
        </w:rPr>
        <w:t xml:space="preserve">In October 2025, we presented preliminary data from the ongoing Phase 1 study at the 2025 ESMO Congress. In the study, INCB161734 demonstrated a manageable safety profile and clinical efficacy in heavily pretreated pancreatic ductal adenocarcinoma (“PDAC”) patients with a KRASG12D mutation. A Phase 3 study evaluating INCB161734 in combination with standard-of-care chemotherapy in first-line patients with metastatic PDAC is anticipated to initiate in the first quarter of 2026.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INCA33890 (TGFβR2xPD-1)</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INCA33890 is a TGFβR2xPD-1 bispecific antibody developed by Incyte using Merus’s licensed bispecific platform to avoid the known toxicity of broad TGFβ pathway blockade by specifically blocking TGFβ signaling in cells co-expressing PD-1.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Microsatellite Stable Colorectal Cancer.</w:t>
      </w:r>
      <w:r>
        <w:rPr>
          <w:color w:val="000000"/>
        </w:rPr>
        <w:t xml:space="preserve"> </w:t>
      </w:r>
      <w:r>
        <w:rPr>
          <w:rFonts w:ascii="Times New Roman;serif" w:hAnsi="Times New Roman;serif"/>
          <w:b w:val="false"/>
          <w:color w:val="000000"/>
          <w:sz w:val="20"/>
        </w:rPr>
        <w:t xml:space="preserve">In October 2025, we presented data from the ongoing Phase 1 study at the 2025 ESMO Congress. INCA33890 demonstrated clinical efficacy across multiple tumor types, including microsatellite stable colorectal cancer (“MSS CRC”) in patients with and without active liver metastases. INCA33890 was generally well tolerated as monotherapy and in combination with standard-of-care treatments in patients with metastatic CRC.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a Phase 3 study evaluating INCA33890 in combination with standard-of-care chemotherapy and bevacizumab in first-line MSS CRC was initiated.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Inflammation and Autoimmunity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Inflammation and Autoimmunity franchise is comprised of one approved product, OPZELURA (ruxolitinib) cream, with several clinical programs in development.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OPZELURA (ruxolitinib) cream</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Atopic Dermatitis</w:t>
      </w:r>
      <w:r>
        <w:rPr>
          <w:rFonts w:ascii="Times New Roman;serif" w:hAnsi="Times New Roman;serif"/>
          <w:b w:val="false"/>
          <w:color w:val="000000"/>
          <w:sz w:val="20"/>
        </w:rPr>
        <w:t>. In September 2021, the FDA approved OPZELURA (ruxolitinib) cream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 AD is a skin disorder that causes long term inflammation of the skin resulting in itchy, red, swollen and cracked skin.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FDA approved the supplemental New Drug Application (“NDA”) for OPZELURA for the short-term and non-continuous chronic treatment of mild to moderate AD in non-immunocompromised children two years of age and older whose disease is not well controlled with topical prescription therapies, or when those therapies are not advisable.</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Vitiligo. </w:t>
      </w:r>
      <w:r>
        <w:rPr>
          <w:rFonts w:ascii="Times New Roman;serif" w:hAnsi="Times New Roman;serif"/>
          <w:b w:val="false"/>
          <w:color w:val="000000"/>
          <w:sz w:val="20"/>
        </w:rPr>
        <w:t>In July 2022, the FDA approved OPZELURA for the topical treatment of nonsegmental vitiligo in adult and pediatric patients 12 years of age and older. Vitiligo is a chronic autoimmune depigmenting skin disease characterized by patches of the skin losing their pigment. OPZELURA is the first and only FDA approved treatment for repigmentation of vitiligo lesions. OPZELURA was approved for continuous use and no limits to duration as a treatment for nonsegmental vitiligo.</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2023, the European Commission approved OPZELURA for the topical treatment of nonsegmental vitiligo with facial involvement in adults and adolescents 12 years and older following a positive opinion from the CHMP. In October 2024, OPZELURA cream 1.5% was granted a Notice of Compliance by Health Canada for the topical treatment of both mild to moderate AD and nonsegmental vitiligo in patients 12 years of age and older.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Clinical Programs in IAI</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Ruxolitinib cream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Ruxolitinib cream is a potent, selective inhibitor of JAK1 and JAK2 that provides the opportunity to directly target diverse pathogenic pathways that underlie certain immune-mediated dermatologic conditions.</w:t>
      </w:r>
    </w:p>
    <w:p>
      <w:pPr>
        <w:pStyle w:val="TextBody"/>
        <w:bidi w:val="0"/>
        <w:spacing w:lineRule="auto" w:line="288" w:before="240" w:after="240"/>
        <w:ind w:left="0" w:right="0" w:firstLine="720"/>
        <w:jc w:val="left"/>
        <w:rPr/>
      </w:pPr>
      <w:r>
        <w:rPr>
          <w:rFonts w:ascii="Times New Roman;serif" w:hAnsi="Times New Roman;serif"/>
          <w:b w:val="false"/>
          <w:i/>
          <w:color w:val="000000"/>
          <w:sz w:val="20"/>
        </w:rPr>
        <w:t xml:space="preserve">Atopic Dermatitis. </w:t>
      </w:r>
      <w:r>
        <w:rPr>
          <w:rFonts w:ascii="Times New Roman;serif" w:hAnsi="Times New Roman;serif"/>
          <w:b w:val="false"/>
          <w:color w:val="000000"/>
          <w:sz w:val="20"/>
        </w:rPr>
        <w:t xml:space="preserve">In July 2025, we announced positive topline results from the Phase 3 (TRuE-AD4) study evaluating ruxolitinib cream in adult patients with moderate atopic dermatitis. The study met the co-primary endpoints at Week 8, with a statistically significant proportion of patients achieving both Investigator’s Global Assessment Treatment Success and EASI75, which is defined as a 75% or greater improvement in the Eczema Area Severity Index score from baseline. In addition, the study met all key secondary endpoints. Ruxolitinib cream was well tolerated with no new safety signals. At the end of 2025, a Type-II variation application for the treatment of adults with moderate AD was submitted in Europe and we anticipate a potential approval in the second half of 2026. </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 xml:space="preserve">Hidradenitis Suppurativa. </w:t>
      </w:r>
      <w:r>
        <w:rPr>
          <w:rFonts w:ascii="Times New Roman;serif" w:hAnsi="Times New Roman;serif"/>
          <w:b w:val="false"/>
          <w:color w:val="000000"/>
          <w:sz w:val="20"/>
        </w:rPr>
        <w:t>In January 2024, we announced positive topline results from a randomized controlled Phase 2 study evaluating ruxolitinib cream in hidradenitis suppurativa (“HS”). Ruxolitinib 1.5% cream twice daily met the primary efficacy endpoint as measured by a change from baseline in abscess and nodule count at Week 16 versus placebo in patients with mild to moderate HS. Ruxolitinib cream was well tolerated and consistent with its known safety profile. In June 2025, two Phase 3 studies (TRuE-HS1 and TRuE-HS2) evaluating ruxolitinib cream in mild to moderate HS were initiated, with topline results anticipated in the fourth quarter of 2026.</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Prurigo Nodularis.</w:t>
      </w:r>
      <w:r>
        <w:rPr>
          <w:color w:val="000000"/>
        </w:rPr>
        <w:t xml:space="preserve"> </w:t>
      </w:r>
      <w:r>
        <w:rPr>
          <w:rFonts w:ascii="Times New Roman;serif" w:hAnsi="Times New Roman;serif"/>
          <w:b w:val="false"/>
          <w:color w:val="000000"/>
          <w:sz w:val="20"/>
        </w:rPr>
        <w:t>In January 2026, we received FDA feedback indicating that an additional clinical study would be required to support registration in mild to moderate prurigo nodularis (“PN”). Based on this feedback we have decided to pause further development of ruxolitinib cream in PN at this time.</w:t>
      </w:r>
    </w:p>
    <w:p>
      <w:pPr>
        <w:pStyle w:val="TextBody"/>
        <w:bidi w:val="0"/>
        <w:spacing w:before="24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Povorcitinib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Povorcitinib, an oral small molecule selective JAK1 inhibitor, is being evaluated for the treatment of HS, nonsegmental vitiligo, PN and asthma.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Hidradenitis Suppurativa. </w:t>
      </w:r>
      <w:r>
        <w:rPr>
          <w:rFonts w:ascii="Times New Roman;serif" w:hAnsi="Times New Roman;serif"/>
          <w:b w:val="false"/>
          <w:color w:val="000000"/>
          <w:sz w:val="20"/>
        </w:rPr>
        <w:t>In March 2025, we shared positive results from two Phase 3 studies (STOP-HS1 and STOP-HS2) evaluating povorcitinib in patients with moderate to severe HS. Both studies met their primary endpoint of Hidradenitis Suppurativa Clinical Response (“HiSCR”) at Week 12 and at both tested doses (45mg and 75mg). In addition, at Week 12, patients treated with povorcitinib achieved deep levels of clinical response with a greater proportion achieving HiSCR75, reduction in flares, and a greater than 3-point decrease in the Skin Pain NRS score and Skin Pain NRS30. Furthermore, povorcitinib demonstrated rapid onset of response, including rapid skin pain reduction</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submitted an MAA for povorcitinib to the EMA at the end of 2025 and we anticipate a potential approval by the end of 2026. The acceptance by the FDA of our NDA submission for povorcitinib in HS is anticipated in the first quarter of 2026, with potential approval by early 2027. </w:t>
      </w:r>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 xml:space="preserve">Nonsegmental Vitiligo. </w:t>
      </w:r>
      <w:r>
        <w:rPr>
          <w:rFonts w:ascii="Times New Roman;serif" w:hAnsi="Times New Roman;serif"/>
          <w:b w:val="false"/>
          <w:color w:val="000000"/>
          <w:sz w:val="20"/>
          <w:shd w:fill="FFFFFF" w:val="clear"/>
        </w:rPr>
        <w:t>In March and October 2023, we presented results from the Phase 2b clinical study evaluating povorcitinib in patients with extensive nonsegmental vitiligo. The results demonstrated that treatment with oral povorcitinib was associated with substantial total body and facial repigmentation, as measured by total Vitiligo Area Scoring Index. Based on these results, two Phase 3 studies (STOP-V1 and STOP-V2) evaluating povorcitinib in participants with extensive nonsegmental vitiligo (</w:t>
      </w:r>
      <w:r>
        <w:rPr>
          <w:rFonts w:ascii="Times New Roman;serif" w:hAnsi="Times New Roman;serif"/>
          <w:b w:val="false"/>
          <w:color w:val="000000"/>
          <w:sz w:val="20"/>
          <w:u w:val="single"/>
          <w:shd w:fill="FFFFFF" w:val="clear"/>
        </w:rPr>
        <w:t>&gt;</w:t>
      </w:r>
      <w:r>
        <w:rPr>
          <w:rFonts w:ascii="Times New Roman;serif" w:hAnsi="Times New Roman;serif"/>
          <w:b w:val="false"/>
          <w:color w:val="000000"/>
          <w:sz w:val="20"/>
          <w:shd w:fill="FFFFFF" w:val="clear"/>
        </w:rPr>
        <w:t>5% BSA) were initiated in late 2023. Data from the Phase 3 studies are anticipated by mid-2026.</w:t>
      </w:r>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 xml:space="preserve">Prurigo Nodularis. </w:t>
      </w:r>
      <w:r>
        <w:rPr>
          <w:rFonts w:ascii="Times New Roman;serif" w:hAnsi="Times New Roman;serif"/>
          <w:b w:val="false"/>
          <w:color w:val="000000"/>
          <w:sz w:val="20"/>
          <w:shd w:fill="FFFFFF" w:val="clear"/>
        </w:rPr>
        <w:t>In October 2023, we announced that the Phase 2, randomized, double-blind, placebo-controlled, dose ranging study evaluating the efficacy and safety of povorcitinib in participants with PN had met its primary endpoint. In October 2024, following the positive Phase 2 results, two Phase 3 studies (STOP-PN1 and STOP-PN2) evaluating povorcitinib in patients with moderate to severe PN were initiated</w:t>
      </w:r>
      <w:r>
        <w:rPr>
          <w:rFonts w:ascii="Times New Roman;serif" w:hAnsi="Times New Roman;serif"/>
          <w:b w:val="false"/>
          <w:color w:val="000000"/>
          <w:sz w:val="20"/>
        </w:rPr>
        <w:t>. Data from the Phase 3 studies are anticipated in the fourth quarter of 2026.</w:t>
      </w:r>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 xml:space="preserve">Asthma. </w:t>
      </w:r>
      <w:r>
        <w:rPr>
          <w:rFonts w:ascii="Times New Roman;serif" w:hAnsi="Times New Roman;serif"/>
          <w:b w:val="false"/>
          <w:color w:val="000000"/>
          <w:sz w:val="20"/>
          <w:shd w:fill="FFFFFF" w:val="clear"/>
        </w:rPr>
        <w:t>In July 2023, we initiated a Phase 2 study evaluating povorcitinib in patients with moderate to severe uncontrolled asthma. Proof-of-concept data from this study is anticipated in the second half of 2026</w:t>
      </w:r>
      <w:r>
        <w:rPr>
          <w:rFonts w:ascii="Times New Roman;serif" w:hAnsi="Times New Roman;serif"/>
          <w:b w:val="false"/>
          <w:color w:val="000000"/>
          <w:sz w:val="20"/>
        </w:rPr>
        <w:t xml:space="preserve">.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INCB00928 (zilurgisertib)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2022, we initiated a Phase 2 trial evaluating zilurgisertib (INCB00928) in patients with fibrodysplasia ossificans progressiva (“FOP”), a disorder in which muscle tissue and connective tissue are gradually replaced by bone. The FDA has granted Fast Track designation and orphan drug designation to zilurgisertib as a treatment for patients with FOP.</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Collaborative Partnered Programs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below under “License Agreements and Business Relationships,” we are eligible for milestone payments and royalties on certain products that we license to third parties. These include OLUMIANT (baricitinib), which is licensed to our collaborative partner Eli Lilly and Company (“Lilly”), and JAKAVI (ruxolitinib) and TABRECTA (capmatinib), which are licensed to Novartis.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Baricitinib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second JAK1 and JAK2 inhibitor, baricitinib, which is subject to our collaboration agreement with Lilly, in which Lilly received exclusive worldwide development and commercialization rights to the compound for inflammatory and autoimmune diseases.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Rheumatoid Arthritis.</w:t>
      </w:r>
      <w:r>
        <w:rPr>
          <w:color w:val="000000"/>
        </w:rPr>
        <w:t xml:space="preserve"> </w:t>
      </w:r>
      <w:r>
        <w:rPr>
          <w:rFonts w:ascii="Times New Roman;serif" w:hAnsi="Times New Roman;serif"/>
          <w:b w:val="false"/>
          <w:color w:val="000000"/>
          <w:sz w:val="20"/>
        </w:rPr>
        <w:t>Rheumatoid arthritis is an autoimmune disease characterized by aberrant or abnormal immune mechanisms that lead to joint inflammation and swelling and, in some patients, the progressive destruction of joints. In February 2017, the European Commission approved baricitinib as OLUMIANT for the treatment of moderate-to-severe rheumatoid arthritis in adult patients who have responded inadequately to, or who are intolerant to, one or more disease-modifying antirheumatic drugs.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Atopic Dermatitis. </w:t>
      </w:r>
      <w:r>
        <w:rPr>
          <w:rFonts w:ascii="Times New Roman;serif" w:hAnsi="Times New Roman;serif"/>
          <w:b w:val="false"/>
          <w:color w:val="000000"/>
          <w:sz w:val="20"/>
        </w:rPr>
        <w:t xml:space="preserve">In October 2020, the European Commission approved baricitinib as OLUMIANT for the treatment of moderate-to-severe AD in adult patients who are candidates for systemic therapy. In December 2020, baricitinib was approved by the MHLW for the treatment of patients with moderate-to-severe AD.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Alopecia Areata</w:t>
      </w:r>
      <w:r>
        <w:rPr>
          <w:rFonts w:ascii="Times New Roman;serif" w:hAnsi="Times New Roman;serif"/>
          <w:b w:val="false"/>
          <w:color w:val="000000"/>
          <w:sz w:val="20"/>
        </w:rPr>
        <w:t>. Alopecia areata is an autoimmune disorder in which the immune system attacks the hair follicles, causing hair loss in patches. In June 2022, the FDA approved 2mg and 4mg doses of OLUMIANT for the treatment of adults with severe alopecia areata, becoming the first and only systemic treatment in the indication. Also in June 2022, OLUMIANT was approved as a treatment for alopecia areata in Europe and Japan.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COVID-19.</w:t>
      </w:r>
      <w:r>
        <w:rPr>
          <w:color w:val="000000"/>
        </w:rPr>
        <w:t xml:space="preserve"> </w:t>
      </w:r>
      <w:r>
        <w:rPr>
          <w:rFonts w:ascii="Times New Roman;serif" w:hAnsi="Times New Roman;serif"/>
          <w:b w:val="false"/>
          <w:color w:val="000000"/>
          <w:sz w:val="20"/>
        </w:rPr>
        <w:t>In May 2020, we amended our agreement with Lilly to enable Lilly to commercialize baricitinib for the treatment of COVID-19. The FDA’s Emergency Use Authorization provides for the use of baricitinib for the treatment of COVID-19 in hospitalized adults and pediatric patients two years of age or older requiring supplemental oxygen, non-invasive or invasive mechanical ventilation or extracorporeal membrane oxygenation (“ECMO”). In June 2022, the FDA approved baricitinib as OLUMIANT for the treatment of COVID-19 in hospitalized adults requiring supplemental oxygen, non-invasive or invasive mechanical ventilation or ECMO.</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Type 1 Diabetes</w:t>
      </w:r>
      <w:r>
        <w:rPr>
          <w:rFonts w:ascii="Times New Roman;serif" w:hAnsi="Times New Roman;serif"/>
          <w:b w:val="false"/>
          <w:color w:val="000000"/>
          <w:sz w:val="20"/>
        </w:rPr>
        <w:t>. In October 2025, we amended our agreement with Lilly to enable Lilly to commercialize baricitinib for the treatment of Type 1 diabetes mellitus.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Capmatinib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Capmatinib is a potent and highly selective mesenchymal-epithelial-transition factor gene (“MET”) inhibitor. Under our agreement, Novartis received worldwide exclusive development and commercialization rights to capmatinib and certain back-up compounds in all indications. Capmatinib is being evaluated in patients with hepatocellular carcinoma, non-small cell lung cancer (“NSCLC”) and other solid tumors, and may have potential utility as a combination agent.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2020, the FDA approved capmatinib as TABRECTA for the treatment of adult patients with metastatic NSCLC whose tumors have a mutation that leads to MET exon 14 (“METex14”) skipping as detected by an FDA-approved test. TABRECTA is the first and only treatment approved to specifically target NSCLC with this driver mutation and is approved for first-line and previously treated patients regardless of prior treatment type. In June 2020, the MHLW approved TABRECTA for METex14 mutation-positive advanced and/or recurrent unresectable NSCLC. In June 2022, the European Commission approved capmatinib as TABRECTA as a monotherapy treatment of adults with advanced NSCLC harboring alterations leading to METex14 skipping who require systemic therapy following prior treatment with immunotherapy and/or platinum-based chemotherapy.</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Ruxolitinib</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Graft-versus-host disease.</w:t>
      </w:r>
      <w:r>
        <w:rPr>
          <w:color w:val="000000"/>
        </w:rPr>
        <w:t xml:space="preserve"> </w:t>
      </w:r>
      <w:r>
        <w:rPr>
          <w:rFonts w:ascii="Times New Roman;serif" w:hAnsi="Times New Roman;serif"/>
          <w:b w:val="false"/>
          <w:color w:val="000000"/>
          <w:sz w:val="20"/>
        </w:rPr>
        <w:t>In May 2022, the European Commission approved ruxolitinib as JAKAVI for the treatment of acute or chronic GVHD in patients aged 12 years and older who have an inadequate response to corticosteroids or other systemic therapies. In August 2023, Novartis announced that JAKAVI had been approved in Japan for use in GVHD after HSCT</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License Agreements and Business Relationships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5 and Note 7 of Notes to the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Out-License Agreements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Novartis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Lilly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 and, in October 2025, we further amended the agreement to enable Lilly to commercialize baricitinib for the treatment of Type 1 diabetes mellitus. We received an upfront payment of $100.0 million in connection with the 2025 amendment, which amendment also restructured the royalty obligations on net sales of baricitinib, certain developmental and regulatory milestones associated with baricitinib, and the marketing and sales support obligations of Lilly. On baricitinib sales for any indication, we are now eligible to receive either a fixed royalty amount or tiered royalties based on a defined level of quarterly global net sales, with the tiered royalties up to a rate in the mid-teens. Additionally, for the treatment of COVID-19, we still receive a premium on royalties.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In-License Agreements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Syndax</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2021, we entered into a Collaboration and License Agreement with Syndax covering the worldwide development and commercialization of NIKTIMVO (axatilimab-csfr), Syndax’s anti-CSF-1R monoclonal antibody. Under the terms of this agreement, we received exclusive commercialization rights to axatilimab outside of the United States, and co-commercialization rights in the United States.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Other Collaborators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also entered into certain agreements with other collaboration partners for the rights to develop and commercialize other assets in our pipeline.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Incyte’s Approach to Drug Discovery and Development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productivity in drug discovery is driven by our core expertise in medicinal chemistry and biologics, which are closely integrated with, and supported by, an experienced team of chemists, biologists, biochemists, and pharmaceutical scientists across a range of scientific and therapeutic areas. Recently, the scope of these competencies has been expanded beyond small and large molecules to encompass degraders as well as bispecific and multispecific antibodies.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fulfill our mission of discovering and advancing novel therapeutics that address significant unmet medical needs, we have established comprehensive in-house discovery capabilities. These include target identification and validation, high-throughput screening, medicinal chemistry, protein sciences and technology, computational and AI-guided drug discovery, structural biology, pharmacology, translational sciences, drug metabolism and pharmacokinetics, bioanalysis, and toxicology assessment. We further enhance these capabilities through strategic collaborations with academic institutions, contract research organizations (“CROs”), and biotechnology companies with relevant expertise.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pipeline has expanded through a discovery process centered around specific targets and pathways, with current emphasis on targeted oncology, myeloid diseases, and dermatology. We conduct a limited number of discovery programs in parallel at any one time. This focus allows us to allocate resources to our selected programs at a level that we believe is competitive with larger pharmaceutical companies. We resource our discovery efforts with the goals of maximizing information content when and where we need it and ensuring that each program, regardless of stage, is executed in the most efficient and data-rich manner possible. We believe this focused strategy has substantially contributed to the strength and progress of our discovery portfolio.</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Once our compounds reach clinical development, our objective is to rapidly advance the lead candidate into a proof-of-concept clinical trial. This allows us to evaluate both its therapeutic potential and underlying mechanism of action. To this end, the discovery team operates in concert with our global technical operations and development groups, whose areas of expertise include drug manufacturing, regulatory affairs, trial design, statistics, pharmacovigilance, project management, and medical affairs.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teams collaborate to assess clinical compound development opportunities, select optimal indication(s), and create plans for regulatory advancement, clinical trial management, and patient safety. Our organization works together with CROs, expert scientific advisory boards, and leading consultants with the objective of ensuring that our clinical trials are efficient, effective, and compliant with regulations.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Incyte’s Commercial Strategy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strategy is to develop and commercialize compounds that we have internally discovered or have acquired rights to in the markets where we believe that we can successfully compete. We currently commercialize six compounds in the United States, three in Europe and one in Japan. These commercialized products are sold to specialty and retail pharmacies, specialty distributors and wholesalers in the United States in addition to retail pharmacies, hospital pharmacies, distributors and an exclusive wholesaler outside of the United States. We continue to expand our marketing, medical and operational infrastructure both within and outside the United States to support the commercial launch of recently approved products and to prepare for potential approval of other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certain compounds, we have established and may in the future establish collaborations or strategic relationships to support development and commercialization in certain territories or therapeutic areas where we do not have or do not want to build expertise. We believe the key benefits to entering into such strategic relationships include the potential to expedite the development and commercialization of certain of our compounds, as well as the opportunity to receive upfront payments and future milestones and royalties in exchange for certain rights to those compounds. Refer to the “License Agreements and Business Relationships” section above for information regarding our collaborations and strategic relationships.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Patents, Other Intellectual Property, and Product Exclusivity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regard the protection of patents and other enforceable intellectual property rights that we own or license as critical to our business and competitive position. Accordingly, we rely on patent, trademark, trade secret and copyright law, as well as nondisclosure and other contractual arrangements, to protect our intellectual property. We have established a patent portfolio of patents and patent applications owned or licensed by us that cover aspects of our drug products and drug candidates. Our policy is to pursue patent applications on inventions and discoveries that we believe are commercially important to the development and growth of our business. As a general matter, we endeavor to obtain patent term extensions (“PTEs”) in the United States and Japan, and other countries where available, and supplementary protection certificates (“SPCs”) in each European country, upon approval by the respective regulatory agency, if patent rights are granted in such country.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year in which the basic exclusivity loss is currently estimated to occur in the United States, the European Union, and Japan for each of our approved drug products and for those compounds in our portfolio that have been submitted to regulatory authorities seeking approval or are in registration-directed clinical trials. We refer to the basic exclusivity loss as the “Estimated Minimum Market Exclusivity Date,” which is, unless otherwise indicated, the later of (i) the expiration date of the earliest anticipated expiring composition of matter patent rights, or (ii) the date of regulatory data protection (“RDP”) loss for such product or clinical candidate. There may be additional patents for our approved drug products that claim the drug product or a method of using it that are listed in the FDA’s Approved Drug Products with Therapeutic Equivalence Evaluations (Orange Book)—or for our unapproved clinical candidates that will be eligible to be listed in the Orange Book upon FDA approval. Therefore, the table below also identifies the expiration dates of certain additional patents that are Orange-Book listed for our approved drug products—or that, for our unapproved clinical candidates, are eligible for Orange-Book listing upon product approval—in the United States, as well as the expiration dates of certain related patents in the European Union, and Japan, which we refer to as the “Additional Patents Expiry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33"/>
        <w:gridCol w:w="732"/>
        <w:gridCol w:w="736"/>
        <w:gridCol w:w="109"/>
        <w:gridCol w:w="109"/>
        <w:gridCol w:w="109"/>
        <w:gridCol w:w="1041"/>
        <w:gridCol w:w="1041"/>
        <w:gridCol w:w="1044"/>
        <w:gridCol w:w="109"/>
        <w:gridCol w:w="109"/>
        <w:gridCol w:w="109"/>
        <w:gridCol w:w="464"/>
        <w:gridCol w:w="464"/>
        <w:gridCol w:w="480"/>
        <w:gridCol w:w="109"/>
        <w:gridCol w:w="109"/>
        <w:gridCol w:w="109"/>
        <w:gridCol w:w="331"/>
        <w:gridCol w:w="331"/>
        <w:gridCol w:w="342"/>
        <w:gridCol w:w="109"/>
        <w:gridCol w:w="109"/>
        <w:gridCol w:w="109"/>
        <w:gridCol w:w="305"/>
        <w:gridCol w:w="305"/>
        <w:gridCol w:w="448"/>
      </w:tblGrid>
      <w:tr>
        <w:trPr/>
        <w:tc>
          <w:tcPr>
            <w:tcW w:w="83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color w:val="000000"/>
                <w:sz w:val="18"/>
              </w:rPr>
              <w:t>Product/Drug Candidate</w:t>
            </w:r>
            <w:r>
              <w:rPr>
                <w:rFonts w:ascii="Times New Roman;serif" w:hAnsi="Times New Roman;serif"/>
                <w:b/>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Japan</w:t>
            </w:r>
          </w:p>
        </w:tc>
      </w:tr>
      <w:tr>
        <w:trPr/>
        <w:tc>
          <w:tcPr>
            <w:tcW w:w="230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JAKAFI/JAKAVI</w:t>
            </w:r>
            <w:r>
              <w:rPr>
                <w:color w:val="000000"/>
              </w:rPr>
              <w:t xml:space="preserve"> </w:t>
            </w:r>
            <w:r>
              <w:rPr>
                <w:rFonts w:ascii="Times New Roman;serif" w:hAnsi="Times New Roman;serif"/>
                <w:b w:val="false"/>
                <w:color w:val="000000"/>
                <w:sz w:val="18"/>
              </w:rPr>
              <w:t>(ruxolitinib)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2028</w:t>
            </w:r>
          </w:p>
        </w:tc>
      </w:tr>
      <w:tr>
        <w:trPr/>
        <w:tc>
          <w:tcPr>
            <w:tcW w:w="23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Additional Patents Expiry Dates</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r>
      <w:tr>
        <w:trPr/>
        <w:tc>
          <w:tcPr>
            <w:tcW w:w="230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OPZELURA</w:t>
            </w:r>
            <w:r>
              <w:rPr>
                <w:color w:val="000000"/>
              </w:rPr>
              <w:t xml:space="preserve"> </w:t>
            </w:r>
            <w:r>
              <w:rPr>
                <w:rFonts w:ascii="Times New Roman;serif" w:hAnsi="Times New Roman;serif"/>
                <w:b w:val="false"/>
                <w:color w:val="000000"/>
                <w:sz w:val="18"/>
              </w:rPr>
              <w:t>(ruxolitinib) cream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r>
      <w:tr>
        <w:trPr/>
        <w:tc>
          <w:tcPr>
            <w:tcW w:w="230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Additional Patents Expiry Dates</w:t>
            </w:r>
            <w:r>
              <w:rPr>
                <w:rFonts w:ascii="Times New Roman;serif" w:hAnsi="Times New Roman;serif"/>
                <w:b w:val="false"/>
                <w:color w:val="000000"/>
                <w:sz w:val="12"/>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2028, 2031 &amp; 2040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2028 &amp;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2028 &amp; 2031</w:t>
            </w:r>
          </w:p>
        </w:tc>
      </w:tr>
      <w:tr>
        <w:trPr/>
        <w:tc>
          <w:tcPr>
            <w:tcW w:w="230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OLUMIANT (baricitinib)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2032</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2034</w:t>
            </w:r>
          </w:p>
        </w:tc>
      </w:tr>
      <w:tr>
        <w:trPr/>
        <w:tc>
          <w:tcPr>
            <w:tcW w:w="23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Patents Expiry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TABRECTA (capmatinib)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2032</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2032</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2032</w:t>
            </w:r>
          </w:p>
        </w:tc>
      </w:tr>
      <w:tr>
        <w:trPr/>
        <w:tc>
          <w:tcPr>
            <w:tcW w:w="230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Patents Expiry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2035</w:t>
            </w:r>
          </w:p>
        </w:tc>
      </w:tr>
      <w:tr>
        <w:trPr/>
        <w:tc>
          <w:tcPr>
            <w:tcW w:w="230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PEMAZYRE</w:t>
            </w:r>
            <w:r>
              <w:rPr>
                <w:color w:val="000000"/>
              </w:rPr>
              <w:t xml:space="preserve"> </w:t>
            </w:r>
            <w:r>
              <w:rPr>
                <w:rFonts w:ascii="Times New Roman;serif" w:hAnsi="Times New Roman;serif"/>
                <w:b w:val="false"/>
                <w:color w:val="000000"/>
                <w:sz w:val="18"/>
              </w:rPr>
              <w:t>(pemigatinib)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2036</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2036</w:t>
            </w:r>
          </w:p>
        </w:tc>
      </w:tr>
      <w:tr>
        <w:trPr/>
        <w:tc>
          <w:tcPr>
            <w:tcW w:w="23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Patents Expiry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2039 &amp;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ICLUSIG (ponatinib)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Patents Expiry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ZYNYZ</w:t>
            </w:r>
            <w:r>
              <w:rPr>
                <w:color w:val="000000"/>
              </w:rPr>
              <w:t xml:space="preserve"> </w:t>
            </w:r>
            <w:r>
              <w:rPr>
                <w:rFonts w:ascii="Times New Roman;serif" w:hAnsi="Times New Roman;serif"/>
                <w:b w:val="false"/>
                <w:color w:val="000000"/>
                <w:sz w:val="18"/>
              </w:rPr>
              <w:t>(retifanlimab)</w:t>
            </w: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2036</w:t>
            </w:r>
          </w:p>
        </w:tc>
      </w:tr>
      <w:tr>
        <w:trPr/>
        <w:tc>
          <w:tcPr>
            <w:tcW w:w="2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MONJUVI (tafasitamab)</w:t>
            </w:r>
            <w:r>
              <w:rPr>
                <w:rFonts w:ascii="Times New Roman;serif" w:hAnsi="Times New Roman;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2033</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2032</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r>
      <w:tr>
        <w:trPr/>
        <w:tc>
          <w:tcPr>
            <w:tcW w:w="2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NIKTIMVO (axatilimab)</w:t>
            </w:r>
            <w:r>
              <w:rPr>
                <w:rFonts w:ascii="Times New Roman;serif" w:hAnsi="Times New Roman;serif"/>
                <w:b w:val="false"/>
                <w:color w:val="000000"/>
                <w:sz w:val="1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2036</w:t>
            </w: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2034</w:t>
            </w:r>
          </w:p>
        </w:tc>
      </w:tr>
      <w:tr>
        <w:trPr/>
        <w:tc>
          <w:tcPr>
            <w:tcW w:w="230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ruxolitinib XR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18"/>
              </w:rPr>
              <w:t>Additional Patents Expiry Dates</w:t>
            </w:r>
            <w:r>
              <w:rPr>
                <w:rFonts w:ascii="Times New Roman;serif" w:hAnsi="Times New Roman;serif"/>
                <w:b w:val="false"/>
                <w:color w:val="000000"/>
                <w:sz w:val="12"/>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2028, 2033 &amp;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1" w:type="dxa"/>
            <w:gridSpan w:val="3"/>
            <w:vMerge w:val="restart"/>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povorcitinib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Minimum Market Exclusivity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2034</w:t>
            </w:r>
          </w:p>
        </w:tc>
      </w:tr>
      <w:tr>
        <w:trPr/>
        <w:tc>
          <w:tcPr>
            <w:tcW w:w="2301" w:type="dxa"/>
            <w:gridSpan w:val="3"/>
            <w:vMerge w:val="continue"/>
            <w:tcBorders>
              <w:top w:val="single" w:sz="8" w:space="0" w:color="000000"/>
              <w:bottom w:val="single" w:sz="8" w:space="0" w:color="000000"/>
            </w:tcBorders>
            <w:shd w:fill="CCEEFF" w:val="clear"/>
            <w:tcMar>
              <w:top w:w="30" w:type="dxa"/>
              <w:left w:w="0" w:type="dxa"/>
              <w:bottom w:w="3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 Patents Expiry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2039</w:t>
            </w:r>
          </w:p>
        </w:tc>
      </w:tr>
    </w:tbl>
    <w:p>
      <w:pPr>
        <w:pStyle w:val="TextBody"/>
        <w:bidi w:val="0"/>
        <w:spacing w:lineRule="auto" w:line="288" w:before="120" w:after="283"/>
        <w:ind w:left="0" w:right="0" w:hanging="180"/>
        <w:jc w:val="both"/>
        <w:rPr/>
      </w:pPr>
      <w:r>
        <w:rPr>
          <w:rFonts w:ascii="sans-serif" w:hAnsi="sans-serif"/>
          <w:b w:val="false"/>
          <w:color w:val="000000"/>
          <w:sz w:val="14"/>
        </w:rPr>
        <w:t>1.</w:t>
      </w:r>
      <w:r>
        <w:rPr>
          <w:rFonts w:ascii="Times New Roman;serif" w:hAnsi="Times New Roman;serif"/>
          <w:b w:val="false"/>
          <w:color w:val="000000"/>
          <w:sz w:val="20"/>
        </w:rPr>
        <w:t>Estimated Minimum Market Exclusivity Dates are subject to the payment of maintenance fees, and include the period of PTE that has been granted by the respective regulatory agency, where applicable, or include the period of anticipated SPC term for approved products in the EU, where applicable, even though SPCs may remain pending in some countries, and also may include the period of granted or anticipated pediatric extensions even through applications for pediatric extension may remain pending in some countries.</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rFonts w:ascii="Times New Roman;serif" w:hAnsi="Times New Roman;serif"/>
          <w:b w:val="false"/>
          <w:color w:val="000000"/>
          <w:sz w:val="20"/>
        </w:rPr>
        <w:t>For approved drug products in the US, the brand name for the US product is used, whereas for candidates that have not been approved in the US, the name of the active ingredient is used. The use of a brand name in the table does not indicate that the product has also been approved in any country outside of the US. Also, some products may be approved in one or more countries outside of the US under different brand names.</w:t>
      </w:r>
    </w:p>
    <w:p>
      <w:pPr>
        <w:pStyle w:val="TextBody"/>
        <w:bidi w:val="0"/>
        <w:spacing w:lineRule="auto" w:line="288" w:before="0" w:after="0"/>
        <w:ind w:left="0" w:right="0" w:hanging="180"/>
        <w:jc w:val="both"/>
        <w:rPr/>
      </w:pPr>
      <w:r>
        <w:rPr>
          <w:rFonts w:ascii="Times New Roman;serif" w:hAnsi="Times New Roman;serif"/>
          <w:b w:val="false"/>
          <w:color w:val="000000"/>
          <w:sz w:val="13"/>
        </w:rPr>
        <w:t>3.</w:t>
      </w:r>
      <w:r>
        <w:rPr>
          <w:rFonts w:ascii="Times New Roman;serif" w:hAnsi="Times New Roman;serif"/>
          <w:b w:val="false"/>
          <w:color w:val="000000"/>
          <w:sz w:val="20"/>
        </w:rPr>
        <w:t>Ruxolitinib phosphate salt patents are issued in the US, the EU, and Japan with anticipated expiration dates of late-2028 in the US and mid-2028 in the EU and Japan.</w:t>
      </w:r>
    </w:p>
    <w:p>
      <w:pPr>
        <w:pStyle w:val="TextBody"/>
        <w:bidi w:val="0"/>
        <w:spacing w:lineRule="auto" w:line="288" w:before="0" w:after="0"/>
        <w:ind w:left="0" w:right="0" w:hanging="180"/>
        <w:jc w:val="both"/>
        <w:rPr/>
      </w:pPr>
      <w:r>
        <w:rPr>
          <w:rFonts w:ascii="sans-serif" w:hAnsi="sans-serif"/>
          <w:b w:val="false"/>
          <w:color w:val="000000"/>
          <w:sz w:val="14"/>
        </w:rPr>
        <w:t>4.</w:t>
      </w:r>
      <w:r>
        <w:rPr>
          <w:rFonts w:ascii="Times New Roman;serif" w:hAnsi="Times New Roman;serif"/>
          <w:b w:val="false"/>
          <w:color w:val="000000"/>
          <w:sz w:val="20"/>
        </w:rPr>
        <w:t>Ruxolitinib cream formulation patents are issued in the US, the EU, and Japan with anticipated expiration dates of 2031 in each jurisdiction. Patents are also issued in the US for the treatments of atopic dermatitis and vitiligo with expiration dates of 2040.</w:t>
      </w:r>
    </w:p>
    <w:p>
      <w:pPr>
        <w:pStyle w:val="TextBody"/>
        <w:bidi w:val="0"/>
        <w:spacing w:lineRule="auto" w:line="288" w:before="0" w:after="0"/>
        <w:ind w:left="0" w:right="0" w:hanging="180"/>
        <w:jc w:val="both"/>
        <w:rPr/>
      </w:pPr>
      <w:r>
        <w:rPr>
          <w:rFonts w:ascii="Times New Roman;serif" w:hAnsi="Times New Roman;serif"/>
          <w:b w:val="false"/>
          <w:color w:val="000000"/>
          <w:sz w:val="13"/>
        </w:rPr>
        <w:t>5.</w:t>
      </w:r>
      <w:r>
        <w:rPr>
          <w:rFonts w:ascii="Times New Roman;serif" w:hAnsi="Times New Roman;serif"/>
          <w:b w:val="false"/>
          <w:color w:val="000000"/>
          <w:sz w:val="20"/>
        </w:rPr>
        <w:t>Date reflects the grant of PTE in the US.</w:t>
      </w:r>
    </w:p>
    <w:p>
      <w:pPr>
        <w:pStyle w:val="TextBody"/>
        <w:bidi w:val="0"/>
        <w:spacing w:lineRule="auto" w:line="288" w:before="0" w:after="0"/>
        <w:ind w:left="0" w:right="0" w:hanging="180"/>
        <w:jc w:val="both"/>
        <w:rPr/>
      </w:pPr>
      <w:r>
        <w:rPr>
          <w:rFonts w:ascii="Times New Roman;serif" w:hAnsi="Times New Roman;serif"/>
          <w:b w:val="false"/>
          <w:color w:val="000000"/>
          <w:sz w:val="13"/>
        </w:rPr>
        <w:t>6.</w:t>
      </w:r>
      <w:r>
        <w:rPr>
          <w:rFonts w:ascii="Times New Roman;serif" w:hAnsi="Times New Roman;serif"/>
          <w:b w:val="false"/>
          <w:color w:val="000000"/>
          <w:sz w:val="20"/>
        </w:rPr>
        <w:t>Date reflects the grant of SPC in the EU, although SPCs may remain pending in some countries.</w:t>
      </w:r>
    </w:p>
    <w:p>
      <w:pPr>
        <w:pStyle w:val="TextBody"/>
        <w:bidi w:val="0"/>
        <w:spacing w:lineRule="auto" w:line="288" w:before="0" w:after="0"/>
        <w:ind w:left="0" w:right="0" w:hanging="180"/>
        <w:jc w:val="both"/>
        <w:rPr/>
      </w:pPr>
      <w:r>
        <w:rPr>
          <w:rFonts w:ascii="Times New Roman;serif" w:hAnsi="Times New Roman;serif"/>
          <w:b w:val="false"/>
          <w:color w:val="000000"/>
          <w:sz w:val="13"/>
        </w:rPr>
        <w:t>7.</w:t>
      </w:r>
      <w:r>
        <w:rPr>
          <w:rFonts w:ascii="Times New Roman;serif" w:hAnsi="Times New Roman;serif"/>
          <w:b w:val="false"/>
          <w:color w:val="000000"/>
          <w:sz w:val="20"/>
        </w:rPr>
        <w:t>Date reflects the RDP in the US due to product approval.</w:t>
      </w:r>
    </w:p>
    <w:p>
      <w:pPr>
        <w:pStyle w:val="TextBody"/>
        <w:bidi w:val="0"/>
        <w:spacing w:lineRule="auto" w:line="288" w:before="0" w:after="0"/>
        <w:ind w:left="0" w:right="0" w:hanging="180"/>
        <w:jc w:val="both"/>
        <w:rPr/>
      </w:pPr>
      <w:r>
        <w:rPr>
          <w:rFonts w:ascii="Times New Roman;serif" w:hAnsi="Times New Roman;serif"/>
          <w:b w:val="false"/>
          <w:color w:val="000000"/>
          <w:sz w:val="13"/>
        </w:rPr>
        <w:t>8.</w:t>
      </w:r>
      <w:r>
        <w:rPr>
          <w:rFonts w:ascii="Times New Roman;serif" w:hAnsi="Times New Roman;serif"/>
          <w:b w:val="false"/>
          <w:color w:val="000000"/>
          <w:sz w:val="20"/>
        </w:rPr>
        <w:t>Retifanlimab licensed from MacroGenics, Inc.</w:t>
      </w:r>
    </w:p>
    <w:p>
      <w:pPr>
        <w:pStyle w:val="TextBody"/>
        <w:bidi w:val="0"/>
        <w:spacing w:lineRule="auto" w:line="288" w:before="0" w:after="0"/>
        <w:ind w:left="0" w:right="0" w:hanging="180"/>
        <w:jc w:val="both"/>
        <w:rPr/>
      </w:pPr>
      <w:r>
        <w:rPr>
          <w:rFonts w:ascii="Times New Roman;serif" w:hAnsi="Times New Roman;serif"/>
          <w:b w:val="false"/>
          <w:color w:val="000000"/>
          <w:sz w:val="13"/>
        </w:rPr>
        <w:t>9.</w:t>
      </w:r>
      <w:r>
        <w:rPr>
          <w:rFonts w:ascii="Times New Roman;serif" w:hAnsi="Times New Roman;serif"/>
          <w:b w:val="false"/>
          <w:color w:val="000000"/>
          <w:sz w:val="20"/>
        </w:rPr>
        <w:t>Tafasitamab licensed from Xencor, Inc.</w:t>
      </w:r>
    </w:p>
    <w:p>
      <w:pPr>
        <w:pStyle w:val="TextBody"/>
        <w:bidi w:val="0"/>
        <w:spacing w:lineRule="auto" w:line="288" w:before="0" w:after="0"/>
        <w:ind w:left="0" w:right="0" w:hanging="180"/>
        <w:jc w:val="both"/>
        <w:rPr/>
      </w:pPr>
      <w:r>
        <w:rPr>
          <w:rFonts w:ascii="Times New Roman;serif" w:hAnsi="Times New Roman;serif"/>
          <w:b w:val="false"/>
          <w:color w:val="000000"/>
          <w:sz w:val="13"/>
        </w:rPr>
        <w:t>10.</w:t>
      </w:r>
      <w:r>
        <w:rPr>
          <w:rFonts w:ascii="Times New Roman;serif" w:hAnsi="Times New Roman;serif"/>
          <w:b w:val="false"/>
          <w:color w:val="000000"/>
          <w:sz w:val="20"/>
        </w:rPr>
        <w:t>Axatilimab licensed from Syndax Therapeutics, Inc.</w:t>
      </w:r>
    </w:p>
    <w:p>
      <w:pPr>
        <w:pStyle w:val="TextBody"/>
        <w:bidi w:val="0"/>
        <w:spacing w:lineRule="auto" w:line="288" w:before="0" w:after="0"/>
        <w:ind w:left="0" w:right="0" w:hanging="180"/>
        <w:jc w:val="both"/>
        <w:rPr/>
      </w:pPr>
      <w:r>
        <w:rPr>
          <w:rFonts w:ascii="Times New Roman;serif" w:hAnsi="Times New Roman;serif"/>
          <w:b w:val="false"/>
          <w:color w:val="000000"/>
          <w:sz w:val="13"/>
        </w:rPr>
        <w:t>11.</w:t>
      </w:r>
      <w:r>
        <w:rPr>
          <w:rFonts w:ascii="Times New Roman;serif" w:hAnsi="Times New Roman;serif"/>
          <w:b w:val="false"/>
          <w:color w:val="000000"/>
          <w:sz w:val="20"/>
        </w:rPr>
        <w:t>QD ruxolitinib formulation patents are issued in the US with anticipated expiration dates of 2033 and 2034.</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Patents extend for varying periods according to the date of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seek to license rights relating to technologies, drug candidates or drug products in connection with our drug discovery and development programs and commercialization activities. Under these licenses, such as our licenses from ARIAD/Takeda, Enable Injections, MacroGenics, Merus, Xencor and Syndax, we may be required to pay up-front fees, license fees, milestone payments and royalties on sales of future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believe our rights under patents and patent applications provide a competitive advantage, the patent positions of pharmaceutical and biotechnology companies are highly uncertain and involve complex legal and factual questions. We may not be able to develop patentable products or processes and may not be able to obtain patents in the United States or elsewhere from pending applications. Even if patent claims are allowed, the claims may not issue, or in the event of issuance, may not be valid or enforceable or may not be sufficient to protect the technology owned by or licensed to us or provide us with a competitive advantage. Any patent or other intellectual property rights that we own or obtain may be circumvented, challenged or invalidated by our competitors. Others may have patents that relate to our business or technology, and that may prevent us from marketing our drug candidates unless we are able to obtain a license to those patents. In addition, litigation or other proceedings may be necessary to defend against claims of infringement, to enforce patents, to protect our other intellectual property rights, to determine the scope and validity of the proprietary rights of third parties, or to defend ourselves in patent or other intellectual property right suits brought by third parties. We could incur substantial costs in such litigation or other proceedings. An adverse outcome in any such litigation or proceeding could subject us to significant liability or increased competition. A discussion of certain risks and uncertainties that may affect our patents, regulatory exclusivities or other proprietary rights is set forth in Item 1A. “Risk Factors — Risks Relating to Intellectual Property and Legal Matters,” and the discussion of legal proceedings related to certain patents is set forth in Item 1A. “Risk Factors — Risks Relating to Commercialization of Our Products — Competition for our products could harm our business and result in a decrease in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proprietary information that is not patentable, and for inventions for which patents are difficult to enforce, we rely on trade secret protection and confidentiality agreements to protect our interests. While, as a general matter, we seek to protect our interests by entering into confidentiality agreements with our employees, consultants and potential business partners, we may not be able to adequately protect our trade secrets or other proprietary information. Others may independently develop substantially equivalent proprietary information and techniques or otherwise gain access to our trade secrets.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drug discovery, development and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our drug products and our drug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companies and institutions, either alone or together with their collaborative partners, have substantially greater financial resources, larger drug discovery, development and commercial staffs and significantly greater experience than we do in: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drug discovery;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developing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undertaking preclinical testing and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obtaining FDA and other regulatory approvals of products;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manufacturing, marketing, distributing and selling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Accordingly, our competitors may succeed in obtaining patent protection, receiving FDA and other regulatory approval or commercializing products that compete with our drug products or our drug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any drug candidate that we successfully develop may compete with existing therapies that have long histories of safe and effective use. Competition may also arise from:</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drug development technologies and methods of preventing or reducing the incidence of disease;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new compounds; 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classes of therapeutic agents.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or commercially successful than ours.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compete successfully will depend, in part, on our ability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develop proprietary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develop and maintain products that reach the market first, are technologically superior to and/or are of lower cost than other products in the market;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execute our strategic plan and commercialize new assets;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attract and retain scientific, product development and sales and marketing personnel;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patent or other proprietary protection for our products and technologies;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required regulatory approvals;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manufacture, market, distribute and sell any products that we develop.</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ongoing research and development activities and any manufacturing and marketing of our approved drug products and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 </w:t>
      </w:r>
    </w:p>
    <w:p>
      <w:pPr>
        <w:pStyle w:val="TextBody"/>
        <w:bidi w:val="0"/>
        <w:spacing w:lineRule="auto" w:line="288" w:before="24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FDA Review and Approval Process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regulatory review and approval process is lengthy, expensive and uncertain. The steps generally required before a drug may be marketed in the United States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preclinical laboratory tests, animal studies and formulation studies in compliance with the FDA’s Good Laboratory Practice and Good Manufacturing Practice regulations;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submission to the FDA of an Investigational New Drug application (“IND”) for human clinical testing, which must become effective before human clinical trials may commence;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performance of adequate and well-controlled clinical trials in three phases, as described below, to establish the safety and efficacy of the drug for each indication;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submission of an NDA or Biologics License Application (“BLA”) to the FDA for review;</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random inspections of clinical sites to ensure validity of clinical safety and efficacy data;</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satisfactory completion of an FDA inspection of the manufacturing facility or facilities at which the drug is produced to assess compliance with current good manufacturing practices;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FDA approval of the NDA or BLA;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payment of user and program fees, if applicable.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Clinical trials involve the administration of the investigational drug to human subjects under the supervision of qualified investigators and in accordance with Good Clinical Practice (“GCP”)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Clinical trials typically are conducted in three sequential phases, but the phases may overlap or be combined. Phase 1 usually involves the initial introduction of the investigational drug into healthy volunteers to evaluate its safety, dosage tolerance, absorption, metabolism, distribution and excretion. Phase 2 usually involves clinical trials in a limited patient population to evaluate dosage tolerance and optimal dosage, identify possible adverse effects and safety risks, and evaluate and gain preliminary evidence of the efficacy of the drug for specific indications. Phase 3 clinical trials usually further evaluate clinical efficacy and safety by testing the drug in its final form in an expanded patient population, providing statistical evidence of efficacy and safety, and providing an adequate basis for labeling. We cannot guarantee that Phase 1, Phase 2 or Phase 3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in limited circumstances, such as when a substantial scientific issue essential to determining the safety and effectiveness of a drug candidate is identified after a Phase 3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after initial FDA approval has been obtained, post-approval trials, or Phase 4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slow patient enrollment due to the nature of the protocol, the proximity of patients to clinical sites, the eligibility criteria for the study, competition with clinical trials for other drug candidates or other factors;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inadequately trained or insufficient personnel at the study site to assist in overseeing and monitoring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delays in approvals from a study site’s IRB;</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longer than anticipated treatment time required to demonstrate effectiveness or determine the appropriate product dose;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lack of sufficient supplies of the drug candidate for use in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adverse medical events or side effects in treated patients;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lack of effectiveness of the drug candidate being tested.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FDA’s fast track, breakthrough therapy, accelerated approval, priority review designation and priority voucher programs are intended to facilitate the development and/or expedite the review and approval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 The FDA, however, can mandate, and has mandated, post-approval requirements that could include lengthy and extensive confirmatory clinical trials. The FDA has recently increased its focus on accelerated approvals for oncology drugs and the confirmatory trials required for those drugs.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guarantee that the FDA will grant any of our requests for any of these expedited program designations, that any such designations would affect the time of review or that the FDA will approve the NDA or BLA submitted for any of our drug candidates, whether or not these designations are granted. Additionally, FDA approval of a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within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submission of a major amendment by the sponsor, the FDA’s decision to have an advisory committee review, and difficulties in scheduling an advisory committee meeting. The recommendations of an advisory committee are not binding on the FDA.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Orphan Drug Act provides incentives to manufacturers to develop and market drugs for rare diseases and conditions affecting fewer than 200,000 persons in the United States at the time of application for orphan drug designation or conditions affecting 200,000 or more people in the United States where the disease or condition occurs so infrequently that there is no reasonable expectation that the costs of drug development and marketing will be recovered in future sales of the drug in the United States.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pStyle w:val="TextBody"/>
        <w:bidi w:val="0"/>
        <w:spacing w:lineRule="auto" w:line="288" w:before="24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Regulation of Manufacturing Process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recalls or withdrawal of the product from the market. Manufacturing facilities are always subject to inspection by the applicable regulatory authorities.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our third-party manufacturers are subject to current Good Manufacturing Practices (“cGMP’s”) which are extensive regulations governing manufacturing processes and controls, including but not limited to release and stability testing, record keeping and quality standards as defined by the FDA in 21 CFR, parts 210 and 211, the International Council for Harmonisation of Technical Requirements for Pharmaceuticals for Human Use and the EMA. Similar regulations are in effect in other countries. Manufacturing facilities are subject to inspection by the applicable regulatory authorities and are subject to manufacturing licenses where applicable. These facilities, whether our own or our contract manufacturers, may be inspected before we can use them in commercial manufacturing of our related products. We or our contract manufacturers must be able to comply with all applicable cGMP’s and FDA or other regulatory requirements. If we or our contract manufacturers fail to comply, we or our contract manufacturers may be subject to legal or regulatory action, such as suspension of manufacturing license(s), seizure of product, or voluntary recall of product. Furthermore, continued compliance with applicable cGMP’s will require continual expenditure of time, money and effort on the part of the Company or our contract manufacturers in the areas of production and quality control and record keeping and reporting, in order to ensure full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Post-Approval Regulation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products manufactured or distributed by the Company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do not promote our products for unapproved uses. We must also submit appropriate new and supplemental applications and obtain FDA approval for certain changes to the approved product, product labeling or manufacturing process or controls.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(“PDMA”), which, among other things, imposes various requirements in connection with the distribution of product samples to physicians.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inspections related to manufacturing, we are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those related to compliance with the requirements of the PDMA concerning the handling of drug samples. When the FDA conducts an inspection, the inspectors may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a variety of state laws and regulations that apply in the states or localities where our approved products and drug candidates are or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FDA’s policies may change and additional government regulations may be enacted that could impose additional burdens or limitations on our ability to market products after approval. Moreover, increased attention to the containment of healthcare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pStyle w:val="TextBody"/>
        <w:bidi w:val="0"/>
        <w:spacing w:lineRule="auto" w:line="288" w:before="24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Marketing Exclusivity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Foreign Regulation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Outside the United States, our ability to market a product is contingent upon receiving a marketing authorization from the appropriate regulatory authorities in specific regions or countries. The requirements governing the conduct of clinical trials, marketing authorization, pricing and reimbursement vary widely from country to country. At present, foreign marketing authorizations are applied for at a national level, although within the European Union (“EU”) regional registration procedures are available to companies wishing to market a product in more than one EU member state. If the competent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(“CTA”) much like an IND prior to the commencement of human clinical trials. In the EU, a CTA must be submitted for each trial to the competent health authority and to independent ethics committees by national procedure for a single country trial or by EMA submission portal CTIS for a multinational study. Once the CTA is approved in accordance with the requirements in the concerned countries, clinical trial development may proceed in those countries and are conducted in accordance with GCP and other applicable regulatory requirements.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obtain regulatory approval of an investigational drug under EU regulatory systems, we must submit a marketing authorization application (“MAA”). This application is similar to the NDA or BLA in the United States, with the exception of, among other things, regional and/or country-specific document requirements. Drugs can be authorized in the EU by using the centralized, mutual recognition, decentralized or national authorization procedures described below.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EMA implemented the centralized procedure for the approval of human drugs to facilitate marketing authorizations that are valid throughout the EU. This procedure results in a single marketing authorization granted by the European Commission that is valid across the EU. Under the centralized procedure, the maximum timeframe for the evaluation of a marketing authorization application by the EMA is 210 days (excluding clock stops, when additional written or oral information is to be provided by the applicant in response to questions asked by the CHMP). A positive opinion on the MAA by the CHMP then needs to be endorsed by the European Commission within approximately 67 days. Accelerated assessment might be granted by the CHMP in exceptional cases, in which case the EMA ensures that the evaluation for the opinion of the CHMP is completed within 150 days (excluding clock stops) and the opinion issued thereafter.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mutual recognition procedure (“MRP”) for the approval of human drugs is an alternative approach to facilitate individual national marketing authorizations within the EU. The MRP may be applied for all human drugs for which the centralized procedure is not obligatory. The MRP is based on the principle of the mutual recognition by EU member states of their respective national marketing authorizations. Based on a marketing authorization in the reference member state, the applicant may apply for marketing authorizations in other member states. In such case, the reference member state shall update its existing assessment report about the drug. After the assessment is completed, copies of the report are sent to all member states, together with the approved summary of product characteristics, labeling and package leaflet. The concerned member states then recognize the decision of the reference member state and the summary of product characteristics, labeling and package leaflet. National marketing authorizations shall be granted within 30 days after acknowledgement of the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Should any member state refuse to recognize the marketing authorization by the reference member state, the member states shall make all efforts to reach a consensus. If this fails, the procedure is submitted to an EMA scientific committee for arbitration. The opinion of this EMA committee is then forwarded to the European Commission, for the start of the decision making process. As in the centralized procedure, this process entails consulting various European Commission Directorates General and the Standing Committee on Human Medicinal Products or Veterinary Medicinal Products, as appropriate.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Legislation similar to the Orphan Drug Act has been enacted in other jurisdictions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other countries outside of the EU, such as the United Kingdom, Switzerland, the non-EU countries in Eastern Europe, the Middle-East, Latin America, Japan or other countries in Asia, the requirements governing the conduct of clinical trials, product licensing, pricing and reimbursement vary. In all cases, the clinical trials are conducted in accordance with GCP and the other applicable regulatory requirements.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our small molecule products, our manufacturing strategy is to contract with third parties to manufacture the raw materials, our active pharmaceutical ingredients (“API”) and finished dosage form for clinical and commercial uses. We currently do not operate manufacturing facilities for clinical or commercial production of JAKAFI, ICLUSIG, PEMAZYRE and OPZELURA. As such, we expect to continue to rely on third parties for the manufacture of commercial supplies of the raw materials, API and finished drug product for drugs that we successfully develop and are approved for commercial sale. In this manner, we continue to build and maintain our supply chain and quality assurance resources.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large molecule products, our manufacturing strategy is a combination of contracts with third parties and internal manufacturing for clinical and commercial uses. Currently, our approved large molecule products are MONJUVI/MINJUVI, ZYNYZ and NIKTIMVO. In July 2018, we purchased land located in Yverdon, Switzerland for construction of a large molecule production facility to manufacture biologic drug substances for our drug candidates. Construction activity commenced in July 2018, and in June 2022 Swissmedic authorities granted the GMP drug manufacturing license for this facility. The Yverdon facility started to manufacture MONJUVI/MINJUVI drug substance during the fourth quarter of 2022. The drug substance is usable in patients after regulatory approval, which was granted in the fourth quarter of 2023 for the European market and the third quarter of 2025 for the United States.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Manufacturing of our Products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our small molecule products, we contract with third parties to manufacture JAKAFI, ICLUSIG, PEMAZYRE, OPZELURA and our drug candidates for clinical and commercial purposes. Third-party manufacturers supply raw materials, and other third-party manufacturers convert these raw materials into API or convert the API into final dosage form. For most of our drug candidates, once our raw materials are produced, we rely on one third-party to manufacture the API, another to make finished drug product and a third to package and label the finished product. We generally have a single source or a limited number of suppliers that are qualified to supply each of the API and finished product of our drug products and our other drug candidates. For ruxolitinib phosphate, the API for JAKAFI and OPZELURA, we have three qualified third-party contract manufacturers from which we can source drug substance.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also rely on third-party contract manufacturers to tablet or capsulate all of our active pharmaceutical ingredients for clinical and commercial uses. For JAKAFI and ICLUSIG, we have two qualified third-party manufacturers from which we can source commercial drug product. Secondary packaging of ICLUSIG is performed by a qualified third-party manufacturer. Primary packaged product for ICLUSIG can be used for clinical and commercial purposes. For PEMAZYRE, we have one qualified third-party manufacturer from which we can source commercial drug product. For OPZELURA, we have two qualified third-party manufacturers from which we can source commercial drug product for the United States market, and one qualified third-party manufacturer from which we can source commercial drug product for markets outside of the United States.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large molecule products, tafasitamab, the API for MONJUVI/MINJUVI has three qualified manufacturers. For the other biological products retifanlimab and axatilimab, the API for ZYNYZ and NIKTIMVO respectively, we have one qualified third-party contract manufacturer per API from which we can source drug substance. For the commercial drug product manufacturing, MONJUVI/MINJUVI has two active qualified third-party manufacturers, and ZYNYZ and NIKTIMVO both have 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obtain sufficient quantities of any of our raw materials, drug candidates, API, or finished goods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or interruption of commercial supply which could have a material adverse effect on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established a quality assurance program intended to ensure that our third-party manufacturers and service providers produce materials and provide services, as applicable, in accordance with the FDA and EMA’s current Good Manufacturing Practices and other applicable regulations. Our quality assurance program extends to our licensed facilities that oversee the manufacturing and distribution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meet customer demand for commercial products will be adversely affected. </w:t>
      </w:r>
    </w:p>
    <w:p>
      <w:pPr>
        <w:pStyle w:val="TextBody"/>
        <w:bidi w:val="0"/>
        <w:spacing w:lineRule="auto" w:line="288" w:before="24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Third-party Manufacturers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products manufactured by our third-party manufacturers, we have licensed the necessary aspects of this manufacturing technology that we believe is proprietary to us to enable them to manufacture the products for us. We have agreements with these third-party manufacturers that are intended to restrict these manufacturers from using or revealing our technology, but we cannot be certain that these third-party manufacturers will comply with these restrictions.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believe there are multiple third parties capable of providing most of the materials and services we need in order to manufacture API and distribute finished goods, and that supply of materials that cannot be second sourced can be managed with inventory planning, there is always a risk that we may underestimate demand, and that our manufacturing capacity through third-party manufacturers may not be sufficient. In addition, because of the significant lead times involved in our supply chain, we may have less flexibility to adjust our supply in response to changes in demand than if we had shorter lead times. Our strategy is to maintain sufficient levels of safety stock of API and semi-finished goods to be able to respond to changes in demand to provide on-time supply of drug product.</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Access to Supplies and Materials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third-party manufacturers need access to certain supplies and products to manufacture our products and drug candidates. If delivery of material from their suppliers were interrupted for any reason or if they are unable to purchase sufficient quantities of raw materials used to manufacture our products and drug candidates, they may be unable to ship our products for commercial supply or to supply our drug candidates in development for clinical trials. For example, currently raw materials used to manufacture ruxolitinib phosphate, the API in JAKAFI and OPZELURA, are supplied by Chinese-based companies. As a result, an international trade dispute between China and the United States or any other actions by the Chinese government that would limit or prevent Chinese companies from supplying these materials would adversely affect our ability to manufacture and supply our products to meet market needs and have a material and adverse effect on our operating results. We have qualified one of our European suppliers and currently expect to use raw materials from this supplier in production later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human capital management philosophy is committed to promoting an environment where our colleagues feel valued, engaged, and energized to help us achieve our company strategy. Our ability to deliver scientific excellence and outcomes for patients is driven by our collaborative culture, which influences how we work across every part of our business. Further, it is our goal to conduct business in a manner that does not compromise the health or safety of our people or the state of the environment and to comply with all applicable environmental, health and safety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appreciate one another’s differences and strengths and are proud to be an Equal Opportunity Employer. We value diversity of backgrounds and perspectives, and our policy is that we do not discriminate based any protected characteristic as established by federal, state or local laws, and we prohibit harassment of all kinds. We strive to create an environment that encourages employees to freely ask questions, raise concerns, and share their voice through employee engagement surveys, our compliance hotline, and with their HR Partner and leaders. Our management team makes themselves available to all employees through a number of formats, including quarterly global Town Hall events, Ask Me Anything sessions and Onboarding events, which all allow for an open question-and-answer dialogue.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creative solutions are best achieved through collaboration, and inclusion is therefore essential to Incyte. Diversity of thoughts, backgrounds, perceptions, and ideas help us create the medical solutions that patients require and represent the lifeblood of organizations such as ours. We have an Inclusion Committee, which is co-chaired by our Chief Executive Officer and Chief Human Resources Officer, to bring forth actionable plans across multiple focus areas. In addition, we are active in the communities in which we operate, offering 8 hours of volunteer time to our employees globally, a matching donation of up to $2,000 USD per year, and an annual recognition of Giving Tuesday with onsite volunteering for local non-profits around the world. This approach is intended to ensure that our employees are responding to those most in need in their communities, furthering our diversity efforts beyond our own doors.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offer what we believe is a competitive compensation and benefits package, which allows 100% of global Incyte employees to participate in our annual incentive compensation plan, annual equity-based grants, health benefits and tuition reimbursement. We seek to ensure our compensation package remains competitive by conducting benchmark reviews annually. We support our colleagues in their professional development, offering opportunities for growth through challenging job assignments, development plans, and training opportunities.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2,844 employees, representing an increase of approximately 9% over our 2,617 employees as of the end of the prior year. This growth is largely a result of continued expansion of our global commercial reach for our business operations. Among our employees, 940 are in research and development, 213 in medical affairs, 975 in sales and marketing and 716 in operations support and administrative positions. Geographically, 70% of our employees were based in the United States and Canada, 27% in Europe and 3% in Asia. In terms of gender diversity, 1,456 are female and 1,364 are male. Our employees in Austria, Belgium and Spain are covered by collective agreements, and management considers relations with our employees to be good.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We were incorporated in Delaware in 1991 and our website is located at </w:t>
      </w:r>
      <w:r>
        <w:rPr>
          <w:rFonts w:ascii="Times New Roman;serif" w:hAnsi="Times New Roman;serif"/>
          <w:b w:val="false"/>
          <w:i/>
          <w:color w:val="000000"/>
          <w:sz w:val="20"/>
        </w:rPr>
        <w:t>www.incyte.com</w:t>
      </w:r>
      <w:r>
        <w:rPr>
          <w:rFonts w:ascii="Times New Roman;serif" w:hAnsi="Times New Roman;serif"/>
          <w:b w:val="false"/>
          <w:color w:val="000000"/>
          <w:sz w:val="20"/>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COMMERCIALIZATION OF OUR PRODUCTS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heavily on our lead product, JAKAFI (ruxolitinib), which is marketed as JAKAVI outside the United States. If we are unable to maintain revenues from JAKAFI or those revenues decrease, our business may be materially harmed.</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JAKAFI is the first product marketed by us to be approved for sale in the United States. While we also sell our and our licensors’ other approved products ICLUSIG, PEMAZYRE, MONJUVI/MINJUVI, OPZELURA, ZYNYZ and NIKTIMVO and our exclusive licensees sell OLUMIANT and TABRECTA, we anticipate that JAKAFI product sales will continue to contribute a significant percentage of our total revenues over the next several years. However, we expect that JAKAFI product sales will begin to decline upon the expiration of our patent exclusivity in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continued commercial success of JAKAFI and our ability to maintain and continue to increase revenues from the sale of JAKAFI will depend on a number of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number of patients diagnosed with intermediate or high-risk myelofibrosis, uncontrolled polycythemia vera or steroid-refractory graft-versus-host disease and the number of such patients that may be treated with JAKAFI;</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acceptance of JAKAFI by patients and the healthcare community;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whether physicians, patients and healthcare payors view JAKAFI as therapeutically effective and safe relative to cost and any alternative therapies, as well as whether patients will continue to use JAKAFI;</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to obtain and maintain sufficient coverage or reimbursement by third-party payors and pricing;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third-party manufacturers to manufacture JAKAFI in sufficient quantities that meet all applicable quality standards;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of our company and our third-party providers to provide marketing and distribution support for JAKAFI;</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label and promotional claims allowed by the U.S. Food and Drug Administration (FDA);</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maintenance of regulatory approval for the approved indications in the United States;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develop, obtain regulatory approval for and commercialize JAKAFI in the United States for additional indications or in combination with other therapeutic modalities;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effects of a public health pandemic or epidemic such as the COVID-19 pandemic or of adverse geopolitical events, regulatory, legislative or administrative developments.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revenues from our other products and our receipt of royalties under our collaboration agreements, including our agreements with Novartis Pharmaceutical International Ltd.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and other healthcare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the drug products marketed by us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Governments and other third-party payors continue to pursue initiatives to manage drug costs. Pricing and reimbursement for our products may be adversely affected by a number of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actions of federal, state and foreign governments and other third-party payors to implement or modify laws, regulations or policies addressing payment and reimbursement for drugs;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pressure by employers on private health insurance plans to reduce costs or moderate cost increases, as well as continued public scrutiny of the price of drugs and other healthcare costs;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pressure on healthcare budgets resulting from macroeconomic factors such as inflation, rising interest rates and the economic effects of geopolitical conflicts;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many markets outside of the United States, including countries of the European Union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Third-party payors are increasingly challenging the prices charged for medical products and services, and payors and employers are adopting benefit plan changes that shift a greater portion of prescription drug costs to patients. </w:t>
      </w:r>
      <w:r>
        <w:rPr>
          <w:rFonts w:ascii="Times New Roman;serif" w:hAnsi="Times New Roman;serif"/>
          <w:b w:val="false"/>
          <w:color w:val="000000"/>
          <w:sz w:val="20"/>
          <w:shd w:fill="FFFFFF" w:val="clear"/>
        </w:rPr>
        <w:t xml:space="preserve">Third party pharmacy benefit managers </w:t>
      </w:r>
      <w:r>
        <w:rPr>
          <w:rFonts w:ascii="Times New Roman;serif" w:hAnsi="Times New Roman;serif"/>
          <w:b w:val="false"/>
          <w:color w:val="000000"/>
          <w:sz w:val="20"/>
        </w:rPr>
        <w:t>(PBMs)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other similar organizations </w:t>
      </w:r>
      <w:r>
        <w:rPr>
          <w:rFonts w:ascii="Times New Roman;serif" w:hAnsi="Times New Roman;serif"/>
          <w:b w:val="false"/>
          <w:color w:val="000000"/>
          <w:sz w:val="20"/>
          <w:shd w:fill="FFFFFF" w:val="clear"/>
        </w:rPr>
        <w:t>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w:t>
      </w:r>
      <w:r>
        <w:rPr>
          <w:color w:val="000000"/>
        </w:rPr>
        <w:t xml:space="preserve"> </w:t>
      </w:r>
      <w:r>
        <w:rPr>
          <w:rFonts w:ascii="Times New Roman;serif" w:hAnsi="Times New Roman;serif"/>
          <w:b w:val="false"/>
          <w:color w:val="000000"/>
          <w:sz w:val="20"/>
        </w:rPr>
        <w:t>There has been significant consolidation in the health insurance industry, resulting in large insurers and PBMs exerting greater pressure and leverage in pricing and usage negotiations with drug manufacturers. P</w:t>
      </w:r>
      <w:r>
        <w:rPr>
          <w:rFonts w:ascii="Times New Roman;serif" w:hAnsi="Times New Roman;serif"/>
          <w:b w:val="false"/>
          <w:color w:val="000000"/>
          <w:sz w:val="20"/>
          <w:shd w:fill="FFFFFF" w:val="clear"/>
        </w:rPr>
        <w:t>ayors could decide to exclude</w:t>
      </w:r>
      <w:r>
        <w:rPr>
          <w:color w:val="000000"/>
          <w:shd w:fill="FFFFFF" w:val="clear"/>
        </w:rPr>
        <w:t xml:space="preserve"> </w:t>
      </w:r>
      <w:r>
        <w:rPr>
          <w:rFonts w:ascii="Times New Roman;serif" w:hAnsi="Times New Roman;serif"/>
          <w:b w:val="false"/>
          <w:color w:val="000000"/>
          <w:sz w:val="20"/>
          <w:shd w:fill="FFFFFF" w:val="clear"/>
        </w:rPr>
        <w:t>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w:t>
      </w:r>
      <w:r>
        <w:rPr>
          <w:color w:val="000000"/>
        </w:rPr>
        <w:t xml:space="preserve"> </w:t>
      </w:r>
      <w:r>
        <w:rPr>
          <w:rFonts w:ascii="Times New Roman;serif" w:hAnsi="Times New Roman;serif"/>
          <w:b w:val="false"/>
          <w:color w:val="000000"/>
          <w:sz w:val="20"/>
          <w:shd w:fill="FFFFFF" w:val="clear"/>
        </w:rPr>
        <w:t>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w:t>
      </w:r>
      <w:r>
        <w:rPr>
          <w:color w:val="000000"/>
        </w:rPr>
        <w:t xml:space="preserve"> </w:t>
      </w:r>
      <w:r>
        <w:rPr>
          <w:rFonts w:ascii="Times New Roman;serif" w:hAnsi="Times New Roman;serif"/>
          <w:b w:val="false"/>
          <w:color w:val="000000"/>
          <w:sz w:val="20"/>
          <w:shd w:fill="FFFFFF" w:val="clear"/>
        </w:rPr>
        <w:t>If we are unsuccessful in obtaining and maintaining broad coverage and reimbursement for our products, our anticipated revenue from and growth prospects for our products could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the ability of non-profit organizations to provide assistance to patients is dependent on funding from external sources, and we cannot guarantee that such funding will be provided at adequate levels, or at all.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Risks related to proposed changes in government regulations and healthcare reform measures are described below under “Other Risks Relating to our Business—Healthcare reform measures could impact the pricing and profitability of pharmaceuticals, and adversely affect the commercial viability of our or our collaborators’ products and drug candidates. If recent proposals for changes to Medicare and Medicaid reimbursement of drug prices are adopted into law, our results of operations and financial condition could be harmed.”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Lilly are affected by similar considerations for the drugs that they market and for which we may receive royalties.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our products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unable to establish and maintain effective sales, marketing and distribution capabilities, or to enter into agreements with third parties to do so, we will not be able to successfully commercialize our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continuing to establish and maintain sales, marketing and distribution capabilities for our products. Successful commercialization of our drug candidates requires us to establish new physician and payor relationships, PBM and pharmacy network relationships, reimbursement strategies and governmental interactions, separate from our existing capabilities. Our inability to successfully commercialize our products could harm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comply with applicable laws and regulations, we could lose our approval to market our products or be subject to other governmental enforcement activity.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guarantee that we will be able to maintain regulatory approval to market our products in the jurisdictions in which they are currently marketed. If we do not maintain our regulatory approval to market our products,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It is possible that future sales of JAKAFI and OPZELURA could be negatively affected as a result of the “boxed” warnings, which could have a material and adverse effect on our business, results of operations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Failure to comply with the laws and regulations administered by the FDA or other agencies could result in: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administrative and judicial sanctions, including warning letters;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fines and other civil penalties;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suspension or withdrawal of regulatory approval to market or manufacture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interruption of production;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operating restrictions;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product recall or seizure;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injunctions;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criminal prosecution.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occurrence of any such event may have a material adverse effect on our business.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disruptions at the FDA and other regulatory agencies could prevent those agencies from performing normal business functions on which the operation of our business relies, which could negatively impact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testing, manufacturing, marketing and sale of our products could expose us to product liability and other risks. Side effects and other problems experienced by patients from the use of our products</w:t>
      </w:r>
      <w:r>
        <w:rPr>
          <w:color w:val="000000"/>
        </w:rPr>
        <w:t xml:space="preserve"> </w:t>
      </w:r>
      <w:r>
        <w:rPr>
          <w:rFonts w:ascii="Times New Roman;serif" w:hAnsi="Times New Roman;serif"/>
          <w:b w:val="false"/>
          <w:color w:val="000000"/>
          <w:sz w:val="20"/>
        </w:rPr>
        <w:t>could: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lessen the frequency with which physicians decide to prescribe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encourage physicians to stop prescribing our products to their patients who previously had been prescribed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cause serious harm to patients that may give rise to product liability claims against us;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result in our need to withdraw or recall our products from the marketplace.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products are used by a wide patient population, new risks and side effects may be discovered, the rate of known risks or side effects may increase, and risks previously viewed as less significant could be determined to be significant.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our approved products in diseases for potential additional indications in controlled clinical settings, and independent investigators are doing so as well. In the event of any new risks or adverse effects discovered as new patients are treated and as our products are studied in or used by patients for off-label indications, regulatory authorities may delay or revoke their approvals, we may be required to conduct additional clinical trials, make changes in labeling of our products, reformulate our products or make changes and obtain new approvals. We may also experience a significant drop in the sales of our products, experience harm to our reputation and the reputation of our products in the marketplace or become subject to lawsuits, including class actions. Any of these results could decrease or prevent sales of our products or substantially increase the costs and expenses of commercializing our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similar to those listed above also apply to our collaborators in the jurisdictions in which they have development and commercialization rights.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market our products in a manner that violates various laws and regulations, we may be subject to civil or criminal penalties.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FDA and related regulatory requirements, we are subject to healthcare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or state-financed healthcare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EU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U.S. federal government has enacted the Physician Payment Sunshine provisions. These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healthcare industry, we could face increased costs, penalties and a loss of business” below.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Competition for our products could harm our business and result in a decrease in our revenue.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Business—Competition” in this Annual Report on Form 10-K for additional information regarding the effects of competition. If we are unable to compete successfully, our commercial opportunities will be reduced and our business, results of operations and financial conditions may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or other version of an innovative pharmaceutical by filing with the FDA an Abbreviated New Drug Application (“ANDA”) or a New Drug Application (“NDA”) pursuant to section 505(b)(2) of the Federal Food, Drug, and Cosmetic Act (the “FDCA”). The Hatch-Waxman Act provides significant incentives to generic manufacturers to challenge U.S. patents on successful innovative pharmaceutical products. We have received a notice letter from each of Apotex, Inc., Hikma Pharmaceuticals USA Inc., Sun Pharmaceutical Industries Inc., Granules India Ltd., Dr. Reddy’s Laboratories, Inc., and Eugia Pharma Specialties, Ltd., which we refer to as the Generic Manufacturers, notifying us that each has filed an ANDA requesting approval to market a generic version of JAKAFI that contains a paragraph IV certification purporting to challenge one or more patents covering ruxolitinib composition of matter and its use that expire (with pediatric extension) in June 2028 and patents covering ruxolitinib phosphate and its use that expire (with pediatric extension) in December 2028. We have also received a separate notice letter from Apotex, Inc. regarding its filing of an NDA pursuant to section 505(b)(2) of the FDCA that requested to rely, in part, on the FDA’s previously published findings of safety and efficacy for JAKAFI and that contains a paragraph IV certification purporting to challenge patents covering ruxolitinib composition of matter and its use that expire (with pediatric extension) in June 2028 and patents covering ruxolitinib phosphate and its use that expire (with pediatric extension) in December 2028. In response, we filed patent infringement actions against each of the Generic Manufacturers (with respect to both the ANDA and 505(b)(2) NDA for Apotex, Inc.) in the U.S. District Court for the District of New Jersey asserting certain FDA Orange-Book-listed patents for JAKAFI. In October 2025 and February 2026, we entered into a confidential settlement agreement with Hikma Pharmaceuticals USA Inc. and Granules India Ltd., respectively, settling all outstanding claims in the Hikma and Granules litigations. The actions against the other generic companies remain pending.</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With respect to deuterated ruxolitinib, in January 2018 the Patent Trial and Appeal Board (“PTAB”) of the United States Patent and Trademark Office denied institution of a petition challenging our patent covering deuterated ruxolitinib analogs.</w:t>
      </w:r>
      <w:r>
        <w:rPr>
          <w:color w:val="000000"/>
        </w:rPr>
        <w:t xml:space="preserve"> </w:t>
      </w:r>
      <w:r>
        <w:rPr>
          <w:rFonts w:ascii="Times New Roman;serif" w:hAnsi="Times New Roman;serif"/>
          <w:b w:val="false"/>
          <w:color w:val="000000"/>
          <w:sz w:val="20"/>
        </w:rPr>
        <w:t xml:space="preserve">The PTAB subsequently denied the petitioner’s request for rehearing in May 2018. Although the PTAB’s decision is now final, the petitioner still has the right to separately challenge the validity of our patent in federal court.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ICLUSIG currently competes with existing therapies that are approved for the treatment of patients with chronic myeloid leukemia (“CML”) who are resistant or intolerant to prior tyrosine kinase inhibitor (“TKI”) therapies, on the basis of, among other things, efficacy, cost, breadth of approved use and the safety and side-effect profile. In addition, generic versions of imatinib are available. Given ICLUSIG’s various indication statements globally that are currently focused on resistant or intolerant CML, we currently believe that generic versions of imatinib will not materially impact our commercialization of ICLUSIG but we cannot be certain how physicians, payors, patients, regulatory authorities and other market participants will respond to the availability of generic versions of imatinib.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ZYNYZ and NIKTIMVO include major pharmaceutical and biotechnology companies, as well as specialty pharmaceutical firms.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for OPZELURA include existing over-the-counter topical treatments and prescription topical treatments, as well as oral and injectable therapies, from major pharmaceutical and biotechnology companies, and companies that produce generic versions of prescription treatments. We have received a notice letter from each of Padagis Israel Pharmaceuticals Ltd., Taro Pharmaceuticals Inc., Zydus Lifesciences Limited and Encube Ethicals Private Limited notifying us that each has filed an ANDA requesting approval to market a generic version of OPZELURA and that contains a paragraph IV certification purporting to challenge one or more patents covering ruxolitinib phosphate cream and its uses that expire in 2031 and 2040. None of the notice letters challenge the ruxolitinib or ruxolitinib phosphate composition of matter patents, providing patent coverage (with pediatric extension) until December 2028, and the notice letter from Zydus Lifesciences Limited also does not challenge certain patents covering ruxolitinib phosphate cream and its uses, providing patent coverage (with pediatric extension) until November 2031. In response to the notice letters, we filed patent infringement actions against each of Padagis Israel Pharmaceuticals Ltd., Taro Pharmaceuticals Inc., Zydus Lifesciences Limited and Encube Ethicals Private Limited in the U.S. District Court for the District of New Jersey asserting certain FDA Orange Book-listed patents for OPZELURA. Each of these actions remains 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patents will be upheld or that any litigation in which we might engage with any generic manufacturer will be successful in protecting exclusivity of our products. The entry of a competitive drug product from another company or a generic version of one of our products could result in a decrease in sales of our products and materially harm our business, operating results,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similar to those listed above also apply to our collaborator Novartis for JAKAVI and TABRECTA in the jurisdictions in which it has commercialization rights and to our collaborator Lilly for OLUMIANT in all jurisdictions.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OTHER RISKS RELATING TO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be unsuccessful in our efforts to discover and develop drug candidates and commercialize drug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hire and retain key employees;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identify high quality therapeutic targets;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identify potential drug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develop products internally or license or acquire drug candidates from others;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identify and enroll suitable human subjects, either in the United States or abroad, for our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complete laboratory testing;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commence, conduct and complete safe and effective clinical trials on humans;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and maintain necessary intellectual property rights to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and maintain necessary regulatory approvals for our products, both in the United States and abroad;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enter into arrangements with third parties to provide services or to manufacture our products on our behalf;</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deploy sales, marketing, distribution and manufacturing resources effectively or enter into arrangements with third parties to provide these functions in compliance with all applicable laws;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obtain appropriate coverage and reimbursement levels for the cost of our products from governmental authorities, private health insurers and other third-party payors;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lease facilities at reasonable rates to support our growth;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enter into arrangements with third parties to license and commercialize our products.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receives marketing approval, it may not be able to achieve market acceptance or compete successfully with our competitors’ products and we may never realize a return on the significant amount of time and money invested in the drug candidate, which could adversely affect our operating results and financial condition as well as our business plans. Of the compounds or biologics that we identify as potential drug products or that we in-license from other companies, including potential products for which we are conducting clinical trials, only a few, if any, are likely to lead to successful drug development programs and commercialized drug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or our collaborators are unable to obtain regulatory approval for our drug candidates in the United States or foreign jurisdictions, we or our collaborators will not be permitted to commercialize products resulting from our research.</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high degree of risk and uncertainty associated with drug development;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inability to formulate or manufacture sufficient quantities of materials for use in clinical trials;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variability in the number and types of patients available for each study;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difficulty in maintaining contact with patients after treatment, resulting in incomplete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unforeseen safety issues or side effects;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poor or unanticipated effectiveness of drug candidates during the clinical trials; 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government or regulatory delays.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Delays in FDA approval of drug candidates may also result from other factors such as funding limitations, staffing reductions or other resource restrictions, any of which could have an adverse effect on the regulatory approval process. Further,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 release tablets, which identified additional requirements for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Compounds or biologics developed by us or with or by our collaborators and licensees may not prove to be safe and effective in clinical trials and may not meet all of the applicable regulatory requirements needed to receive marketing approval. For example,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the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our investment thesis for drug candidates, resulting in withdrawal of approval applications.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Healthcare reform measures could impact the pricing and profitability of pharmaceuticals, and adversely affect the commercial viability of our or our collaborators’ products and drug candidates. If recent proposals for changes to Medicare and Medicaid reimbursement of drug prices are adopted into law, our results of operations and financial condition could be harmed.</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through legislative and regulatory actions and executive orders, the U.S. federal government has made substantial changes to various payment systems under the Medicare and other federal healthcare programs. Comprehensive reforms to the U.S. healthcare system were enacted, including changes to the methods for, and amounts of, Medicare reimbursement. For example, the American Rescue Plan Act of 2021 includes a provision that became effective in January 2024 that eliminated the statutory cap on rebates that drug manufacturers pay to Medicaid. It is expected that this provision, as implemented by the Centers for Medicare and Medicaid Services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which started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material adverse affects to our revenue and the curtailing or, in some case, the ceasing of our research and development efforts.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trend toward managed healthcare in the United States as well as legislative and regulatory proposals to reform healthcare or address the cost of government insurance programs may all result in lower prices for, or rejection of, our products. Managed healthcare organizations could control or significantly influence the purchase of healthcare services and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continuing efforts of legislatures, health agencies and third-party payors to contain or reduce the costs of healthcare,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government pricing policies, including the enactment of “most favored nation” pricing legislation, could adversely affect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results of operations, and cash flows could be materially and adversely affected by changes in government pricing policies, including recently proposed or enacted “most favored nation” (MFN) pricing legislation or executive actions. For example, an executive order issued on May 12, 2025, directed the Department of Health and Human Services to establish MFN price targets, and, if progress toward these targets is insufficient, to pursue rulemaking that could require sale of certain products in the U.S. at prices no higher than those in comparable developed nations. The extent, timing, and ultimate effect of this policy are uncertain, and we cannot predict the potential impact on our pricing, reimbursement, or profitability.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our out-licensed drug candidates.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and lead to our loss of potential revenues from product sales and milestones.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and license agreements. These disputes have led and could in the future lead to litigation or arbitration, which could be costly and divert the efforts of our management and scientific staff and could diminish the expected effectiveness of the collaboration.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existing collaborative and license agreements can be terminated by our collaborators and licensees for convenience, in addition to other circumstances. If any of our collaborators or licensees terminates its agreement with us, or terminates its rights with respect to certain indications or drug candidates, we may not be able to find a replacement collaborator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We cannot be sure that potential conflicts will not arise or be alleged among our existing or future collaborations. If a business combination involving a collaborator or licensee and a third-party were to occur, the effect could be to terminate or cause delays in the development of our drug candidate.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enter into additional licensing agreements or if these arrangements are unsuccessful, our business and operations might be adversely affected.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 targets that fit within our focus, such as our collaborations with MacroGenics, Inc. (“MacroGenics”), Merus N.V. (“Merus”)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Inc. and Syros Pharmaceuticals, Inc.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have been applied for other uses or we may have to expend funds that were not otherwise budgeted or anticipated in connection with the collaboration, and such developments could have a material adverse effect on our stock price and our ability to pursue other transactions. As discussed above under “Other Risks Relating to Our Business—We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conflicts could result in delays in our plans to develop drug candidates or result in the expenditure of additional funds to resolve those conflicts that could have an adverse effect on our results of operations. We have also licensed, and may in the future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Public health epidemics and pandemics, such as the COVID-19 pandemic, have adversely affected and could in the future adversely affect our business,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COVID-19 pandemic we experienced, and as a result of future pandemics we may in the future experience, disruptions with the potential to severely impact our business, results of operations and financial condition. These disruptions can include the following: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imposition of shelter-in-place orders and work-from-home policies that could affect our research and development activities and access to our laboratory space;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disruptions in our sales and marketing activities;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negative impacts on the demand for our products as a result of a decrease in patient visits to healthcare professionals and the prioritization of hospital resources for a future pandemic;</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negative impacts on our clinical trials as a result of delays in site initiation, patient screening, patient enrollment, and monitoring and data collection;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slower response times by the FDA and comparable foreign regulatory agencies for the review and potential approvals of our drug candidate applications; and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negative impacts on the global supply chain which may affect our ability to obtain sufficient materials for our drug products and product candidates.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Even if a drug candidate that we develop receives regulatory approval, we may decide not to commercialize it if we determine that commercialization of that product would require more money and time than we are willing to invest.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limited capacity to conduct preclinical testing and clinical trials, and our resulting dependence on other parties could result in delays in and additional costs for our drug development efforts.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limited internal resources and capacity to perform preclinical testing and clinical trials. As part of our development strategy, we often hire contract research organizations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entity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reliance on other parties to manufacture our drug products and drug candidates could result in a short supply of the drugs, delays in clinical trials or drug development, increased costs, and withdrawal or denial of a regulatory authority’s approval.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currently operate manufacturing facilities for most of our clinical or commercial products, including JAKAFI, PEMAZYRE, ICLUSIG, OPZELURA, ZYNYZ and NIKTIMVO, and our drug candidates. Our current manufacturing strategy for these products and drug candidates is to contract with third parties to manufacture the related raw materials, active pharmaceutical ingredient (“API”), and finished drug product. We do have a biologics production facility located in Yverdon, Switzerland, currently registered for MONJUVI/MINJUVI drug substance manufacturing. We are responsible for the sourcing and manufacturing of ZYNYZ together with our collaborator MacroGenics.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raw materials, API and finished product of our drug products and our other drug candidates.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 drug candidates or drug products, whether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conditions affecting the cost and availability of raw materials, such as inflation, decreases in available manufacturing capacity, or otherwise, would adversely affect our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Swiss facility or in obtaining necessary regulatory approvals and registrations to do so.</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the extensive legal and regulatory requirements affecting the healthcare industry, we could face increased costs, penalties and a loss of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and we have previously been subject to an inquiry relating to our speaker programs and patient assistance programs.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illegal distribution and sale by third parties of counterfeit or unfit versions of our or our collaborators’ products or stolen products could harm our business and reputation.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most of our drug discovery and development operations are conducted at our headquarters in Wilmington, Delaware, the loss of access to this facility would negatively impact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manage our growth effectively, our ability to develop and commercialize products could suffer.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February 2024 we entered into a purchase agreement with MorphoSys AG and MorphoSys US Inc.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unanticipated costs, delays or other operational or financial problems related to integrating the products, product candidates, technologies, business operations, systems, controls and personnel of an acquired company or asset with our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failure to successfully develop and commercialize acquired products, product candidates or technologies or to achieve other strategic objectives;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delays or inability to progress preclinical programs into clinical development or unfavorable data from clinical trials evaluating acquired or licensed products or product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disruption of our ongoing business and diversion of our management’s and employees’ attention from ongoing development of our existing business and other opportunities and challenges;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inability to achieve planned synergies or cost savings;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potential loss of key employees of an acquired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entry into markets in which we have no or limited direct prior experience or where competitors in such markets have stronger market positions;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uncertainties in our ability to maintain the key business relationships of any business we acquire;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risk that acquired businesses may have differing or inadequate cybersecurity and data protection controls;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exposure to litigation or other claims in connection with, or inheritance of claims or litigation risk as a result of, the strategic transaction, including claims from terminated employees, customers, former equity holders or other third parties.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processes in the U.S. and foreign jurisdictions may cause approvals to take longer than anticipated to obtain, or may not be obtained at all, or contain burdensome conditions such as required divestitures, which may jeopardize, delay or reduce the anticipated benefits of acquisitions to us and could impede the execution of our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0" w:after="0"/>
        <w:ind w:left="0" w:right="0" w:firstLine="720"/>
        <w:jc w:val="both"/>
        <w:rPr/>
      </w:pPr>
      <w:r>
        <w:rPr>
          <w:rFonts w:ascii="Times New Roman;serif" w:hAnsi="Times New Roman;serif"/>
          <w:b w:val="false"/>
          <w:color w:val="000000"/>
          <w:sz w:val="20"/>
        </w:rPr>
        <w:t>As a result of these or other problems and risks, the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For example, in 2024 we acquired Escient Pharmaceuticals, Inc., but later in that year we stopped development of the two lead compounds acquired from Escient. We cannot be sure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several quarters of the last three fiscal years we recorded unrealized losses related to our investments in our collaboration partners,</w:t>
      </w:r>
      <w:r>
        <w:rPr>
          <w:color w:val="000000"/>
        </w:rPr>
        <w:t xml:space="preserve"> </w:t>
      </w:r>
      <w:r>
        <w:rPr>
          <w:rFonts w:ascii="Times New Roman;serif" w:hAnsi="Times New Roman;serif"/>
          <w:b w:val="false"/>
          <w:color w:val="000000"/>
          <w:sz w:val="20"/>
        </w:rPr>
        <w:t>and we may experience additional losses related to our investments in future periods. In addition, if we choose to issue equity securities as consideration for any acquisition, dilution to our stockholders could result.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Risks associated with our operations outside of the United States could adversely affect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European operations and plan to continue to expand our operations and conduct certain development activities outside of the United States. For example, as part of our plans to expand our activities outside of the United States, we conduct some of our operations in Canada, have commercial and clinical development activities in Japan, maintain an office in China and are working with collaborative partners in additional markets. International operations and business expansion plans are subject to numerous additional risks,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and cost as we enter into additional jurisdictions;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difficulties in staffing and managing operations in diverse countries and difficulties in connection with assimilating and integrating any operations and personnel we might acquire into our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risks associated with obtaining and maintaining, or the failure to obtain or maintain, regulatory approvals for the sale or use of our products in various countries;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complexities associated with managing government payor systems, multiple payor-reimbursement regimes or patient self-pay systems;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financial risks, such as longer payment cycles, difficulty obtaining financing in foreign markets, difficulty enforcing contracts and intellectual property rights, difficulty collecting accounts receivable, exposure to foreign currency exchange rate fluctuations and increased costs due to tariffs;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general political and economic conditions in the countries in which we operate, including inflation, political or economic instability, terrorism and political unrest and geopolitical events;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public health risks, including epidemics and pandemics, and related effects on new patient starts, clinical trial activity, regulatory agency response times, supply chain, travel and employee health and availability;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could face substantial liabilities and may be required to limit commercialization of our products and our results of operations could be harmed.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damage our reputation, cause participants and investigators to withdraw from clinical trials, and encourage potential collaborators or licensees to seek other partners, any of which could impact our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Because our activities involve the use of hazardous materials, we may be subject to claims relating to improper handling, storage or disposal of these materials that could be time consuming and costly.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Business disruptions and uncertainties could seriously harm our operations, future revenues and financial condition and increase our costs and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and those of our CROs, suppliers, and other contractors and consultants, could be subject to business disruptions as a result of natural disasters, power and other infrastructure failures or shortages, public health pandemics or epidemics, and other natural or man-made disasters, as well as other business uncertainties as a result of international trade policies, including tariff and trade disputes, trade sanctions and import and export licensing requirements.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or other uncertainties could seriously harm our operations, future revenues and financial condition and increase our costs and expenses.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OUR FINANCIAL RESULTS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incur losses in the future, and we expect to continue to incur significant expenses to discover and develop drugs, which may make it difficult for us to achieve sustained profitability on a quarterly or annual basis in the future.</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spend significant amounts on our efforts to discover and develop drugs, and if we are unable to generate revenues from our marketed drug products sufficient to offset our expenses we may incur losses in future periods. Our revenues, expenses and net income (loss) may fluctuate, even significantly, due to the risks described in these “Risk Factors” and the factors discussed in “Management’s Discussion and Analysis of Financial Condition and Results of Operations” appearing in Part II, Item 7 of this Annual Report on Form 10-K, as well as the timing of charges and expenses that we may take, including those relating to transactions such as acquisitions and the entry into collaborative agreements. In addition, revenues from JAKAFI currently make up the substantial majority of our total revenues, but we expect that revenues from JAKAFI will begin to decline once patent exclusivity expires in 2028. We cannot assure you that we will be able to generate revenues from our other marketed drug products to offset the expected decline in revenues from JAKAFI.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drug discovery and development efforts and related expenditures will increase as we expand our focus on the studies, including preclinical tests and clinical trials prior to seeking regulatory approval, that are required before we can sell a drug product.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development of drug products will require us to spend significant funds on research, development, testing, obtaining regulatory approvals, manufacturing and marketing. We cannot be sure that we will generate substantial revenues from any drug candidates that we license or develop for several years, if ever.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our marketed drug products, we may incur losses if our drug products do not generate significant revenues.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and we anticipate that we may need to raise additional capital to fund our business plan and research and development efforts going-forward.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factors that may affect our future funding requirements include: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acquisition of businesses, technologies, or drug candidates, or the licensing of technologies or drug candidates, if 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amount of revenues generated from our business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any changes in the breadth of our research and development programs;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results of research and development, preclinical testing and clinical trials conducted by us or our current or future collaborators or licensees, if 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exercise of any co-development options with collaborators that may require us to fund future development;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costs for future facility requirements;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maintain and establish new corporate relationships and research collaborations;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competing technological and market developments;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time and costs involved in filing, prosecuting, defending and enforcing patent and intellectual property rights;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receipt or payment of contingent licensing or milestone fees or royalties on product sales from our current or future collaborative and license arrangements, if established;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timing of regulatory approvals, if 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marketable securities and equity investments are subject to risks that could adversely affect our overall financial position.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invest our cash in accordance with an established internal policy and customarily in money market funds, U.S. government backed-funds and Treasury securities, which are investment grade and historically have been highly liquid and carried relatively low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under “Other Risks Relating to Our Business—We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loss in value of our equity investments could adversely affect our financial position on the consolidated balance sheets and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pPr>
      <w:r>
        <w:rPr>
          <w:rFonts w:ascii="Times New Roman;serif" w:hAnsi="Times New Roman;serif"/>
          <w:b/>
          <w:i/>
          <w:color w:val="000000"/>
          <w:sz w:val="20"/>
        </w:rPr>
        <w:t>Changes in tax laws or regulations could adversely affect our results of operations, business and financial condition.</w:t>
      </w:r>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in July 2025, U.S. federal tax legislation commonly referred to as the One Big Beautiful Bill Act was enacted, which, among other things, allows domestic research and development expenditures to be expensed for tax years beginning on or after January 1, 2025, with retroactive elections for such expenditures paid or incurred in the two prior years but also increases the effective tax rate on foreign-derived deduction eligible income (formerly known as “foreign-derived intangible income”) for tax years beginning on or after January 1, 2026. As another example, in August 2022, the Inflation Reduction Act of 2022 was enacted, which, among other things, includes a new 15% alternative minimum tax on the adjusted financial statement income of certain large corporations for tax years beginning after December 31, 2022.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the EU member states agreed to implement in their domestic tax laws a 15% global minimum tax on the profits of large multinational enterprises with a target effective date for fiscal years beginning on or after December 31, 2023. Although we continue to evaluate and monitor the potential impact of BEPS 2.0 on us, and the OECD minimum tax rules do not currently have a material impact on us, these minimum tax rules could in the future result in tax increases in both the United States and many foreign jurisdictions where we operate or have a presence. In January 2025, the OECD released new guidance addressing implementation of the Pillar Two global minimum tax rules, which were effective for us in tax year 2024. As part of the guidance, the OECD placed limitations on transactions that produce deferred tax assets entered into during the transition period that runs from November 2021 through an entity’s adoption of Pillar Two. However, in January 2026, the OECD/G20 Inclusive Framework released its Side-by-Side (“SbS”) Safe Harbor package which is intended to work “side-by-side” with the Pillar Two framework, offering a streamlined compliance pathway for large multinational enterprises. If an eligible multinational enterprise group elects the SbS Safe Harbor, any top-up tax under Pillar Two’s income inclusion rule and undertaxed profits rule is treated as zero for the group’s controlled domestic and foreign operations. The SbS Safe Harbor does not apply to 2024 and 2025. While we anticipate making the SbS Safe Harbor election for our tax year beginning on January 1, 2026, if we do not obtain side-by-side tax treatment, we could experience adverse consequences for tax provisions, tax liabilities and effective tax rate. Any new tax legislation or initiatives could not only significantly increase our tax provision, cash tax liabilities, compliance costs and effective tax rate, but could also significantly increase tax uncertainty due to differing interpretations and increased audit scrutiny.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a substantial portion of our total revenues from product royalties and milestone payments under our collaboration agreements, with royalties on JAKAVI and OLUMIANT representing most of our product royalty, milestone and contract revenues in each of the three most recently completed fiscal years. Future revenues from research and development collaborations depend upon the continuation of the collaborations, the achievement of milestones, and any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“Other Risks Relating to Our Business—We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INTELLECTUAL PROPERTY AND LEGAL MATTERS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subject to arbitration, litigation and infringement claims, they could be costly and disrupt our drug discovery and development efforts.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success of our drug discovery and development efforts will depend on our ability to develop new compounds, drugs and technologies without infringing or misappropriating the proprietary rights of others. The technology that we use to make and develop our drug products, the technology that we incorporate in our products, and the products we are developing may be subject to claims that they infringe the patents or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be involved in future lawsuits or other legal proceedings alleging patent infringement or other intellectual property rights or contract violations. In addition, litigation or other legal proceedings may be necessary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assert claims of infringement;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enforce our patents or trademarks;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protect our trade secrets or know-how; 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determine the enforceability, scope and validity of the proprietary rights of others.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our approved products and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our approved products or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harm our business and result in a decrease in our revenue,” potential generic drug company competitors have challenged certain patents relating to JAKAFI and OPZELURA.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when we do not control the prosecution, maintenance and enforcement of certain important intellectual property rights, such as a drug candidate in-licensed to us or subject to a collaboration with a third-party, the protection of such intellectual property rights may not be in our hands. If we do not control the intellectual property rights in-licensed to us with respect to a drug candidate and the entity that controls such intellectual property rights does not adequately protect those rights, our rights may be impaired, which may impact our ability to develop, market and commercialize the in-licensed drug candidate.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means of protecting our proprietary rights may not be adequate, and our competitors may: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independently develop substantially equivalent proprietary information, products and techniques;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otherwise gain access to our proprietary information; 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design around patents issued to us or our other intellectual property.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the effective term of our patents is decreased due to changes in U.S. patent laws or if we need to refile some of our patent applications, the value of our patent portfolio and the revenues we derive from it may be decreased.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value of our patents depends, in part, on their duration. A shorter period of patent protection could lessen the value of our rights under any patents that we obtain and may decrease the revenues we derive from our patents. U.S.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U.S.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changes in U.S.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International patent protection is particularly uncertain and costly, and our involvement in opposition proceedings in foreign countries may result in the expenditure of substantial sums and management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RISKS RELATING TO INFORMATION TECHNOLOGY AND DATA PRIVACY </w:t>
      </w:r>
    </w:p>
    <w:p>
      <w:pPr>
        <w:pStyle w:val="TextBody"/>
        <w:bidi w:val="0"/>
        <w:spacing w:lineRule="auto" w:line="288" w:before="240" w:after="283"/>
        <w:jc w:val="both"/>
        <w:rPr/>
      </w:pPr>
      <w:r>
        <w:rPr>
          <w:rFonts w:ascii="Times New Roman;serif" w:hAnsi="Times New Roman;serif"/>
          <w:b/>
          <w:i/>
          <w:color w:val="000000"/>
          <w:sz w:val="20"/>
        </w:rPr>
        <w:t>Significant disruptions of information technology systems, breaches of data security, or unauthorized disclosures of personal information (including sensitive personal information) could adversely affect our business,</w:t>
      </w:r>
      <w:r>
        <w:rPr>
          <w:color w:val="000000"/>
        </w:rPr>
        <w:t xml:space="preserve"> </w:t>
      </w:r>
      <w:r>
        <w:rPr>
          <w:rFonts w:ascii="Times New Roman;serif" w:hAnsi="Times New Roman;serif"/>
          <w:b/>
          <w:i/>
          <w:color w:val="000000"/>
          <w:sz w:val="20"/>
        </w:rPr>
        <w:t>and could</w:t>
      </w:r>
      <w:r>
        <w:rPr>
          <w:color w:val="000000"/>
        </w:rPr>
        <w:t xml:space="preserve"> </w:t>
      </w:r>
      <w:r>
        <w:rPr>
          <w:rFonts w:ascii="Times New Roman;serif" w:hAnsi="Times New Roman;serif"/>
          <w:b/>
          <w:i/>
          <w:color w:val="000000"/>
          <w:sz w:val="20"/>
        </w:rPr>
        <w:t xml:space="preserve">subject us to liability or reputational damage.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continuously evaluating and, where appropriate, enhancing our IT systems to address our planned growth, including to support our manufacturing operations. There are inherent costs and risks associated with implementing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cyber attacks are growing in frequency and sophistication, including the use of artificial intelligence,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the Health Insurance Portability and Accountability Act,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pStyle w:val="TextBody"/>
        <w:bidi w:val="0"/>
        <w:spacing w:lineRule="auto" w:line="288" w:before="240" w:after="240"/>
        <w:ind w:left="0" w:right="0" w:firstLine="720"/>
        <w:jc w:val="both"/>
        <w:rPr/>
      </w:pPr>
      <w:r>
        <w:rPr>
          <w:rFonts w:ascii="Times New Roman;serif" w:hAnsi="Times New Roman;serif"/>
          <w:b w:val="false"/>
          <w:color w:val="000000"/>
          <w:sz w:val="20"/>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many countries and jurisdictions in which we work globally have enacted or are proposing privacy and data protection laws and regulations which govern the collection and use of personal information and which may impose large fines and penalties for noncompliance. For example, in the EU under the General Data Protection Regulation, potential fines for noncompliance are up to €20 million or 4% of annual global revenue, whichever is greater. Further, some jurisdictions provide for private rights of action if data breaches result in the loss or theft of personal data. These laws and regulations may also require, as applicable, that we: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ensure individuals to whom personal information relates are informed about how their personal information is collected and processed;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keep personal information confidential and secure;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transfer personal information in a compliant manner;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respond to requests from individuals about their personal information;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inform authorities and individuals as may be applicable about any data breaches.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obligations may increase our costs of doing business and the varying requirements among all countries and jurisdictions in which we work can complicate our compliance efforts.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Increasing use of social media and new technology, including artificial intelligence, could give rise to liability, breaches of data security, or reputational damage.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our employees increasingly are utilizing social media tools as a means of communication both internally and externally. We also are using new technology on a daily basis to enhance how we work.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 Additionally, the use of artificial intelligence is increasing in the biopharmaceutical industry. As with many developing technologies, artificial intelligence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may also lead to the release of confidential proprietary information, which may impact our ability to realize the benefit of our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pPr>
      <w:r>
        <w:rPr>
          <w:rFonts w:ascii="Times New Roman;serif" w:hAnsi="Times New Roman;serif"/>
          <w:b/>
          <w:color w:val="000000"/>
          <w:sz w:val="20"/>
        </w:rPr>
        <w:t xml:space="preserve">Item 1B. </w:t>
      </w:r>
      <w:r>
        <w:rPr>
          <w:rFonts w:ascii="Times New Roman;serif" w:hAnsi="Times New Roman;serif"/>
          <w:b/>
          <w:i/>
          <w:color w:val="000000"/>
          <w:sz w:val="20"/>
        </w:rPr>
        <w:t>Unresolved Staff Comments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Incyte is committed to maintaining robust oversight and governance of potential cybersecurity risks and to implementing processes and controls that help us identify, assess and manage such risks. To date, we have not experienced a cybersecurity threat or incident that has resulted in a material adverse impact to our business or operations. However, we cannot guarantee that we will not experience such a threat or incident in the future, given the increasing sophistication of those responsible for cybersecurity incidents. While we seek to detect and investigate unauthorized attempts and attacks against our network and to prevent their occurrence where practicable through our internal processes and tools, we remain potentially vulnerable to known or unknown threats. In some instances, we can be unaware of a threat or incident or its magnitude and effects. Further, there is increasing regulation regarding responses to cybersecurity incidents, including reporting to regulators, which could subject us to additional liability and reputational harm. See “Item 1A. Risk Factors” for more information on our cybersecurity risks.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aim to incorporate and align with industry best practices throughout our cybersecurity program. Our cybersecurity strategy focuses on implementing effective and efficient controls, technologies and other processes to assess, identify, manage and mitigate material cybersecurity risks. These include, among other things, having mechanisms in place to detect and monitor unusual network activity, utilizing vulnerability assessment scans and tools, and conducting external and internal penetration tests and security assessments using the National Institute of Standards and Technology Cybersecurity Framework. We engage third party experts to assist with numerous aspects of our cybersecurity program, including vulnerability assessment scans, penetration tests and security assessments. These outside experts are utilized on a rotating basis to enable us to receive multiple viewpoints on the security of our technological resources. Additionally, from time to time, our internal audit function reviews and assesses various aspects of our cybersecurity program. We also engage in threat intelligence monitoring, including monitoring the dark web and zero-day vulnerability and attack information, and have processes in place to assess the potential cybersecurity impact or risk of any identified threats on our company, including potential impacts on our business partners and other parties with whom we share information. We actively engage with industry groups for peer benchmarking purposes and to stay current on best practices. We rely heavily on our vendors and other third-party service providers in our clinical development activities as well as to manufacture and deliver our products, and a cybersecurity incident at a vendor or other third-party service provider could have a material and adverse impact on our business, results of operations and financial condition. We have further processes in place to assess the cybersecurity risks associated with our vendors and other third-party service providers, and we require such providers to take appropriate precautions to protect our data and to notify us promptly in the event of any known or suspected data breach or cyber incident.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is integrated into our broader approach to risk management, and ultimate oversight for the program sits with our Board of Directors. The Board of Directors is aided by its Audit and Finance Committee, which regularly reviews our cybersecurity program with management and reports to the Board of Directors. Cybersecurity reviews by the Audit and Finance Committee or the Board of Directors generally occur at least twice annually, or more frequently as determined to be necessary or advisable.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Incyte’s Chief Information Security Officer (“CISO”) runs our cybersecurity program. Our CISO, who holds numerous cybersecurity and related certifications, reports in to our Chief Information Officer (“CIO”). Our CISO and CIO have extensive experience assessing and managing cybersecurity programs and cybersecurity risk. They regularly report directly to the Audit and Finance Committee or the Board of Directors on our cybersecurity program and our efforts to prevent, detect, mitigate and remediate cybersecurity incidents. In addition, we have an escalation process in place to inform senior management and the Board of Directors of any material issues as they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2. </w:t>
      </w:r>
      <w:r>
        <w:rPr>
          <w:rFonts w:ascii="Times New Roman;serif" w:hAnsi="Times New Roman;serif"/>
          <w:b/>
          <w:i/>
          <w:color w:val="000000"/>
          <w:sz w:val="20"/>
        </w:rPr>
        <w:t>Properties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headquarters is located in Wilmington, Delaware, where we conduct global clinical development and commercial operations. We own three buildings comprising approximately 541,000 square feet of laboratory and office space at this 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2024, we purchased additional property in Wilmington, Delaware, including land, office buildings and parking garages, adding an additional approximately 517,000 square feet of office space in Wilmington, Delaware. During December 2025, the downtown Wilmington properties that we acquired in May 2024 met the criteria to be classified as assets held for sale on our consolidated balance sheet as of December 31, 2025. As a result of this classification, we recorded an asset impairment charge on our consolidated statement of operations relating to the downtown Wilmington properties as of December 31, 2025. Additional information relating to the asset impairment can be found in Note 8 of Notes to the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lease approximately 116,000 square feet of office space in Chadds Ford, Pennsylvania.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conduct clinical development and commercial operations from our European headquarters in Morges, Switzerland and our Tokyo and Shanghai offices in East Asia. Our large molecule production facility is located in Yverdon, Switzerland. Our Canadian office is in Montreal.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Legal Proceedings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party to legal proceedings in the course of our business. The outcome of any such proceedings, regardless of the merits, is inherently uncertain. Legal proceedings, including litigation, government investigations and enforcement actions, can result in significant costs and occupy significant management resources. We do not expect any current legal proceedings to have a material adverse impact on our business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executive officers are as follows:</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William J. Meury</w:t>
      </w:r>
      <w:r>
        <w:rPr>
          <w:rFonts w:ascii="Times New Roman;serif" w:hAnsi="Times New Roman;serif"/>
          <w:b w:val="false"/>
          <w:color w:val="000000"/>
          <w:sz w:val="20"/>
        </w:rPr>
        <w:t>, age 57, joined Incyte in June 2025 as President and Chief Executive Officer. Prior to joining Incyte, Mr. Meury served as President and Chief Executive Officer of Anthos Therapeutics, Inc., a privately-held biopharmaceutical company, from April 2024 until its acquisition by Novartis in April 2025. From January 2023 through March 2024, Mr. Meury served as President and Chief Executive Officer of Karuna Therapeutics, Inc., a publicly traded biopharmaceutical company that was acquired by Bristol-Myers Squibb Company. From May 2020 through December 2022, Mr. Meury served as a Partner at Hildred Capital Management, a private equity firm focusing on the healthcare industry. Prior to joining Hildred Capital Management, Mr. Meury served as the Chief Commercial Officer of Allergan plc, a global pharmaceutical company, from May 2016 through its acquisition by AbbVie Inc. in May 2020. Mr. Meury previously served as Allergan’s President, Branded Pharma from March 2015 to May 2016 and joined Allergan in July 2014 as Executive Vice President, Commercial, North American Brands. He has significant experience in launching and commercializing healthcare products. Prior to joining Allergan, Mr. Meury served as Executive Vice President, Sales and Marketing at Forest Laboratories, Inc., a specialty pharmaceutical company that was acquired by Actavis plc in July 2014. He joined Forest in 1993 and held multiple roles of increasing responsibility in marketing, new products, business development, and sales. Before joining Forest, Mr. Meury worked in public accounting for Reznick, Fedder &amp; Silverman and in financial reporting for MCI Communications, Inc. Mr. Meury earned his B.A. in Economics from the University of Maryland.</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 xml:space="preserve">Soni Basi, </w:t>
      </w:r>
      <w:r>
        <w:rPr>
          <w:rFonts w:ascii="Times New Roman;serif" w:hAnsi="Times New Roman;serif"/>
          <w:b w:val="false"/>
          <w:color w:val="000000"/>
          <w:sz w:val="20"/>
        </w:rPr>
        <w:t>age 51, joined Incyte in August 2025 as Executive Vice President and Chief Human Resources Officer (CHRO). Ms. Basi has more than 25 years of experience in global HR and business leadership and is recognized for leading high-performing teams and guiding organizations through transformation. Before joining Incyte, Ms. Basi provided professional consulting services through SKB People Advisory, a private consulting practice, from June 2024 until August 2025, and served as CHRO at Edelman, a strategic global communications firm, from May 2022 to May 2024. Prior to Edelman, Ms. Basi was the Head of Global Talent Management at American International Group, Inc., a global insurance organization, from August 2020 to April 2022, and she previously held senior talent leadership roles at Allergan Pharmaceuticals, The Estée Lauder Companies and Schering-Plough. Ms. Basi earned her M.A. and Ph.D. in Social Psychology from Bowling Green State University.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 xml:space="preserve">Pablo J. Cagnoni, </w:t>
      </w:r>
      <w:r>
        <w:rPr>
          <w:rFonts w:ascii="Times New Roman;serif" w:hAnsi="Times New Roman;serif"/>
          <w:b w:val="false"/>
          <w:color w:val="000000"/>
          <w:sz w:val="20"/>
        </w:rPr>
        <w:t>age 63, joined Incyte in June 2023 as President and Head of Research and Development. From November 2022 to May 2023, Dr. Cagnoni served as Chief Executive of Laronde (now Sail Biomedicines), a Flagship Pioneering Company, and Executive Partner at Flagship Pioneering. Prior to joining Laronde and Flagship, he served as President and Chief Executive Officer of Rubius Therapeutics, Inc., a biotechnology company, from June 2018 until November 2022. From May 2015 until June 2018, Dr. Cagnoni served as President and Chief Executive Officer of Tizona Therapeutics, Inc., a privately held biotechnology company. Dr. Cagnoni previously served as President of Onyx Pharmaceuticals, Inc., a biopharmaceutical company, from October 2013 to April 2015 and Executive Vice President, Global Research and Development and Technical Operations from March 2013 to October 2013. Prior to Onyx, Dr. Cagnoni was Senior Vice President and Global Head of Clinical Development at Novartis Oncology from October 2009 to March 2013. From 2007 to 2009, Dr. Cagnoni was Senior Vice President and Chief Medical Officer at Allos Therapeutics (acquired by Spectrum Pharmaceuticals) and, prior to that, Chief Medical Officer of OSI Pharmaceuticals (acquired by Astellas Pharma Inc.). Dr. Cagnoni received an M.D. from the University Buenos Aires School of Medicine and completed post-doctoral work in Hematology and Oncology at the Mount Sinai Medical Center, New York, and in Stem Cell Transplantation at the University of Colorado Health Sciences Center.</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 xml:space="preserve">David Gardner, </w:t>
      </w:r>
      <w:r>
        <w:rPr>
          <w:rFonts w:ascii="Times New Roman;serif" w:hAnsi="Times New Roman;serif"/>
          <w:b w:val="false"/>
          <w:color w:val="000000"/>
          <w:sz w:val="20"/>
        </w:rPr>
        <w:t>age 43, joined Incyte in September 2025 as Executive Vice President and Chief Strategy Officer. Mr. Gardner has more than 20 years of experience in biopharmaceutical investing and advising, most recently at Rock Springs Capital Management from May 2015 until September 2025, where he led strategy across Oncology, Neurology, Immunology and Rare Diseases in multiple roles of increasing responsibility. Prior to Rock Springs, Mr. Gardner spent a decade at BlackRock as Vice President and Equity Research Analyst where he was responsible for investments across the healthcare sector. Mr. Gardner holds an M.B.A. from Columbia Business School and a bachelor’s degree from the University of Virginia’s McIntire School of Commerce.</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Lee Heeson,</w:t>
      </w:r>
      <w:r>
        <w:rPr>
          <w:color w:val="000000"/>
        </w:rPr>
        <w:t xml:space="preserve"> </w:t>
      </w:r>
      <w:r>
        <w:rPr>
          <w:rFonts w:ascii="Times New Roman;serif" w:hAnsi="Times New Roman;serif"/>
          <w:b w:val="false"/>
          <w:color w:val="000000"/>
          <w:sz w:val="20"/>
        </w:rPr>
        <w:t>age 55, joined Incyte in October 2024 as Executive Vice President, Incyte International. Prior to joining Incyte, Mr. Heeson was Executive Vice President, Commercial International, of Seagen Inc., a biopharmaceutical company, from February 2022 to September 2024. From February 2020 to February 2022, he was President International of Vifor Pharma Ltd., a pharmaceuticals company. From October 2013 to January 2020, he held senior roles at Celgene Corporation, a biopharmaceutical company, most recently as President of Worldwide Markets, Inflammation &amp; Immunology. Earlier in his career, Mr. Heeson held leadership positions at Galderma and Schering-Plough. Mr. Heeson holds a B.A., with honors, from Sheffield Hallam University.</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 xml:space="preserve">Richard Hoffman, </w:t>
      </w:r>
      <w:r>
        <w:rPr>
          <w:rFonts w:ascii="Times New Roman;serif" w:hAnsi="Times New Roman;serif"/>
          <w:b w:val="false"/>
          <w:color w:val="000000"/>
          <w:sz w:val="20"/>
        </w:rPr>
        <w:t>age 64, joined Incyte in December 2025 as Executive Vice President and General Counsel. Mr. Hoffman has more than 20 years of experience advising and supporting biopharmaceutical and life science companies. Prior to joining Incyte, he was a Partner in the Life Sciences group at Goodwin Procter LLP from October 2016 to October 2025, where he counseled a diverse portfolio of emerging and established biopharma organizations on corporate governance, strategic transactions, financings and litigation. Earlier in his career, Mr. Hoffman was a partner at WilmerHale and he has previously held senior leadership positions in the biotechnology industry at Hybridon and Avitech. He holds a B.A. from Harvard College, a J.D. from Columbia Law School and an M.B.A. from The Wharton School of the University of Pennsylvania.</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 xml:space="preserve">Mohamed Issa, </w:t>
      </w:r>
      <w:r>
        <w:rPr>
          <w:rFonts w:ascii="Times New Roman;serif" w:hAnsi="Times New Roman;serif"/>
          <w:b w:val="false"/>
          <w:color w:val="000000"/>
          <w:sz w:val="20"/>
        </w:rPr>
        <w:t>age 43, joined Incyte in January 2025 as Executive Vice President, Head of US Oncology. He has more than 20 years of global leadership experience in pharmaceuticals, consumer healthcare and med-tech, with expertise spanning strategy, commercialization and business development. Before joining Incyte, he spent 13 years at Johnson &amp; Johnson, where he held senior roles leading U.S. Immunology, Neuroscience and Oncology businesses, most recently as Senior Vice President, US Immunology of Janssen Pharmaceuticals. Earlier in his career, he was co-founder and CEO of a consumer healthcare company and held various roles in sales, brand management and strategy in biopharmaceuticals. Dr. Issa holds a Pharm.D. from St. John’s University and an M.B.A. in finance and economics from New York University’s Stern School of Business.</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Michael Morrissey</w:t>
      </w:r>
      <w:r>
        <w:rPr>
          <w:rFonts w:ascii="Times New Roman;serif" w:hAnsi="Times New Roman;serif"/>
          <w:b w:val="false"/>
          <w:color w:val="000000"/>
          <w:sz w:val="20"/>
        </w:rPr>
        <w:t>, age 62, has served as Executive Vice President and Head of Global Technical Operations since June 2019 and joined Incyte in January 2016 as Corporate Senior Vice President and Head of Global Technical Operations. He has more than 30 years of global pharmaceutical industry experience through his prior positions in Research and Development, Quality Assurance, and Manufacturing. From February 2005 until joining Incyte, Mr. Morrissey worked at Celgene International, a subsidiary of Celgene Corporation, a biopharmaceutical company, where he last served as Corporate Vice President, Head of International Technical Operations. Prior to Celgene, he worked for Roche for 15 years in various positions. Mr. Morrissey received a B.Sc. in Physics and Applied Mathematics from the University of London, United Kingdom.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 xml:space="preserve">Steven Stein, </w:t>
      </w:r>
      <w:r>
        <w:rPr>
          <w:rFonts w:ascii="Times New Roman;serif" w:hAnsi="Times New Roman;serif"/>
          <w:b w:val="false"/>
          <w:color w:val="000000"/>
          <w:sz w:val="20"/>
        </w:rPr>
        <w:t>age 59, has served as Executive Vice President and Chief Medical Officer since May 2016 and joined Incyte as Senior Vice President and Chief Medical Officer in March 2015. Prior to joining Incyte, from May 2011 to February 2015, he was the Senior Vice President, U.S. Clinical Development &amp; Medical Affairs at Novartis Pharmaceuticals. From February 2004 to April 2011, Dr. Stein was the Vice President, Global Oncology, Clinical Development and the Head of Medicines Development for Hematology and Supportive Care for GlaxoSmithKline. Dr. Stein held a post-doctoral fellowship in hematology/oncology at the University of Pennsylvania from 1998 to 2001, and earned his M.D. from the University of Witwatersrand in Johannesburg, South Africa, in 1990.</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Matteo Trotta,</w:t>
      </w:r>
      <w:r>
        <w:rPr>
          <w:color w:val="000000"/>
        </w:rPr>
        <w:t xml:space="preserve"> </w:t>
      </w:r>
      <w:r>
        <w:rPr>
          <w:rFonts w:ascii="Times New Roman;serif" w:hAnsi="Times New Roman;serif"/>
          <w:b w:val="false"/>
          <w:color w:val="000000"/>
          <w:sz w:val="20"/>
        </w:rPr>
        <w:t>age 47, joined Incyte as Executive Vice President, General Manager, Dermatology US in March 2024. Prior to joining Incyte, Mr. Trotta served as the Head of Novartis U.S. Immunology, where he led a 400-person organization across dermatology, rheumatology, auto-inflammatory, rare diseases and allergy. He additionally held leadership roles in U.S. marketing and sales, enterprise strategy and global manufacturing and quality. Before joining Novartis in 2012, he was an Engagement Manager at McKinsey &amp; Company, where he served pharmaceutical and payor clients as part of their healthcare practice. Mr. Trotta received his Engineering Degree from Politecnico di Torino, his M.S. in Engineering from the University of Illinois Chicago, and his M.B.A. from Columbia Business School.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5.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$.001 par value per share, is traded on The Nasdaq Global Select Market under the symbol “INCY.” As of December 31, 2025, our common stock was held by 97 stockholders of record. We have never declared or paid dividends on our capital stock and do not anticipate paying any dividends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6. </w:t>
      </w:r>
      <w:r>
        <w:rPr>
          <w:rFonts w:ascii="Times New Roman;serif" w:hAnsi="Times New Roman;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7. </w:t>
      </w:r>
      <w:r>
        <w:rPr>
          <w:rFonts w:ascii="Times New Roman;serif" w:hAnsi="Times New Roman;serif"/>
          <w:b/>
          <w:i/>
          <w:color w:val="000000"/>
          <w:sz w:val="20"/>
        </w:rPr>
        <w:t xml:space="preserve">Management’s Discussion and Analysis of Financial Condition and Results of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financial condition and results of operations should be read in conjunction with the Consolidated Financial Statements and related Notes included elsewhere in this report.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A discussion of our financial performance for the year ended December 31, 2025 as compared to the year ended December 31, 2024 appears below under the captions “Results of Operations” and “Liquidity and Capital Resources.” A discussion of our financial performance for the year ended December 31, 2024 compared to the year ended December 31, 2023 can be found under the same captions in Item 7 of our Annual Report on Form 10-K for the year ended December 31, 2024, filed with the SEC on February 10, 2025, which is available free of charge on the SEC’s website at </w:t>
      </w:r>
      <w:r>
        <w:rPr>
          <w:rFonts w:ascii="Times New Roman;serif" w:hAnsi="Times New Roman;serif"/>
          <w:b w:val="false"/>
          <w:i/>
          <w:color w:val="000000"/>
          <w:sz w:val="20"/>
        </w:rPr>
        <w:t>www.sec.gov</w:t>
      </w:r>
      <w:r>
        <w:rPr>
          <w:color w:val="000000"/>
        </w:rPr>
        <w:t xml:space="preserve"> </w:t>
      </w:r>
      <w:r>
        <w:rPr>
          <w:rFonts w:ascii="Times New Roman;serif" w:hAnsi="Times New Roman;serif"/>
          <w:b w:val="false"/>
          <w:color w:val="000000"/>
          <w:sz w:val="20"/>
        </w:rPr>
        <w:t xml:space="preserve">and our Investor Relations website at </w:t>
      </w:r>
      <w:r>
        <w:rPr>
          <w:rFonts w:ascii="Times New Roman;serif" w:hAnsi="Times New Roman;serif"/>
          <w:b w:val="false"/>
          <w:i/>
          <w:color w:val="000000"/>
          <w:sz w:val="20"/>
        </w:rPr>
        <w:t>investor.incyte.com/financials/annual-reports</w:t>
      </w:r>
      <w:r>
        <w:rPr>
          <w:rFonts w:ascii="Times New Roman;serif" w:hAnsi="Times New Roman;serif"/>
          <w:b w:val="false"/>
          <w:color w:val="000000"/>
          <w:sz w:val="20"/>
        </w:rPr>
        <w:t xml:space="preserve">. These website addresses are intended to be inactive, textual references only. None of the materials on, or accessible through, these websites are part of this report or are incorporated by reference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headquarters in Tokyo and our Canadian headquarters in Montreal.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in three therapeutic areas that are defined by the indications of our approved medicines and the diseases for which our clinical candidates are being developed. These therapeutic areas are: Hematology, Oncology, and Inflammation and Autoimmunity (“IAI”). We are also eligible to receive milestones and royalties on molecules discovered by us and licensed to third parties.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portfolio focuses on areas of high unmet medical need and includes compounds in various stages, ranging from preclinical to late-stage development and commercialized products. Our approved products are JAKAFI (ruxolitinib), ICLUSIG (ponatinib), PEMAZYRE (pemigatinib), OPZELURA (ruxolitinib cream), MINJUVI (tafasitamab), MONJUVI (tafasitamab-cxix) and ZYNYZ (retifanlimab-dlwr), as well as NIKTIMVO (axatilimab-csfr) which is co-commercialized.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revenues depend on continued sales of our products, and we depend substantially on product revenues from JAKAFI. We must develop and commercialize new products to achieve revenue growth and to offset revenue losses from the loss of product exclusivity of JAKAFI in 2028 and the launch of competing products. For additional information, including information on the expirations of patents for various products, see Part I, Item 1 of this report, under the headings “Business—Patents, Other Intellectual Property, and Product Exclusivity” and “Business—Competition.” We devote substantial resources to research and development activities and to acquire rights to new product candidates and technologies, but successful product development in the biopharmaceutical industry is highly uncertain.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revenues also face challenges from economic conditions and drug pricing initiatives driven by governments and private payors. See Part I, Item 1A, “Risk Factors” of this report for a further discussion of certain factors that could impact our future product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License Agreements, Business Relationships and Acquisitions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Significant Estimates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the consolidated financial statements. See Note 1 of Notes to the Consolidated Financial Statements for a complete list of our significant accounting policies.</w:t>
      </w:r>
    </w:p>
    <w:p>
      <w:pPr>
        <w:pStyle w:val="TextBody"/>
        <w:bidi w:val="0"/>
        <w:spacing w:lineRule="auto" w:line="288" w:before="240" w:after="283"/>
        <w:ind w:left="0" w:right="0" w:firstLine="720"/>
        <w:jc w:val="both"/>
        <w:rPr/>
      </w:pP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We recognize revenue only when we have satisfied a performance obligation through transferring control of the promised good or service to a customer in an amount that reflects the consideration we expect to receive in exchange for those goods or services.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at a point in time. We also assess collectability based primarily on the customer’s payment history and on the creditworthiness of the customer.</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Product Revenues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the Medicaid Drug Rebate Program and Medicare Part D prescription drug coverage reimbursements in the United States and mandated discounts in Europe.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 As of December 31, 2025, a 5% change in our sales allowance and accruals would have had an approximate $103.8 million impact on our income before taxes.</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Customer Credits:</w:t>
      </w:r>
      <w:r>
        <w:rPr>
          <w:color w:val="000000"/>
        </w:rPr>
        <w:t xml:space="preserve"> </w:t>
      </w:r>
      <w:r>
        <w:rPr>
          <w:rFonts w:ascii="Times New Roman;serif" w:hAnsi="Times New Roman;serif"/>
          <w:b w:val="false"/>
          <w:color w:val="000000"/>
          <w:sz w:val="20"/>
        </w:rPr>
        <w:t>Our customers are offered various forms of consideration, including allowances, service fees 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Rebates and Discounts:</w:t>
      </w:r>
      <w:r>
        <w:rPr>
          <w:color w:val="000000"/>
        </w:rPr>
        <w:t xml:space="preserve"> </w:t>
      </w:r>
      <w:r>
        <w:rPr>
          <w:rFonts w:ascii="Times New Roman;serif" w:hAnsi="Times New Roman;serif"/>
          <w:b w:val="false"/>
          <w:color w:val="000000"/>
          <w:sz w:val="20"/>
        </w:rPr>
        <w:t xml:space="preserve">We accrue rebates for mandated discounts under the Medicaid Drug Rebate Program in the United States and mandated discounts in Europe in markets where government-sponsored healthcare systems are the primary payors for healthcare. These accruals are based on statutory discount rates and expected utilization as well as historical data we have accumulated since product launch.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estimates for expected utilization of commercial insurance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Chargebacks: </w:t>
      </w:r>
      <w:r>
        <w:rPr>
          <w:rFonts w:ascii="Times New Roman;serif" w:hAnsi="Times New Roman;serif"/>
          <w:b w:val="false"/>
          <w:color w:val="000000"/>
          <w:sz w:val="20"/>
        </w:rPr>
        <w:t>Chargebacks are discounts that occur when certain indirect contracted customers purchase directly from our wholesalers at a discounted price. The wholesalers, in turn, charge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Medicare Part D Rebates:</w:t>
      </w:r>
      <w:r>
        <w:rPr>
          <w:color w:val="000000"/>
        </w:rPr>
        <w:t xml:space="preserve"> </w:t>
      </w:r>
      <w:r>
        <w:rPr>
          <w:rFonts w:ascii="Times New Roman;serif" w:hAnsi="Times New Roman;serif"/>
          <w:b w:val="false"/>
          <w:color w:val="000000"/>
          <w:sz w:val="20"/>
        </w:rPr>
        <w:t>Changes to our Medicare Part D prescription drug coverage reimbursements (“Part D Discount Program”) became effective January 1, 2025 pursuant to the Inflation Reduction Act of 2022. Under the revised Part D Discount Program,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In 2025, we saw a reduction in our sales allowances owed under Medicare Part D, due to changes to the Part D Discount Program.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changes in the Medicare Part D Discount Program effective January 1, 2025, the Medicare Part D prescription drug benefit previously mandated manufacturers to fund 70% of the Medicare Part D insurance coverage gap for prescription drugs sold to eligible patients. Our estimates for the expected Medicare Part D coverage gap were based on historical invoices received and in part from data received from our customers.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Funding of the Medicare Part D Discount Program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Co-payment Assistance:</w:t>
      </w:r>
      <w:r>
        <w:rPr>
          <w:color w:val="000000"/>
        </w:rPr>
        <w:t xml:space="preserve"> </w:t>
      </w:r>
      <w:r>
        <w:rPr>
          <w:rFonts w:ascii="Times New Roman;serif" w:hAnsi="Times New Roman;serif"/>
          <w:b w:val="false"/>
          <w:color w:val="000000"/>
          <w:sz w:val="20"/>
        </w:rPr>
        <w:t>Patients who have commercial insurance and meet certain eligibility requirements may receive co-payment assistance. We accrue a liability for co-payment assistance based on actual program participation and estimates of program redemption using data provided by third-party administrators.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Product Royalty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revenues on commercial sales for JAKAVI and TABRECTA by Novartis are estimated based on information provided by Novartis. Royalty revenues on commercial sales for OLUMIANT by Lilly are estimated based on information provided by Lilly. We recognize royalty revenues in the period the sales occur. We exercise judgment in determining whether the information provided is sufficiently reliable for us to base our royalty revenue recognition thereon. If actual royalties vary from estimates, we may need to adjust the prior period, which would affect royalty revenue and receivables in the period of adjustment. Historically, adjustments to these estimates to reflect actual royalty revenues have not been material to our financial results and have been less than 1% of royalty revenues.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Milestone and Contract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inception of a contract, we determine the transaction price, in addition to any upfront payment, by estimating the amount of variable consideration, including milestone payments, at the outset of the contract utilizing the most likely amount method. Our contractual milestones typically relate to the achievement of pre-specified development, regulatory and commercialization events outside of our control, such as regulatory approval of a compound, first patient dosing or achievement of sales-based thresholds. We include milestones in the transaction price only to the extent that it is probable that a significant reversal in the amount of cumulative revenue recognized will not occur when the uncertainty associated with the milestone is subsequently resolved. Given the high level of uncertainty of achievement, variable consideration associated with milestones are fully constrained until confirmation of the satisfaction or completion of the milestone by the third-party. We review our estimate of the transaction price each period, and make revisions to such estimates as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i/>
          <w:color w:val="000000"/>
          <w:sz w:val="20"/>
        </w:rPr>
        <w:t>Stock Compensation.</w:t>
      </w:r>
      <w:r>
        <w:rPr>
          <w:color w:val="000000"/>
        </w:rPr>
        <w:t xml:space="preserve"> </w:t>
      </w:r>
      <w:r>
        <w:rPr>
          <w:rFonts w:ascii="Times New Roman;serif" w:hAnsi="Times New Roman;serif"/>
          <w:b w:val="false"/>
          <w:color w:val="000000"/>
          <w:sz w:val="20"/>
        </w:rPr>
        <w:t>Share-based payment transactions with employees, which include stock options, restricted stock units (“RSUs”) and performance shares (“PSUs”), are recognized as compensation expense over the requisite service period based on their estimated fair values at the date of grant as well as expected forfeiture rates based on actual experience, subject to customary retirement provisions that may accelerate the requisite service period for expense recognition purposes. The stock compensation process requires the use of estimates, particularly surrounding Black-Scholes assumptions such as stock price volatility over the option term and expected option lives, as well as expected forfeiture rates and the probability of PSUs vesting. For the years ending December 31, 2025 and 2024, our Black-Scholes assumptions included a weighted-average stock price volatility of 29% in 2025 and 30% in 2024, and average expected option life of approximately five years. The average risk-free interest rate assumption used in the Black-Scholes valuations decreased from 4.15% in 2024 to 4.10% in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w:t>
      </w:r>
    </w:p>
    <w:p>
      <w:pPr>
        <w:pStyle w:val="TextBody"/>
        <w:bidi w:val="0"/>
        <w:spacing w:lineRule="auto" w:line="288" w:before="240" w:after="283"/>
        <w:ind w:left="0" w:right="0" w:firstLine="720"/>
        <w:jc w:val="both"/>
        <w:rPr/>
      </w:pPr>
      <w:r>
        <w:rPr>
          <w:rFonts w:ascii="Times New Roman;serif" w:hAnsi="Times New Roman;serif"/>
          <w:b/>
          <w:i/>
          <w:color w:val="000000"/>
          <w:sz w:val="20"/>
        </w:rPr>
        <w:t>Income Taxes.</w:t>
      </w:r>
      <w:r>
        <w:rPr>
          <w:color w:val="000000"/>
        </w:rPr>
        <w:t xml:space="preserve"> </w:t>
      </w:r>
      <w:r>
        <w:rPr>
          <w:rFonts w:ascii="Times New Roman;serif" w:hAnsi="Times New Roman;serif"/>
          <w:b w:val="false"/>
          <w:color w:val="000000"/>
          <w:sz w:val="20"/>
        </w:rPr>
        <w:t>We account for income taxes using an asset and liability approach to financial accounting for income 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estimates and prepare and file tax returns in various jurisdictions across the United States, Canada, Europe and Asia based upon our interpretation of local tax laws and regulations. While we exercise significant judgment when applying complex tax laws and regulations in these various taxing jurisdictions, many of our tax returns are open to audit and we may be subject to future tax, interest, and penalty assessments.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estimates for the valuation allowances against certain deferred tax assets and the amount of benefits associated with uncertain tax positions recognized in our financial statements are appropriate based upon our assessment of the factors mentioned above. Given we do not record a valuation allowance on the majority of our U.S. deferred tax assets, we expect that our reported income tax expense (current plus deferred) for future periods will be higher than that recorded for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Years Ended December 31, 2025 and 2024</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net income for the years ended December 31, 2025 and 2024 of $1,286.7 million and $32.6 million, respectively. On a per share basis, basic net income was $6.59 and diluted net income was $6.41 for the year ended December 31, 2025. On a per share basis, basic net income was $0.16 and diluted net income was $0.15 for the year ended December 31,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tbl>
      <w:tblPr>
        <w:tblW w:w="5769" w:type="dxa"/>
        <w:jc w:val="left"/>
        <w:tblInd w:w="0" w:type="dxa"/>
        <w:tblLayout w:type="fixed"/>
        <w:tblCellMar>
          <w:top w:w="28" w:type="dxa"/>
          <w:left w:w="28" w:type="dxa"/>
          <w:bottom w:w="28" w:type="dxa"/>
          <w:right w:w="28" w:type="dxa"/>
        </w:tblCellMar>
      </w:tblPr>
      <w:tblGrid>
        <w:gridCol w:w="1169"/>
        <w:gridCol w:w="1025"/>
        <w:gridCol w:w="1031"/>
        <w:gridCol w:w="211"/>
        <w:gridCol w:w="766"/>
        <w:gridCol w:w="109"/>
        <w:gridCol w:w="109"/>
        <w:gridCol w:w="109"/>
        <w:gridCol w:w="109"/>
        <w:gridCol w:w="211"/>
        <w:gridCol w:w="766"/>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w:t>
              <w:br/>
              <w:t xml:space="preserve">December 31, </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JAKAFI revenues,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OPZELURA revenues,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ICLUSIG revenues,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PEMAZYRE revenues,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MINJUVI/MONJUVI revenues,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NIKTIMVO revenues,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ZYNYZ revenues,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revenues,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JAKAVI product royalty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OLUMIANT product royalty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TABRECTA product royalty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royalty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royalty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JAKAFI product revenues from 2024 to 2025 was primarily driven by an increase in paid demand across all indications. JAKAFI inventory levels were within normal range at the end of the fourth quarter of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OPZELURA net product revenues from 2024 to 2025 was primarily due to increased patient demand and refills in the U.S. in both atopic dermatitis and vitiligo. Additionally, $130.0 million of net product revenues for 2025 were from outside of the U.S., driven by continued uptake in France and Italy to treat vitiligo. OPZELURA inventory levels were within normal range at the end of the fourth quarter of 2025.</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NIKTIMVO net product revenues for 2025 reflect continued strong uptake of the product following its commercial launch during the first quarter of 2025.</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ZYNYZ net product revenues from 2024 to 2025 was primarily driven by the approval of the product in squamous cell anal carcinoma in the second quarter of 2025.</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total royalty revenues from 2024 to 2025 was primarily driven by growth in JAKAVI royalty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revenues may fluctuate from period to period due to our customers’ purchasing patterns over the course of a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activity with respect to our sales allowances and accruals (in thousands):</w:t>
      </w:r>
    </w:p>
    <w:tbl>
      <w:tblPr>
        <w:tblW w:w="10205" w:type="dxa"/>
        <w:jc w:val="left"/>
        <w:tblInd w:w="0" w:type="dxa"/>
        <w:tblLayout w:type="fixed"/>
        <w:tblCellMar>
          <w:top w:w="28" w:type="dxa"/>
          <w:left w:w="28" w:type="dxa"/>
          <w:bottom w:w="28" w:type="dxa"/>
          <w:right w:w="28" w:type="dxa"/>
        </w:tblCellMar>
      </w:tblPr>
      <w:tblGrid>
        <w:gridCol w:w="1110"/>
        <w:gridCol w:w="940"/>
        <w:gridCol w:w="944"/>
        <w:gridCol w:w="109"/>
        <w:gridCol w:w="109"/>
        <w:gridCol w:w="109"/>
        <w:gridCol w:w="229"/>
        <w:gridCol w:w="785"/>
        <w:gridCol w:w="118"/>
        <w:gridCol w:w="109"/>
        <w:gridCol w:w="109"/>
        <w:gridCol w:w="109"/>
        <w:gridCol w:w="212"/>
        <w:gridCol w:w="834"/>
        <w:gridCol w:w="109"/>
        <w:gridCol w:w="109"/>
        <w:gridCol w:w="109"/>
        <w:gridCol w:w="109"/>
        <w:gridCol w:w="211"/>
        <w:gridCol w:w="721"/>
        <w:gridCol w:w="109"/>
        <w:gridCol w:w="109"/>
        <w:gridCol w:w="109"/>
        <w:gridCol w:w="109"/>
        <w:gridCol w:w="211"/>
        <w:gridCol w:w="721"/>
        <w:gridCol w:w="109"/>
        <w:gridCol w:w="109"/>
        <w:gridCol w:w="109"/>
        <w:gridCol w:w="109"/>
        <w:gridCol w:w="212"/>
        <w:gridCol w:w="834"/>
        <w:gridCol w:w="161"/>
      </w:tblGrid>
      <w:tr>
        <w:trPr/>
        <w:tc>
          <w:tcPr>
            <w:tcW w:w="111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Discounts and </w:t>
              <w:br/>
              <w:t>Distribution</w:t>
              <w:br/>
              <w:t>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Government</w:t>
              <w:br/>
              <w:t>Rebates and</w:t>
              <w:br/>
              <w:t>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Co-Pay</w:t>
              <w:br/>
              <w:t>Assistance</w:t>
              <w:br/>
              <w:t>and Other</w:t>
              <w:br/>
              <w:t>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2,091,893 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for prior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(1,650,771)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for prior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646,091 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U.S. government rebates and chargebacks are the most significant component of our sales allowances. Increases in certain U.S. government reimbursement rates are limited to a measure of inflation, and when the price of a drug increases faster than this measure of inflation it will result </w:t>
      </w:r>
      <w:r>
        <w:rPr>
          <w:rFonts w:ascii="Times New Roman;serif" w:hAnsi="Times New Roman;serif"/>
          <w:b w:val="false"/>
          <w:color w:val="000000"/>
          <w:sz w:val="20"/>
          <w:shd w:fill="FFFFFF" w:val="clear"/>
        </w:rPr>
        <w:t>in a penalty adjustment factor th</w:t>
      </w:r>
      <w:r>
        <w:rPr>
          <w:rFonts w:ascii="Times New Roman;serif" w:hAnsi="Times New Roman;serif"/>
          <w:b w:val="false"/>
          <w:color w:val="000000"/>
          <w:sz w:val="20"/>
        </w:rPr>
        <w:t xml:space="preserve">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brought a lawsuit against the U.S. Centers for Medicare and Medicaid Services (“CMS”) alleging that a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December 31, 2025, we have accrued approximately $218.5 million within accrued and other current liabilities on the consolidated balance sheet, relating to the incremental rebates that would be owed were OPZELURA considered a line extension of JAKAFI. The impact on OPZELURA gross to net deductions for the quarter ending December 31, 2025, is approximately 6.9%. If OPZELURA is not treated as a line extension of JAKAFI, this would result in a reversal of our accrual and a lower future gross to net deduction for OPZELURA.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by which we provide financial assistance to enable commercially-insured patients to afford their insurance premiums and co-pays, may fluctuate as the commercial insurance landscape evolves and may impact net revenues, particularly for drugs like OPZELURA. We also adjust our allowance for product returns based on new information regarding actual returns as it becomes available.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sales allowances to fluctuate from quarter to quarter as a result of the volume of purchases eligible for government mandated discounts and rebates as well as changes in discount percentages which are impacted by potential future price increases, rate of inflation, and other factors.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milestone and contract revenues were $150.0 million and $43.0 million for the years ended December 31, 2025 and 2024, respectively. During the year ended December 31, 2025, our milestone and contract revenues were derived from a combination of upfront payments received from our third party collaborators for the transfer of functional intellectual property, primarily the $100.0 million payment received from Lilly in the fourth quarter of 2025, as well as developmental milestones received from our third party collaborators. During the year ended December 31, 2024, our milestone and contract revenues were derived from a combination of upfront payments received from our third party collaborators for the transfer of functional intellectual property, as well as developmental milestones received from our third party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Product Revenues</w:t>
      </w:r>
    </w:p>
    <w:tbl>
      <w:tblPr>
        <w:tblW w:w="6579" w:type="dxa"/>
        <w:jc w:val="left"/>
        <w:tblInd w:w="0" w:type="dxa"/>
        <w:tblLayout w:type="fixed"/>
        <w:tblCellMar>
          <w:top w:w="28" w:type="dxa"/>
          <w:left w:w="28" w:type="dxa"/>
          <w:bottom w:w="28" w:type="dxa"/>
          <w:right w:w="28" w:type="dxa"/>
        </w:tblCellMar>
      </w:tblPr>
      <w:tblGrid>
        <w:gridCol w:w="1434"/>
        <w:gridCol w:w="1261"/>
        <w:gridCol w:w="1264"/>
        <w:gridCol w:w="246"/>
        <w:gridCol w:w="720"/>
        <w:gridCol w:w="127"/>
        <w:gridCol w:w="127"/>
        <w:gridCol w:w="127"/>
        <w:gridCol w:w="127"/>
        <w:gridCol w:w="246"/>
        <w:gridCol w:w="720"/>
        <w:gridCol w:w="180"/>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benefits related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Royalty expense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Profit share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definite-lived intangible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 revenues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product revenues includes all product related costs, reserves for obsolescence, employee personnel costs, including stock compensation, for those employees dedicated to the production of our commercial products, royalties and profit sharing under our collaborative agreements and amortization of our licensed intellectual property rights for ICLUSIG and the amortization of capitalized milestone payments. The increase in cost of product revenues from 2024 to 2025 was driven by growth in net product revenues, the NIKTIMVO profit share and increased manufacturing related costs, partially offset by the impact from the reduced royalty rate agreed to as part of the contract dispute settlement with Novartis discussed below.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 Dispute Settlement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further in Note 7 of Notes to the Consolidated Financial Statements, during May 2025, we and Novartis entered into a settlement agreement with respect to litigation initiated by Novartis relating to the duration of royalty payments owed by us to Novartis under our Collaboration and License Agreement. As of March 31, 2025, we had approximately $537.1 million of accrued royalties relating to the dispute with Novartis included in accrued and other current liabilities on our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The reduced royalty paid for the quarter ended March 31, 2025, was approximately $14.9 million. The difference of $242.2 million between the total accrued royalties and the total amount paid by us to Novartis as disclosed above was recorded in contract dispute settlement on our consolidated statement of operations for the year ended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tbl>
      <w:tblPr>
        <w:tblW w:w="6789" w:type="dxa"/>
        <w:jc w:val="left"/>
        <w:tblInd w:w="0" w:type="dxa"/>
        <w:tblLayout w:type="fixed"/>
        <w:tblCellMar>
          <w:top w:w="28" w:type="dxa"/>
          <w:left w:w="28" w:type="dxa"/>
          <w:bottom w:w="28" w:type="dxa"/>
          <w:right w:w="28" w:type="dxa"/>
        </w:tblCellMar>
      </w:tblPr>
      <w:tblGrid>
        <w:gridCol w:w="1508"/>
        <w:gridCol w:w="1328"/>
        <w:gridCol w:w="1333"/>
        <w:gridCol w:w="217"/>
        <w:gridCol w:w="790"/>
        <w:gridCol w:w="112"/>
        <w:gridCol w:w="112"/>
        <w:gridCol w:w="112"/>
        <w:gridCol w:w="112"/>
        <w:gridCol w:w="217"/>
        <w:gridCol w:w="790"/>
        <w:gridCol w:w="158"/>
      </w:tblGrid>
      <w:tr>
        <w:trPr/>
        <w:tc>
          <w:tcPr>
            <w:tcW w:w="150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benefits related</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Escient acquisition related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Escient IPR&amp;D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research and outside services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all other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research and development costs by natural expense line and not costs by project. Salary and benefits related expense increased from 2024 to 2025 due primarily to increased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 Additionally, as described in Note 5 of the Notes to the Consolidated Financial Statements, as part of the Escient acquisition, we recognized compensation expense in research and development of $11.3 million on our consolidated statements of operations during the year ended December 31, 2024 associated with the accelerated vesting for certain Escient stock awards in connection with the acquisition. Research and development expenses for the year ended December 31, 2024 also include the $679.4 million of expense related to the acquired in-process research and development assets as part of the Escient acquisition.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clinical research and outside services expense from 2024 to 2025 was primarily due to continued investment in our late-stage development assets. Research and development expenses include upfront and milestone expenses related to our collaborative agreements, which were $97.6 million and $104.4 million for the years ended December 31, 2025 and 2024, respectively. Research and development expenses for the years ended December 31, 2025 and 2024 were net of $16.0 million and $29.9 million, respectively, of costs reimbursed by our collaborative partners.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active pharmaceutical ingredients,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tbl>
      <w:tblPr>
        <w:tblW w:w="6805" w:type="dxa"/>
        <w:jc w:val="left"/>
        <w:tblInd w:w="0" w:type="dxa"/>
        <w:tblLayout w:type="fixed"/>
        <w:tblCellMar>
          <w:top w:w="28" w:type="dxa"/>
          <w:left w:w="28" w:type="dxa"/>
          <w:bottom w:w="28" w:type="dxa"/>
          <w:right w:w="28" w:type="dxa"/>
        </w:tblCellMar>
      </w:tblPr>
      <w:tblGrid>
        <w:gridCol w:w="1514"/>
        <w:gridCol w:w="1333"/>
        <w:gridCol w:w="1338"/>
        <w:gridCol w:w="217"/>
        <w:gridCol w:w="790"/>
        <w:gridCol w:w="112"/>
        <w:gridCol w:w="112"/>
        <w:gridCol w:w="112"/>
        <w:gridCol w:w="112"/>
        <w:gridCol w:w="217"/>
        <w:gridCol w:w="790"/>
        <w:gridCol w:w="158"/>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Salary and benefits related</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Escient acquisition related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contract services and outside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Salary and benefits related expense increased from 2024 to 2025 due primarily to increased headcount. Stock compensation expense may fluctuate from period to period based on the number of awards granted, stock price volatility and expected award lives, as well as expected award forfeiture rates which are used to value equity-based compensation. Additionally, as described in Note 5 of the Notes to the Consolidated Financial Statements, as part of the Escient acquisition, we recognized compensation expense in selling, general and administrative expenses of $20.2 million on our consolidated statements of operations during the year ended December 31, 2024 associated with the accelerated vesting for certain Escient stock awards in connection with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 impairment</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further in Note 8 of Notes to the Consolidated Financial Statements, during December 2025, the downtown Wilmington, Delaware properties that we acquired in May 2024 met the criteria to be classified as assets held for sale. As a result of this classification, we recorded an asset impairment charge of $76.3 million on our consolidated statement of operations for the year ended December 31, 2025 relating to the downtown Wilmington properties in order to reflect the properties at the lower of their carrying amount or estimated fair value less cost to sell as of December 31, 2025. The estimated fair value less cost to sell of the properties has been recorded within the Prepaid expenses and other current assets line item on our consolidated balance sheet as of December 31, 2025.</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(Gain) loss on change in fair value of acquisition-related contingent consideration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years ended December 31, 2025 and 2024 was a gain of $6.1 million and loss of $19.8 million, respectively, which is recorded in (gain) loss on change in fair value of acquisition-related contingent consideration on the consolidated statements of operations. The change in fair value of the contingent consideration during the years ended December 31, 2025 and 2024 was due primarily to updated projections of future net revenues and related royalties of ICLUSIG, including the impacts from fluctuations in foreign currency exchange rates, and the passage of time.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Non-operating Income and Expenses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for the years ended December 31, 2025 and 2024 was $105.6 million and $128.7 million, respectively. The decrease in Interest income for the year ended December 31, 2025 is primarily due to a lower interest rate environment in 2025 as compared to 2024.</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Gain on equity investments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Gains and losses on equity investments will fluctuate from period to period, based on sales of securities and the change in fair value of the securities we hold in our publicly held collaboration partners. The following table provides a summary of those gains and (losses): </w:t>
      </w:r>
    </w:p>
    <w:tbl>
      <w:tblPr>
        <w:tblW w:w="5702" w:type="dxa"/>
        <w:jc w:val="left"/>
        <w:tblInd w:w="0" w:type="dxa"/>
        <w:tblLayout w:type="fixed"/>
        <w:tblCellMar>
          <w:top w:w="28" w:type="dxa"/>
          <w:left w:w="28" w:type="dxa"/>
          <w:bottom w:w="28" w:type="dxa"/>
          <w:right w:w="28" w:type="dxa"/>
        </w:tblCellMar>
      </w:tblPr>
      <w:tblGrid>
        <w:gridCol w:w="1011"/>
        <w:gridCol w:w="888"/>
        <w:gridCol w:w="906"/>
        <w:gridCol w:w="284"/>
        <w:gridCol w:w="688"/>
        <w:gridCol w:w="146"/>
        <w:gridCol w:w="146"/>
        <w:gridCol w:w="146"/>
        <w:gridCol w:w="146"/>
        <w:gridCol w:w="284"/>
        <w:gridCol w:w="648"/>
        <w:gridCol w:w="146"/>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43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Agenus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Merus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MorphoSys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Syndax</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Prelude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on equity investments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years ended December 31, 2025 and 2024 was $377.8 million and $284.0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year ended December 31, 2025 was higher than the U.S. statutory rate primarily due to state income taxes and an increase in our valuation allowance against certain U.S. deferred tax assets. This was partially offset by tax rate benefits associated with research and development and orphan drug tax credit generations and the foreign derived intangible income deduction.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year ended December 31, 2024 was higher than the U.S. statutory rate primarily due to non-deductible charges of $710.9 million associated with the Escient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tbl>
      <w:tblPr>
        <w:tblW w:w="7673" w:type="dxa"/>
        <w:jc w:val="left"/>
        <w:tblInd w:w="0" w:type="dxa"/>
        <w:tblLayout w:type="fixed"/>
        <w:tblCellMar>
          <w:top w:w="28" w:type="dxa"/>
          <w:left w:w="28" w:type="dxa"/>
          <w:bottom w:w="28" w:type="dxa"/>
          <w:right w:w="28" w:type="dxa"/>
        </w:tblCellMar>
      </w:tblPr>
      <w:tblGrid>
        <w:gridCol w:w="1828"/>
        <w:gridCol w:w="1611"/>
        <w:gridCol w:w="1615"/>
        <w:gridCol w:w="211"/>
        <w:gridCol w:w="766"/>
        <w:gridCol w:w="109"/>
        <w:gridCol w:w="109"/>
        <w:gridCol w:w="109"/>
        <w:gridCol w:w="109"/>
        <w:gridCol w:w="211"/>
        <w:gridCol w:w="841"/>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investing activities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Sources and Uses of Cash</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available cash, cash equivalents and marketable securities of $3.6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Cash provided by operating activities.</w:t>
      </w:r>
      <w:r>
        <w:rPr>
          <w:color w:val="000000"/>
        </w:rPr>
        <w:t xml:space="preserve"> </w:t>
      </w:r>
      <w:r>
        <w:rPr>
          <w:rFonts w:ascii="Times New Roman;serif" w:hAnsi="Times New Roman;serif"/>
          <w:b w:val="false"/>
          <w:color w:val="000000"/>
          <w:sz w:val="20"/>
        </w:rPr>
        <w:t>The increase in cash provided by operating activities from 2024 to 2025 was primarily attributable to the changes in net income as a result of the contract dispute settlement during the second quarter of 2025 and the Escient acquisition during the second quarter of 2024, and changes in working capital.</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Cash (used in) provided by investing activities.</w:t>
      </w:r>
      <w:r>
        <w:rPr>
          <w:color w:val="000000"/>
        </w:rPr>
        <w:t xml:space="preserve"> </w:t>
      </w:r>
      <w:r>
        <w:rPr>
          <w:rFonts w:ascii="Times New Roman;serif" w:hAnsi="Times New Roman;serif"/>
          <w:b w:val="false"/>
          <w:color w:val="000000"/>
          <w:sz w:val="20"/>
        </w:rPr>
        <w:t>Our investing activities, other than purchases, sales and maturities of marketable securities, have consisted predominantly of capital expenditures and sales of long term investments. During 2025, net cash used in investing activities was $102.6 million, which primarily represented purchases of marketable securities of $295.5 million, capital expenditures of $58.9 million and payments for intangible assets of $25.0 million, offset in part by maturities of marketable securities of $284.6 million. During 2024, net cash provided by investing activities was $157.5 million, which primarily represented sales of equity investments of $284.8 million and maturity of marketable securities of $231.3 million, offset in part by purchases of marketable securities of $258.4 million, payments for intangible assets of $13.9 million, and capital expenditures of $86.3 million.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Cash provided by (used in) financing activities. </w:t>
      </w:r>
      <w:r>
        <w:rPr>
          <w:rFonts w:ascii="Times New Roman;serif" w:hAnsi="Times New Roman;serif"/>
          <w:b w:val="false"/>
          <w:color w:val="000000"/>
          <w:sz w:val="20"/>
        </w:rPr>
        <w:t xml:space="preserve">During 2025, net cash provided by financing activities was $101.0 million and was primarily driven by proceeds from the issuance of common stock under our stock plans net of tax withholdings, offset in part by excise taxes relating to the June 2024 share repurchase and cash paid to ARIAD/Takeda for contingent consideration. During 2024, net cash used in financing activities was $2.0 billion, and was primarily driven by expenditures associated with the share repurchase.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capital expenditures for construction activities and our non-operating contractual operating and finance lease obligations are discussed in Note 8 of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2021, we entered into a $500.0 million, senior unsecured revolving credit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December 31, 2025, we had no outstanding borrowings and were in compliance with all covenants under this facility. The Credit Agreement is described further in Note 17 of Notes to the Consolidated Financial Statements.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enactment of the One Big Beautiful Bill Act on July 4, 2025 modified key provisions of the Tax Cuts and Jobs Act of 2017. The legislation introduces multiple elections and features various effective dates, with some provisions effective in 2025 and others in subsequent years. The change related to the expensing of domestic research costs will materially reduce our U.S. tax liabilities in 2025 and 2026. We intend to continue to evaluate the impacts of these provisions for our tax return filing.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7A. </w:t>
      </w:r>
      <w:r>
        <w:rPr>
          <w:rFonts w:ascii="Times New Roman;serif" w:hAnsi="Times New Roman;serif"/>
          <w:b/>
          <w:i/>
          <w:color w:val="000000"/>
          <w:sz w:val="20"/>
        </w:rPr>
        <w:t>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investments in marketable securities, which are composed primarily of U.S. government securities, are subject to default, changes in credit rating and changes in market value. These investments are also subject to interest rate risk and will decrease in value if market interest rates increase. As of December 31, 2025, our marketable securities were $482.8 million. Due to the nature of these investments, if market interest rates were to increase immediately and uniformly by 10% from levels as of December 31, 2025, the decline in fair value would not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color w:val="000000"/>
          <w:sz w:val="20"/>
        </w:rPr>
        <w:t xml:space="preserve">Item 8. </w:t>
      </w:r>
      <w:r>
        <w:rPr>
          <w:rFonts w:ascii="Times New Roman;serif" w:hAnsi="Times New Roman;serif"/>
          <w:b/>
          <w:i/>
          <w:color w:val="000000"/>
          <w:sz w:val="20"/>
        </w:rPr>
        <w:t>Financial Statements and Supplementary Data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w:t>
      </w:r>
    </w:p>
    <w:tbl>
      <w:tblPr>
        <w:tblW w:w="9345" w:type="dxa"/>
        <w:jc w:val="left"/>
        <w:tblInd w:w="0" w:type="dxa"/>
        <w:tblLayout w:type="fixed"/>
        <w:tblCellMar>
          <w:top w:w="28" w:type="dxa"/>
          <w:left w:w="28" w:type="dxa"/>
          <w:bottom w:w="28" w:type="dxa"/>
          <w:right w:w="28" w:type="dxa"/>
        </w:tblCellMar>
      </w:tblPr>
      <w:tblGrid>
        <w:gridCol w:w="3201"/>
        <w:gridCol w:w="2813"/>
        <w:gridCol w:w="2820"/>
        <w:gridCol w:w="149"/>
        <w:gridCol w:w="149"/>
        <w:gridCol w:w="213"/>
      </w:tblGrid>
      <w:tr>
        <w:trPr/>
        <w:tc>
          <w:tcPr>
            <w:tcW w:w="3201"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Financial Statements of Incyte Corporation</w:t>
            </w:r>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d3ab262c4cbb44b5a5597cb827b9b977_100">
              <w:r>
                <w:rPr>
                  <w:rStyle w:val="InternetLink"/>
                  <w:rFonts w:ascii="Times New Roman;serif" w:hAnsi="Times New Roman;serif"/>
                  <w:b w:val="false"/>
                  <w:color w:val="000000"/>
                  <w:sz w:val="20"/>
                  <w:u w:val="single"/>
                </w:rPr>
                <w:t>Report of Ernst &amp; Young LLP, Independent Registered Public Accounting Firm</w:t>
              </w:r>
            </w:hyperlink>
            <w:r>
              <w:rPr>
                <w:color w:val="000000"/>
              </w:rPr>
              <w:t xml:space="preserve"> </w:t>
            </w:r>
            <w:r>
              <w:rPr>
                <w:rFonts w:ascii="Times New Roman;serif" w:hAnsi="Times New Roman;serif"/>
                <w:b w:val="false"/>
                <w:color w:val="000000"/>
                <w:sz w:val="20"/>
              </w:rPr>
              <w:t>(PCAOB ID: 42)</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00">
              <w:r>
                <w:rPr>
                  <w:rStyle w:val="InternetLink"/>
                  <w:rFonts w:ascii="Times New Roman;serif" w:hAnsi="Times New Roman;serif"/>
                  <w:b w:val="false"/>
                  <w:strike w:val="false"/>
                  <w:dstrike w:val="false"/>
                  <w:color w:val="000000"/>
                  <w:sz w:val="20"/>
                  <w:u w:val="none"/>
                  <w:effect w:val="none"/>
                </w:rPr>
                <w:t>72</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03">
              <w:r>
                <w:rPr>
                  <w:rStyle w:val="InternetLink"/>
                  <w:rFonts w:ascii="Times New Roman;serif" w:hAnsi="Times New Roman;serif"/>
                  <w:b w:val="false"/>
                  <w:color w:val="000080"/>
                  <w:sz w:val="20"/>
                  <w:u w:val="single"/>
                </w:rPr>
                <w:t>Consolidated Balance Sheets as of December 31, 202</w:t>
              </w:r>
            </w:hyperlink>
            <w:hyperlink w:anchor="id3ab262c4cbb44b5a5597cb827b9b977_103">
              <w:r>
                <w:rPr>
                  <w:rStyle w:val="InternetLink"/>
                  <w:rFonts w:ascii="Times New Roman;serif" w:hAnsi="Times New Roman;serif"/>
                  <w:b w:val="false"/>
                  <w:color w:val="000080"/>
                  <w:sz w:val="20"/>
                  <w:u w:val="single"/>
                </w:rPr>
                <w:t>5</w:t>
              </w:r>
            </w:hyperlink>
            <w:hyperlink w:anchor="id3ab262c4cbb44b5a5597cb827b9b977_103">
              <w:r>
                <w:rPr>
                  <w:rStyle w:val="InternetLink"/>
                  <w:rFonts w:ascii="Times New Roman;serif" w:hAnsi="Times New Roman;serif"/>
                  <w:b w:val="false"/>
                  <w:color w:val="000080"/>
                  <w:sz w:val="20"/>
                  <w:u w:val="single"/>
                </w:rPr>
                <w:t xml:space="preserve"> and 202</w:t>
              </w:r>
            </w:hyperlink>
            <w:hyperlink w:anchor="id3ab262c4cbb44b5a5597cb827b9b977_103">
              <w:r>
                <w:rPr>
                  <w:rStyle w:val="InternetLink"/>
                  <w:rFonts w:ascii="Times New Roman;serif" w:hAnsi="Times New Roman;serif"/>
                  <w:b w:val="false"/>
                  <w:color w:val="000080"/>
                  <w:sz w:val="20"/>
                  <w:u w:val="single"/>
                </w:rPr>
                <w:t>4</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03">
              <w:r>
                <w:rPr>
                  <w:rStyle w:val="InternetLink"/>
                  <w:rFonts w:ascii="Times New Roman;serif" w:hAnsi="Times New Roman;serif"/>
                  <w:b w:val="false"/>
                  <w:strike w:val="false"/>
                  <w:dstrike w:val="false"/>
                  <w:color w:val="000000"/>
                  <w:sz w:val="20"/>
                  <w:u w:val="none"/>
                  <w:effect w:val="none"/>
                </w:rPr>
                <w:t>74</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06">
              <w:r>
                <w:rPr>
                  <w:rStyle w:val="InternetLink"/>
                  <w:rFonts w:ascii="Times New Roman;serif" w:hAnsi="Times New Roman;serif"/>
                  <w:b w:val="false"/>
                  <w:color w:val="000080"/>
                  <w:sz w:val="20"/>
                  <w:u w:val="single"/>
                </w:rPr>
                <w:t>Consolidated Statements of Operations for the years ended December 31, 202</w:t>
              </w:r>
            </w:hyperlink>
            <w:hyperlink w:anchor="id3ab262c4cbb44b5a5597cb827b9b977_106">
              <w:r>
                <w:rPr>
                  <w:rStyle w:val="InternetLink"/>
                  <w:rFonts w:ascii="Times New Roman;serif" w:hAnsi="Times New Roman;serif"/>
                  <w:b w:val="false"/>
                  <w:color w:val="000080"/>
                  <w:sz w:val="20"/>
                  <w:u w:val="single"/>
                </w:rPr>
                <w:t>5</w:t>
              </w:r>
            </w:hyperlink>
            <w:hyperlink w:anchor="id3ab262c4cbb44b5a5597cb827b9b977_106">
              <w:r>
                <w:rPr>
                  <w:rStyle w:val="InternetLink"/>
                  <w:rFonts w:ascii="Times New Roman;serif" w:hAnsi="Times New Roman;serif"/>
                  <w:b w:val="false"/>
                  <w:color w:val="000080"/>
                  <w:sz w:val="20"/>
                  <w:u w:val="single"/>
                </w:rPr>
                <w:t>, 202</w:t>
              </w:r>
            </w:hyperlink>
            <w:hyperlink w:anchor="id3ab262c4cbb44b5a5597cb827b9b977_106">
              <w:r>
                <w:rPr>
                  <w:rStyle w:val="InternetLink"/>
                  <w:rFonts w:ascii="Times New Roman;serif" w:hAnsi="Times New Roman;serif"/>
                  <w:b w:val="false"/>
                  <w:color w:val="000080"/>
                  <w:sz w:val="20"/>
                  <w:u w:val="single"/>
                </w:rPr>
                <w:t>4</w:t>
              </w:r>
            </w:hyperlink>
            <w:hyperlink w:anchor="id3ab262c4cbb44b5a5597cb827b9b977_106">
              <w:r>
                <w:rPr>
                  <w:rStyle w:val="InternetLink"/>
                  <w:rFonts w:ascii="Times New Roman;serif" w:hAnsi="Times New Roman;serif"/>
                  <w:b w:val="false"/>
                  <w:color w:val="000080"/>
                  <w:sz w:val="20"/>
                  <w:u w:val="single"/>
                </w:rPr>
                <w:t xml:space="preserve"> and 202</w:t>
              </w:r>
            </w:hyperlink>
            <w:hyperlink w:anchor="id3ab262c4cbb44b5a5597cb827b9b977_106">
              <w:r>
                <w:rPr>
                  <w:rStyle w:val="InternetLink"/>
                  <w:rFonts w:ascii="Times New Roman;serif" w:hAnsi="Times New Roman;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06">
              <w:r>
                <w:rPr>
                  <w:rStyle w:val="InternetLink"/>
                  <w:rFonts w:ascii="Times New Roman;serif" w:hAnsi="Times New Roman;serif"/>
                  <w:b w:val="false"/>
                  <w:strike w:val="false"/>
                  <w:dstrike w:val="false"/>
                  <w:color w:val="000000"/>
                  <w:sz w:val="20"/>
                  <w:u w:val="none"/>
                  <w:effect w:val="none"/>
                </w:rPr>
                <w:t>75</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09">
              <w:r>
                <w:rPr>
                  <w:rStyle w:val="InternetLink"/>
                  <w:rFonts w:ascii="Times New Roman;serif" w:hAnsi="Times New Roman;serif"/>
                  <w:b w:val="false"/>
                  <w:color w:val="000080"/>
                  <w:sz w:val="20"/>
                  <w:u w:val="single"/>
                </w:rPr>
                <w:t>Consolidated Statements of Comprehensive Income</w:t>
              </w:r>
            </w:hyperlink>
            <w:hyperlink w:anchor="id3ab262c4cbb44b5a5597cb827b9b977_109">
              <w:r>
                <w:rPr>
                  <w:rStyle w:val="InternetLink"/>
                  <w:rFonts w:ascii="Times New Roman;serif" w:hAnsi="Times New Roman;serif"/>
                  <w:b w:val="false"/>
                  <w:color w:val="000080"/>
                  <w:sz w:val="20"/>
                  <w:u w:val="single"/>
                </w:rPr>
                <w:t xml:space="preserve"> for the years ended December 31, 202</w:t>
              </w:r>
            </w:hyperlink>
            <w:hyperlink w:anchor="id3ab262c4cbb44b5a5597cb827b9b977_109">
              <w:r>
                <w:rPr>
                  <w:rStyle w:val="InternetLink"/>
                  <w:rFonts w:ascii="Times New Roman;serif" w:hAnsi="Times New Roman;serif"/>
                  <w:b w:val="false"/>
                  <w:color w:val="000080"/>
                  <w:sz w:val="20"/>
                  <w:u w:val="single"/>
                </w:rPr>
                <w:t>5</w:t>
              </w:r>
            </w:hyperlink>
            <w:hyperlink w:anchor="id3ab262c4cbb44b5a5597cb827b9b977_109">
              <w:r>
                <w:rPr>
                  <w:rStyle w:val="InternetLink"/>
                  <w:rFonts w:ascii="Times New Roman;serif" w:hAnsi="Times New Roman;serif"/>
                  <w:b w:val="false"/>
                  <w:color w:val="000080"/>
                  <w:sz w:val="20"/>
                  <w:u w:val="single"/>
                </w:rPr>
                <w:t>, 202</w:t>
              </w:r>
            </w:hyperlink>
            <w:hyperlink w:anchor="id3ab262c4cbb44b5a5597cb827b9b977_109">
              <w:r>
                <w:rPr>
                  <w:rStyle w:val="InternetLink"/>
                  <w:rFonts w:ascii="Times New Roman;serif" w:hAnsi="Times New Roman;serif"/>
                  <w:b w:val="false"/>
                  <w:color w:val="000080"/>
                  <w:sz w:val="20"/>
                  <w:u w:val="single"/>
                </w:rPr>
                <w:t>4</w:t>
              </w:r>
            </w:hyperlink>
            <w:hyperlink w:anchor="id3ab262c4cbb44b5a5597cb827b9b977_109">
              <w:r>
                <w:rPr>
                  <w:rStyle w:val="InternetLink"/>
                  <w:rFonts w:ascii="Times New Roman;serif" w:hAnsi="Times New Roman;serif"/>
                  <w:b w:val="false"/>
                  <w:color w:val="000080"/>
                  <w:sz w:val="20"/>
                  <w:u w:val="single"/>
                </w:rPr>
                <w:t xml:space="preserve"> and 202</w:t>
              </w:r>
            </w:hyperlink>
            <w:hyperlink w:anchor="id3ab262c4cbb44b5a5597cb827b9b977_109">
              <w:r>
                <w:rPr>
                  <w:rStyle w:val="InternetLink"/>
                  <w:rFonts w:ascii="Times New Roman;serif" w:hAnsi="Times New Roman;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09">
              <w:r>
                <w:rPr>
                  <w:rStyle w:val="InternetLink"/>
                  <w:rFonts w:ascii="Times New Roman;serif" w:hAnsi="Times New Roman;serif"/>
                  <w:b w:val="false"/>
                  <w:strike w:val="false"/>
                  <w:dstrike w:val="false"/>
                  <w:color w:val="000000"/>
                  <w:sz w:val="20"/>
                  <w:u w:val="none"/>
                  <w:effect w:val="none"/>
                </w:rPr>
                <w:t>76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12">
              <w:r>
                <w:rPr>
                  <w:rStyle w:val="InternetLink"/>
                  <w:rFonts w:ascii="Times New Roman;serif" w:hAnsi="Times New Roman;serif"/>
                  <w:b w:val="false"/>
                  <w:color w:val="000080"/>
                  <w:sz w:val="20"/>
                  <w:u w:val="single"/>
                </w:rPr>
                <w:t>Consolidated Statements of Stockholders’ Equity for the years ended December 31, 202</w:t>
              </w:r>
            </w:hyperlink>
            <w:hyperlink w:anchor="id3ab262c4cbb44b5a5597cb827b9b977_112">
              <w:r>
                <w:rPr>
                  <w:rStyle w:val="InternetLink"/>
                  <w:rFonts w:ascii="Times New Roman;serif" w:hAnsi="Times New Roman;serif"/>
                  <w:b w:val="false"/>
                  <w:color w:val="000080"/>
                  <w:sz w:val="20"/>
                  <w:u w:val="single"/>
                </w:rPr>
                <w:t>5</w:t>
              </w:r>
            </w:hyperlink>
            <w:hyperlink w:anchor="id3ab262c4cbb44b5a5597cb827b9b977_112">
              <w:r>
                <w:rPr>
                  <w:rStyle w:val="InternetLink"/>
                  <w:rFonts w:ascii="Times New Roman;serif" w:hAnsi="Times New Roman;serif"/>
                  <w:b w:val="false"/>
                  <w:color w:val="000080"/>
                  <w:sz w:val="20"/>
                  <w:u w:val="single"/>
                </w:rPr>
                <w:t>, 202</w:t>
              </w:r>
            </w:hyperlink>
            <w:hyperlink w:anchor="id3ab262c4cbb44b5a5597cb827b9b977_112">
              <w:r>
                <w:rPr>
                  <w:rStyle w:val="InternetLink"/>
                  <w:rFonts w:ascii="Times New Roman;serif" w:hAnsi="Times New Roman;serif"/>
                  <w:b w:val="false"/>
                  <w:color w:val="000080"/>
                  <w:sz w:val="20"/>
                  <w:u w:val="single"/>
                </w:rPr>
                <w:t>4</w:t>
              </w:r>
            </w:hyperlink>
            <w:hyperlink w:anchor="id3ab262c4cbb44b5a5597cb827b9b977_112">
              <w:r>
                <w:rPr>
                  <w:rStyle w:val="InternetLink"/>
                  <w:rFonts w:ascii="Times New Roman;serif" w:hAnsi="Times New Roman;serif"/>
                  <w:b w:val="false"/>
                  <w:color w:val="000080"/>
                  <w:sz w:val="20"/>
                  <w:u w:val="single"/>
                </w:rPr>
                <w:t xml:space="preserve"> and 202</w:t>
              </w:r>
            </w:hyperlink>
            <w:hyperlink w:anchor="id3ab262c4cbb44b5a5597cb827b9b977_112">
              <w:r>
                <w:rPr>
                  <w:rStyle w:val="InternetLink"/>
                  <w:rFonts w:ascii="Times New Roman;serif" w:hAnsi="Times New Roman;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12">
              <w:r>
                <w:rPr>
                  <w:rStyle w:val="InternetLink"/>
                  <w:rFonts w:ascii="Times New Roman;serif" w:hAnsi="Times New Roman;serif"/>
                  <w:b w:val="false"/>
                  <w:strike w:val="false"/>
                  <w:dstrike w:val="false"/>
                  <w:color w:val="000000"/>
                  <w:sz w:val="20"/>
                  <w:u w:val="none"/>
                  <w:effect w:val="none"/>
                </w:rPr>
                <w:t>77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15">
              <w:r>
                <w:rPr>
                  <w:rStyle w:val="InternetLink"/>
                  <w:rFonts w:ascii="Times New Roman;serif" w:hAnsi="Times New Roman;serif"/>
                  <w:b w:val="false"/>
                  <w:color w:val="000080"/>
                  <w:sz w:val="20"/>
                  <w:u w:val="single"/>
                </w:rPr>
                <w:t>Consolidated Statements of Cash Flows for the years ended December 31, 202</w:t>
              </w:r>
            </w:hyperlink>
            <w:hyperlink w:anchor="id3ab262c4cbb44b5a5597cb827b9b977_115">
              <w:r>
                <w:rPr>
                  <w:rStyle w:val="InternetLink"/>
                  <w:rFonts w:ascii="Times New Roman;serif" w:hAnsi="Times New Roman;serif"/>
                  <w:b w:val="false"/>
                  <w:color w:val="000080"/>
                  <w:sz w:val="20"/>
                  <w:u w:val="single"/>
                </w:rPr>
                <w:t>5</w:t>
              </w:r>
            </w:hyperlink>
            <w:hyperlink w:anchor="id3ab262c4cbb44b5a5597cb827b9b977_115">
              <w:r>
                <w:rPr>
                  <w:rStyle w:val="InternetLink"/>
                  <w:rFonts w:ascii="Times New Roman;serif" w:hAnsi="Times New Roman;serif"/>
                  <w:b w:val="false"/>
                  <w:color w:val="000080"/>
                  <w:sz w:val="20"/>
                  <w:u w:val="single"/>
                </w:rPr>
                <w:t>, 202</w:t>
              </w:r>
            </w:hyperlink>
            <w:hyperlink w:anchor="id3ab262c4cbb44b5a5597cb827b9b977_115">
              <w:r>
                <w:rPr>
                  <w:rStyle w:val="InternetLink"/>
                  <w:rFonts w:ascii="Times New Roman;serif" w:hAnsi="Times New Roman;serif"/>
                  <w:b w:val="false"/>
                  <w:color w:val="000080"/>
                  <w:sz w:val="20"/>
                  <w:u w:val="single"/>
                </w:rPr>
                <w:t>4</w:t>
              </w:r>
            </w:hyperlink>
            <w:hyperlink w:anchor="id3ab262c4cbb44b5a5597cb827b9b977_115">
              <w:r>
                <w:rPr>
                  <w:rStyle w:val="InternetLink"/>
                  <w:rFonts w:ascii="Times New Roman;serif" w:hAnsi="Times New Roman;serif"/>
                  <w:b w:val="false"/>
                  <w:color w:val="000080"/>
                  <w:sz w:val="20"/>
                  <w:u w:val="single"/>
                </w:rPr>
                <w:t xml:space="preserve"> and 202</w:t>
              </w:r>
            </w:hyperlink>
            <w:hyperlink w:anchor="id3ab262c4cbb44b5a5597cb827b9b977_115">
              <w:r>
                <w:rPr>
                  <w:rStyle w:val="InternetLink"/>
                  <w:rFonts w:ascii="Times New Roman;serif" w:hAnsi="Times New Roman;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15">
              <w:r>
                <w:rPr>
                  <w:rStyle w:val="InternetLink"/>
                  <w:rFonts w:ascii="Times New Roman;serif" w:hAnsi="Times New Roman;serif"/>
                  <w:b w:val="false"/>
                  <w:strike w:val="false"/>
                  <w:dstrike w:val="false"/>
                  <w:color w:val="000000"/>
                  <w:sz w:val="20"/>
                  <w:u w:val="none"/>
                  <w:effect w:val="none"/>
                </w:rPr>
                <w:t>78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3ab262c4cbb44b5a5597cb827b9b977_118">
              <w:r>
                <w:rPr>
                  <w:rStyle w:val="InternetLink"/>
                  <w:rFonts w:ascii="Times New Roman;serif" w:hAnsi="Times New Roman;serif"/>
                  <w:b w:val="false"/>
                  <w:color w:val="0000FF"/>
                  <w:sz w:val="20"/>
                  <w:u w:val="single"/>
                </w:rPr>
                <w:t>Notes to the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3ab262c4cbb44b5a5597cb827b9b977_118">
              <w:r>
                <w:rPr>
                  <w:rStyle w:val="InternetLink"/>
                  <w:rFonts w:ascii="Times New Roman;serif" w:hAnsi="Times New Roman;serif"/>
                  <w:b w:val="false"/>
                  <w:strike w:val="false"/>
                  <w:dstrike w:val="false"/>
                  <w:color w:val="000000"/>
                  <w:sz w:val="20"/>
                  <w:u w:val="none"/>
                  <w:effect w:val="none"/>
                </w:rPr>
                <w:t>79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Incyte Corporation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Incyte Corporation (the Company) as of December 31, 2025 and 2024, the related consolidated statements of operations,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10, 2026 expressed an unqualified opinion thereon.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95"/>
        <w:gridCol w:w="435"/>
        <w:gridCol w:w="438"/>
        <w:gridCol w:w="2745"/>
        <w:gridCol w:w="2518"/>
        <w:gridCol w:w="3574"/>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 xml:space="preserve">Allowances for rebates owed pursuant to the Medicaid Drug Rebate Program in the U.S. </w:t>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8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 recognizes revenues for product received by its customers net of allowances for customer credits, including estimated rebates, chargebacks, discounts, returns, distribution service fees, patient assistance programs, and government rebates. Liabilities related to sales allowances are presented within accrued and other current liabilities on the consolidated balance sheet and totaled $642.5 million as of December 31, 2025.</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Auditing the allowances for rebates owed pursuant to the Medicaid Drug Rebate Program in the U.S. was complex and highly judgmental due to the significant estimation uncertainty involved in management’s assumptions, including the levels of expected utilization of these rebates based on the amount of drugs sold to eligible patients, as well as the complexity of the government mandated calculations. The allowances for rebates owed pursuant to the Medicaid Drug Rebate Program in the U.S. are sensitive to these significant assumptions and calculations.</w:t>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over management’s review of the allowances for rebates owed pursuant to the Medicaid Drug Rebate Program in the U.S. For example, we tested controls over management’s review of the significant assumptions, such as the utilization of these rebates as well as controls over management’s review of the application of the government mandated calculations.</w:t>
            </w:r>
          </w:p>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test the allowances for rebates owed pursuant to the Medicaid Drug Rebate Program in the U.S., we performed audit procedures that included, among others, evaluating the methodologies used and testing the significant assumptions discussed above. We compared the significant assumptions used by management to historical trends, evaluated the change in the accruals from prior periods, and assessed the historical accuracy of management’s estimates against actual results. We also tested the completeness and accuracy of the underlying data used in the Company’s calculations through reconciliation to third-party invoices, claims data and actual cash payments. In addition, we involved our governmental pricing specialists to assist in evaluating management’s methodology and calculations used to measure the estimated rebates.</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1991.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February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number of shares and par value)</w:t>
      </w:r>
    </w:p>
    <w:tbl>
      <w:tblPr>
        <w:tblW w:w="10205" w:type="dxa"/>
        <w:jc w:val="center"/>
        <w:tblInd w:w="0" w:type="dxa"/>
        <w:tblLayout w:type="fixed"/>
        <w:tblCellMar>
          <w:top w:w="28" w:type="dxa"/>
          <w:left w:w="28" w:type="dxa"/>
          <w:bottom w:w="28" w:type="dxa"/>
          <w:right w:w="28" w:type="dxa"/>
        </w:tblCellMar>
      </w:tblPr>
      <w:tblGrid>
        <w:gridCol w:w="2889"/>
        <w:gridCol w:w="2227"/>
        <w:gridCol w:w="2124"/>
        <w:gridCol w:w="211"/>
        <w:gridCol w:w="976"/>
        <w:gridCol w:w="109"/>
        <w:gridCol w:w="109"/>
        <w:gridCol w:w="109"/>
        <w:gridCol w:w="109"/>
        <w:gridCol w:w="211"/>
        <w:gridCol w:w="976"/>
        <w:gridCol w:w="155"/>
      </w:tblGrid>
      <w:tr>
        <w:trPr/>
        <w:tc>
          <w:tcPr>
            <w:tcW w:w="288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securities—available-for-sale (amortized cost $480,793 and $469,917 as of December 31, 2025 and 2024, respectively; allowance for credit losses $0 as of December 31, 2025 and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3,239,030 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equity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5,444,322 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1,641,847 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1,996,694 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5,000,000 shares authorized; none issued or outstanding as of December 31, 2025 and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400,000,000 shares authorized; 198,460,009 and 193,434,305 shares issued and outstanding as of December 31, 2025 and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4,533,437 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3,447,628 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5,444,322 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139"/>
        <w:gridCol w:w="1734"/>
        <w:gridCol w:w="1744"/>
        <w:gridCol w:w="211"/>
        <w:gridCol w:w="976"/>
        <w:gridCol w:w="109"/>
        <w:gridCol w:w="109"/>
        <w:gridCol w:w="109"/>
        <w:gridCol w:w="109"/>
        <w:gridCol w:w="211"/>
        <w:gridCol w:w="976"/>
        <w:gridCol w:w="109"/>
        <w:gridCol w:w="109"/>
        <w:gridCol w:w="109"/>
        <w:gridCol w:w="109"/>
        <w:gridCol w:w="211"/>
        <w:gridCol w:w="976"/>
        <w:gridCol w:w="155"/>
      </w:tblGrid>
      <w:tr>
        <w:trPr/>
        <w:tc>
          <w:tcPr>
            <w:tcW w:w="213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royalty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3,695,649 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(including definite-lived intangible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dispute settlement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1,155,662 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acquisition-related 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and loss sharing under collaboration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expenses and other</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3,075,124 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equity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223,628</w:t>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225,928</w:t>
            </w:r>
          </w:p>
        </w:tc>
      </w:tr>
    </w:tbl>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8456" w:type="dxa"/>
        <w:jc w:val="left"/>
        <w:tblInd w:w="0" w:type="dxa"/>
        <w:tblLayout w:type="fixed"/>
        <w:tblCellMar>
          <w:top w:w="28" w:type="dxa"/>
          <w:left w:w="28" w:type="dxa"/>
          <w:bottom w:w="28" w:type="dxa"/>
          <w:right w:w="28" w:type="dxa"/>
        </w:tblCellMar>
      </w:tblPr>
      <w:tblGrid>
        <w:gridCol w:w="1548"/>
        <w:gridCol w:w="1357"/>
        <w:gridCol w:w="1369"/>
        <w:gridCol w:w="211"/>
        <w:gridCol w:w="976"/>
        <w:gridCol w:w="109"/>
        <w:gridCol w:w="109"/>
        <w:gridCol w:w="109"/>
        <w:gridCol w:w="109"/>
        <w:gridCol w:w="211"/>
        <w:gridCol w:w="721"/>
        <w:gridCol w:w="109"/>
        <w:gridCol w:w="109"/>
        <w:gridCol w:w="109"/>
        <w:gridCol w:w="109"/>
        <w:gridCol w:w="211"/>
        <w:gridCol w:w="82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gain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INCYTE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number of shares)</w:t>
      </w:r>
    </w:p>
    <w:tbl>
      <w:tblPr>
        <w:tblW w:w="10205" w:type="dxa"/>
        <w:jc w:val="left"/>
        <w:tblInd w:w="0" w:type="dxa"/>
        <w:tblLayout w:type="fixed"/>
        <w:tblCellMar>
          <w:top w:w="28" w:type="dxa"/>
          <w:left w:w="28" w:type="dxa"/>
          <w:bottom w:w="28" w:type="dxa"/>
          <w:right w:w="28" w:type="dxa"/>
        </w:tblCellMar>
      </w:tblPr>
      <w:tblGrid>
        <w:gridCol w:w="1086"/>
        <w:gridCol w:w="858"/>
        <w:gridCol w:w="860"/>
        <w:gridCol w:w="211"/>
        <w:gridCol w:w="466"/>
        <w:gridCol w:w="109"/>
        <w:gridCol w:w="109"/>
        <w:gridCol w:w="109"/>
        <w:gridCol w:w="109"/>
        <w:gridCol w:w="211"/>
        <w:gridCol w:w="976"/>
        <w:gridCol w:w="109"/>
        <w:gridCol w:w="109"/>
        <w:gridCol w:w="109"/>
        <w:gridCol w:w="109"/>
        <w:gridCol w:w="242"/>
        <w:gridCol w:w="847"/>
        <w:gridCol w:w="127"/>
        <w:gridCol w:w="109"/>
        <w:gridCol w:w="109"/>
        <w:gridCol w:w="109"/>
        <w:gridCol w:w="232"/>
        <w:gridCol w:w="1100"/>
        <w:gridCol w:w="119"/>
        <w:gridCol w:w="109"/>
        <w:gridCol w:w="109"/>
        <w:gridCol w:w="109"/>
        <w:gridCol w:w="211"/>
        <w:gridCol w:w="976"/>
        <w:gridCol w:w="157"/>
      </w:tblGrid>
      <w:tr>
        <w:trPr/>
        <w:tc>
          <w:tcPr>
            <w:tcW w:w="108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(437,214)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4,370,119 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1,154,974 shares of Common Stock upon exercise of stock options and settlement of employee restricted stock units and performance shares, net of shares withheld for taxes, and 380,145 shares of Common Stock under the ESPP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5,024 shares of Common Stock for services rendered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5,189,837 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1,776,728 shares of Common Stock upon exercise of stock options and settlement of employee restricted stock units and performance shares, net of shares withheld for taxes, and 453,312 shares of Common Stock under the ESPP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5,062 shares of Common Stock for services rendered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(2,023,975)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(1,072,881)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3,447,628 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4,650,561 shares of Common Stock upon exercise of stock options and settlement of employee restricted stock units and performance shares, net of shares withheld for taxes, and 398,373 shares of Common Stock under the ESPP</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4,204 shares of Common Stock for services rendered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213,769 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5,167,478 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INCYTE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10091" w:type="dxa"/>
        <w:jc w:val="left"/>
        <w:tblInd w:w="0" w:type="dxa"/>
        <w:tblLayout w:type="fixed"/>
        <w:tblCellMar>
          <w:top w:w="28" w:type="dxa"/>
          <w:left w:w="28" w:type="dxa"/>
          <w:bottom w:w="28" w:type="dxa"/>
          <w:right w:w="28" w:type="dxa"/>
        </w:tblCellMar>
      </w:tblPr>
      <w:tblGrid>
        <w:gridCol w:w="2124"/>
        <w:gridCol w:w="1863"/>
        <w:gridCol w:w="1877"/>
        <w:gridCol w:w="196"/>
        <w:gridCol w:w="871"/>
        <w:gridCol w:w="109"/>
        <w:gridCol w:w="109"/>
        <w:gridCol w:w="109"/>
        <w:gridCol w:w="109"/>
        <w:gridCol w:w="196"/>
        <w:gridCol w:w="871"/>
        <w:gridCol w:w="109"/>
        <w:gridCol w:w="109"/>
        <w:gridCol w:w="109"/>
        <w:gridCol w:w="109"/>
        <w:gridCol w:w="196"/>
        <w:gridCol w:w="871"/>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change in fair value of 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long 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paid on repurchase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stock plans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restricted and performance share vesting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Schedule of Cash Flow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contract dispute settlement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purchases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excise tax on repurchase of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finance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INCYTE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1. Organization and Summary of Significant Accounting Policies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Organization and Business.</w:t>
      </w:r>
      <w:r>
        <w:rPr>
          <w:color w:val="000000"/>
        </w:rPr>
        <w:t xml:space="preserve"> </w:t>
      </w:r>
      <w:r>
        <w:rPr>
          <w:rFonts w:ascii="Times New Roman;serif" w:hAnsi="Times New Roman;serif"/>
          <w:b w:val="false"/>
          <w:color w:val="000000"/>
          <w:sz w:val="20"/>
        </w:rPr>
        <w:t>Incyte Corporation (including its subsidiaries, “Incyte,” “we,” “us,” or “our”) is a global biopharmaceutical company engaged in the discovery, development and commercialization of proprietary therapeutics. Our portfolio includes compounds in various stages, ranging from preclinical to late-stage development, and commercialized products JAKAFI® (ruxolitinib), ICLUSIG® (ponatinib), PEMAZYRE® (pemigatinib), OPZELURA® (ruxolitinib cream),</w:t>
      </w:r>
      <w:r>
        <w:rPr>
          <w:color w:val="000000"/>
        </w:rPr>
        <w:t xml:space="preserve"> </w:t>
      </w:r>
      <w:r>
        <w:rPr>
          <w:rFonts w:ascii="Times New Roman;serif" w:hAnsi="Times New Roman;serif"/>
          <w:b w:val="false"/>
          <w:color w:val="000000"/>
          <w:sz w:val="20"/>
        </w:rPr>
        <w:t>MINJUVI® (tafasitamab), MONJUVI® (tafasitamab-cxix), ZYNYZ® (retifanlimab-dlwr), as well as NIKTIMVO™ (axatilimab-csfr), which is co-commercialized. Our operations are treated as one operating segment.</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Principles of Consolidation.</w:t>
      </w:r>
      <w:r>
        <w:rPr>
          <w:color w:val="000000"/>
        </w:rPr>
        <w:t xml:space="preserve"> </w:t>
      </w:r>
      <w:r>
        <w:rPr>
          <w:rFonts w:ascii="Times New Roman;serif" w:hAnsi="Times New Roman;serif"/>
          <w:b w:val="false"/>
          <w:color w:val="000000"/>
          <w:sz w:val="20"/>
        </w:rPr>
        <w:t>The consolidated financial statements include the accounts of Incyte Corporation and our wholly owned subsidiaries. All inter-company accounts, transactions, and profits have been eliminated in consolidation.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Foreign Currency Translation.</w:t>
      </w:r>
      <w:r>
        <w:rPr>
          <w:color w:val="000000"/>
        </w:rPr>
        <w:t xml:space="preserve"> </w:t>
      </w:r>
      <w:r>
        <w:rPr>
          <w:rFonts w:ascii="Times New Roman;serif" w:hAnsi="Times New Roman;serif"/>
          <w:b w:val="false"/>
          <w:color w:val="000000"/>
          <w:sz w:val="20"/>
        </w:rPr>
        <w:t>Operations in non-U.S. entities are recorded in the functional currency of each entity. 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consolidated statements of operations.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Use of Estimates.</w:t>
      </w:r>
      <w:r>
        <w:rPr>
          <w:color w:val="000000"/>
        </w:rPr>
        <w:t xml:space="preserve"> </w:t>
      </w:r>
      <w:r>
        <w:rPr>
          <w:rFonts w:ascii="Times New Roman;serif" w:hAnsi="Times New Roman;serif"/>
          <w:b w:val="false"/>
          <w:color w:val="000000"/>
          <w:sz w:val="20"/>
        </w:rPr>
        <w:t>The preparation of financial statements in conformity with accounting principles generally accepted in the United States (“U.S. GAAP”) requires management to make estimates and assumptions that affect the amounts reported in the financial statements and accompanying notes. Actual results could differ from those estimates.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Reclassifications. </w:t>
      </w:r>
      <w:r>
        <w:rPr>
          <w:rFonts w:ascii="Times New Roman;serif" w:hAnsi="Times New Roman;serif"/>
          <w:b w:val="false"/>
          <w:color w:val="000000"/>
          <w:sz w:val="20"/>
        </w:rPr>
        <w:t xml:space="preserve">Certain prior year amounts have been reclassified for consistency with the current year presentation. These reclassifications had no effect on the reported results of operations.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Concentrations of Credit Risk.</w:t>
      </w:r>
      <w:r>
        <w:rPr>
          <w:color w:val="000000"/>
        </w:rPr>
        <w:t xml:space="preserve"> </w:t>
      </w:r>
      <w:r>
        <w:rPr>
          <w:rFonts w:ascii="Times New Roman;serif" w:hAnsi="Times New Roman;serif"/>
          <w:b w:val="false"/>
          <w:color w:val="000000"/>
          <w:sz w:val="20"/>
        </w:rPr>
        <w:t>Cash, cash equivalents, marketable securities, and trade receivables are financial instruments which potentially subject us to concentrations of credit risk. The estimated fair value of financial instruments approximates the carrying value based on available market information. By policy, we invest our excess available funds primarily in U.S. government debt securities, which are securities issued or guaranteed by the U.S. government, and money market funds that meet certain guidelines, which limits exposure to potential credit losses.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Current Expected Credit Losses. </w:t>
      </w:r>
      <w:r>
        <w:rPr>
          <w:rFonts w:ascii="Times New Roman;serif" w:hAnsi="Times New Roman;serif"/>
          <w:b w:val="false"/>
          <w:color w:val="000000"/>
          <w:sz w:val="20"/>
        </w:rPr>
        <w:t xml:space="preserve">Financial assets measured at amortized cost are assessed for future expected credit losses under guidance within ASC 326, </w:t>
      </w:r>
      <w:r>
        <w:rPr>
          <w:rFonts w:ascii="Times New Roman;serif" w:hAnsi="Times New Roman;serif"/>
          <w:b w:val="false"/>
          <w:i/>
          <w:color w:val="000000"/>
          <w:sz w:val="20"/>
        </w:rPr>
        <w:t>Financial Instruments – Credit Losses</w:t>
      </w:r>
      <w:r>
        <w:rPr>
          <w:rFonts w:ascii="Times New Roman;serif" w:hAnsi="Times New Roman;serif"/>
          <w:b w:val="false"/>
          <w:color w:val="000000"/>
          <w:sz w:val="20"/>
        </w:rPr>
        <w:t xml:space="preserve">, to determine if application of an expected credit losses reserve is necessary. On a quarterly basis, receivables that resulted from revenue transactions within the scope of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where unusual items or aged receivables are closely monitored for signs of credit deterioration or indications of payment refusal. Customer product sales are with specialty pharmaceutical distributors, wholesalers and certain public and private institutions, some of whose financial obligations are funded by various government agencies.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monitor our available-for-sale debt securities for impairment quarterly or more frequently if circumstances warrant. In the event that the carrying value of a debt security exceeds its fair value, we evaluate whether any impairment is a result of credit loss or other factors. For investments in an unrealized loss position, we determine whether a credit loss exists by considering information about the collectability of the instrument, current market conditions, the investment issuer’s financial condition and business outlook, and reasonable and supportable forecasts of economic conditions. An allowance for credit losses would be recorded in our consolidated statements of operations in the event the decline in the investment’s fair value was a result of credit loss, and unrealized losses not related to credit losses would be recorded in other comprehensive income (loss).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Cash and cash equivalents are held in banks or in custodial accounts with banks. Cash equivalents are defined as all liquid investments and money market funds with maturity from date of purchase of 90 days or less that are readily convertible into cash.</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Marketable Securities—Available-for-Sale.</w:t>
      </w:r>
      <w:r>
        <w:rPr>
          <w:color w:val="000000"/>
        </w:rPr>
        <w:t xml:space="preserve"> </w:t>
      </w:r>
      <w:r>
        <w:rPr>
          <w:rFonts w:ascii="Times New Roman;serif" w:hAnsi="Times New Roman;serif"/>
          <w:b w:val="false"/>
          <w:color w:val="000000"/>
          <w:sz w:val="20"/>
        </w:rPr>
        <w:t>Our marketable securities consist of investments in U.S. government debt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consolidated balance sheets. Realized gains and losses and declines in value judged to be other than temporary for available-for-sale securities are included in other income (expense), net on the consolidated statements of operations. The cost of securities sold is based on the specific identification method.</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Accounts Receivable.</w:t>
      </w:r>
      <w:r>
        <w:rPr>
          <w:color w:val="000000"/>
        </w:rPr>
        <w:t xml:space="preserve"> </w:t>
      </w:r>
      <w:r>
        <w:rPr>
          <w:rFonts w:ascii="Times New Roman;serif" w:hAnsi="Times New Roman;serif"/>
          <w:b w:val="false"/>
          <w:color w:val="000000"/>
          <w:sz w:val="20"/>
        </w:rPr>
        <w:t>As of December 31, 2025 and 2024, we had a de minimis amount of allowance for doubtful accounts. We provide an allowance for doubtful accounts based on management’s assessment of the collectability of specific customer accounts, which includes consideration of the credit worthiness and financial condition of those customers, aging of such receivables, history of collectability with the customer and the general economic environment. We record an allowance to reduce the receivables to the amount that is expected to be collected.</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Inventory. </w:t>
      </w:r>
      <w:r>
        <w:rPr>
          <w:rFonts w:ascii="Times New Roman;serif" w:hAnsi="Times New Roman;serif"/>
          <w:b w:val="false"/>
          <w:color w:val="000000"/>
          <w:sz w:val="20"/>
        </w:rPr>
        <w:t xml:space="preserve">Inventories are valued at the lower of cost and net realizable value. We use the specific identification method to account for commercial product manufactured by third-party contractors, which is our predominant source of inventory. We apply the first-in, first-out (FIFO) method to inventories produced at our internal manufacturing facility located in Yverdon, Switzerland. Inventories consist of costs of materials, including shipping and handling fees, third-party contract manufacturing, and allocable overhead associated with the production of our commercialized products. We capitalize inventory after regulatory approval from U.S. Food and Drug Administration (“FDA”), European Medicines Agency or Japanese Ministry of Health, Labour and Welfare as the related costs are expected to be recoverable through the commercialization of the product. Costs incurred prior to approval are recorded as research and development expense in our consolidated statements of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Raw materials, active pharmaceutical ingredients (“API”), work-in-process and finished goods inventory are monitored for obsolescence.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consolidated balance sheets when we expect inventory to be consumed for commercial use within the next twelve months.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Variable Interest Entities.</w:t>
      </w:r>
      <w:r>
        <w:rPr>
          <w:color w:val="000000"/>
        </w:rPr>
        <w:t xml:space="preserve"> </w:t>
      </w:r>
      <w:r>
        <w:rPr>
          <w:rFonts w:ascii="Times New Roman;serif" w:hAnsi="Times New Roman;serif"/>
          <w:b w:val="false"/>
          <w:color w:val="000000"/>
          <w:sz w:val="20"/>
        </w:rPr>
        <w:t>We perform an initial and ongoing evaluation of the entities with which we have 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December 31, 2025, there were no entities in which we held a variable interest which we determined to be VIEs.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Equity Investments.</w:t>
      </w:r>
      <w:r>
        <w:rPr>
          <w:color w:val="000000"/>
        </w:rPr>
        <w:t xml:space="preserve"> </w:t>
      </w:r>
      <w:r>
        <w:rPr>
          <w:rFonts w:ascii="Times New Roman;serif" w:hAnsi="Times New Roman;serif"/>
          <w:b w:val="false"/>
          <w:color w:val="000000"/>
          <w:sz w:val="20"/>
        </w:rPr>
        <w:t xml:space="preserve">Our equity investments consist of investments in common stock of publicly-held companies with whom we have entered into collaboration and license agreements. We classify our equity investments in common stock of publicly-held companies as either short term equity investments, for those investments which we intend to sell within one year, or long term equity investments, for those investments which we intend to hold for longer than one year, on the consolidated balance sheets. As of December 31, 2025 and 2024, all of our equity investments are classified as long term equity investments. Our equity investments are accounted for at fair value using readily determinable pricing available on a securities exchange on the consolidated balance sheets. All changes in fair value are reported in the consolidated statements of operations as a gain on equity investments.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have the ability to exercise significant influence.</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Property and Equipment, net.</w:t>
      </w:r>
      <w:r>
        <w:rPr>
          <w:color w:val="000000"/>
        </w:rPr>
        <w:t xml:space="preserve"> </w:t>
      </w:r>
      <w:r>
        <w:rPr>
          <w:rFonts w:ascii="Times New Roman;serif" w:hAnsi="Times New Roman;serif"/>
          <w:b w:val="false"/>
          <w:color w:val="000000"/>
          <w:sz w:val="20"/>
        </w:rPr>
        <w:t>Property and equipment, net is stated at cost, less accumulated depreciation, amortization and impairments. Depreciation is recorded using the straight-line method over the estimated useful lives of the respective assets. Leasehold improvements are amortized over the shorter of the estimated useful life of the assets or lease term.</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Lease Accounting.</w:t>
      </w:r>
      <w:r>
        <w:rPr>
          <w:color w:val="000000"/>
        </w:rPr>
        <w:t xml:space="preserve"> </w:t>
      </w:r>
      <w:r>
        <w:rPr>
          <w:rFonts w:ascii="Times New Roman;serif" w:hAnsi="Times New Roman;serif"/>
          <w:b w:val="false"/>
          <w:color w:val="000000"/>
          <w:sz w:val="20"/>
        </w:rPr>
        <w:t xml:space="preserve">All leases with a lease term greater than 12 months, regardless of lease type classification, are recorded as an obligation on the 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Other Intangible Assets, net.</w:t>
      </w:r>
      <w:r>
        <w:rPr>
          <w:color w:val="000000"/>
        </w:rPr>
        <w:t xml:space="preserve"> </w:t>
      </w:r>
      <w:r>
        <w:rPr>
          <w:rFonts w:ascii="Times New Roman;serif" w:hAnsi="Times New Roman;serif"/>
          <w:b w:val="false"/>
          <w:color w:val="000000"/>
          <w:sz w:val="20"/>
        </w:rPr>
        <w:t>Other intangible assets, net consist of licensed intellectual property rights acquired in business combinations, which are reported at acquisition date fair value, less accumulated amortization, as well as milestone payments made to collaboration partners incurred at or after the product has obtained regulatory approval. Milestones payable to collaboration partners are only recognized when the underlying contingency is resolved. Intangible assets with finite lives are amortized over their estimated useful lives using the straight-line method. Intangible assets with finite lives are tested for recoverability whenever events or changes in circumstances indicate that the carrying amounts may not be recoverable.</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Impairment of Long-Lived Assets.</w:t>
      </w:r>
      <w:r>
        <w:rPr>
          <w:color w:val="000000"/>
        </w:rPr>
        <w:t xml:space="preserve"> </w:t>
      </w:r>
      <w:r>
        <w:rPr>
          <w:rFonts w:ascii="Times New Roman;serif" w:hAnsi="Times New Roman;serif"/>
          <w:b w:val="false"/>
          <w:color w:val="000000"/>
          <w:sz w:val="20"/>
        </w:rPr>
        <w:t>Long-lived assets with finite lives are tested for impairment whenever events or 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Goodwill.</w:t>
      </w:r>
      <w:r>
        <w:rPr>
          <w:color w:val="000000"/>
        </w:rPr>
        <w:t xml:space="preserve"> </w:t>
      </w:r>
      <w:r>
        <w:rPr>
          <w:rFonts w:ascii="Times New Roman;serif" w:hAnsi="Times New Roman;serif"/>
          <w:b w:val="false"/>
          <w:color w:val="000000"/>
          <w:sz w:val="20"/>
        </w:rPr>
        <w:t>Goodwill is calculated as the difference between the acquisition date fair value of the consideration 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to determine whether it is more-likely-than-not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2025 and determined that the carrying value of our goodwill was not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We account for income taxes using the asset and liability approach which requires the recognition of 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The tax effects of global intangible low-taxed income from certain foreign subsidiaries is recognized in the income tax provision in the period the tax arises.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Net Income Per Share.</w:t>
      </w:r>
      <w:r>
        <w:rPr>
          <w:color w:val="000000"/>
        </w:rPr>
        <w:t xml:space="preserve"> </w:t>
      </w:r>
      <w:r>
        <w:rPr>
          <w:rFonts w:ascii="Times New Roman;serif" w:hAnsi="Times New Roman;serif"/>
          <w:b w:val="false"/>
          <w:color w:val="000000"/>
          <w:sz w:val="20"/>
        </w:rPr>
        <w:t>Our basic and diluted net income per share is calculated by dividing net income by the weighted average number of shares of common stock outstanding during all periods presented. Options to purchase stock, restricted stock units and performance stock units are included in diluted earnings per share calculations, unless the effects are anti-dilutive.</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Accumulated Other Comprehensive Income (Loss).</w:t>
      </w:r>
      <w:r>
        <w:rPr>
          <w:color w:val="000000"/>
        </w:rPr>
        <w:t xml:space="preserve"> </w:t>
      </w:r>
      <w:r>
        <w:rPr>
          <w:rFonts w:ascii="Times New Roman;serif" w:hAnsi="Times New Roman;serif"/>
          <w:b w:val="false"/>
          <w:color w:val="000000"/>
          <w:sz w:val="20"/>
        </w:rPr>
        <w:t>Accumulated other comprehensive income (loss) consists of unrealized gains or losses on our marketable debt securities that are classified as available-for-sale, foreign currency translation gains or losses and unrecognized actuarial gains or losses related to our defined benefit pension plan.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 xml:space="preserve">Revenue-generating contracts are assessed 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to identify distinct 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pStyle w:val="TextBody"/>
        <w:bidi w:val="0"/>
        <w:spacing w:lineRule="auto" w:line="288" w:before="240" w:after="283"/>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revenues are recognized at a point in time once we satisfy the performance obligation and control is transferred under the revenue recognition criteria as described above. Our customers in the United States include specialty and retail pharmacies, specialty distributors and wholesalers. Our customers in the European Union and certain other jurisdictions, include retail pharmacies, hospital pharmacies and distributors. We sell PEMAZYRE in Japan to an exclusive wholesaler.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revenues for product received by our customers net of allowances for customer credits, including estimated rebates, chargebacks, discounts, returns, distribution service fees, patient assistance programs, and government rebates, such as the Medicaid Drug Rebate Program and Medicare Part D prescription drug coverage reimbursements in the United States and mandated discounts in Europe. Product shipping and handling costs are included in cost of product revenues.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Customer Credits:</w:t>
      </w:r>
      <w:r>
        <w:rPr>
          <w:color w:val="000000"/>
        </w:rPr>
        <w:t xml:space="preserve"> </w:t>
      </w:r>
      <w:r>
        <w:rPr>
          <w:rFonts w:ascii="Times New Roman;serif" w:hAnsi="Times New Roman;serif"/>
          <w:b w:val="false"/>
          <w:color w:val="000000"/>
          <w:sz w:val="20"/>
        </w:rPr>
        <w:t>Our customers are offered various forms of consideration, including allowances, service fees 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Rebates and Discounts:</w:t>
      </w:r>
      <w:r>
        <w:rPr>
          <w:color w:val="000000"/>
        </w:rPr>
        <w:t xml:space="preserve"> </w:t>
      </w:r>
      <w:r>
        <w:rPr>
          <w:rFonts w:ascii="Times New Roman;serif" w:hAnsi="Times New Roman;serif"/>
          <w:b w:val="false"/>
          <w:color w:val="000000"/>
          <w:sz w:val="20"/>
        </w:rPr>
        <w:t xml:space="preserve">Allowances for rebates include mandated discounts under the Medicaid Drug Rebate Program in the United States and mandated discounts in Europe in markets where government-sponsored healthcare systems are the primary payors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Chargebacks:</w:t>
      </w:r>
      <w:r>
        <w:rPr>
          <w:color w:val="000000"/>
        </w:rPr>
        <w:t xml:space="preserve"> </w:t>
      </w:r>
      <w:r>
        <w:rPr>
          <w:rFonts w:ascii="Times New Roman;serif" w:hAnsi="Times New Roman;serif"/>
          <w:b w:val="false"/>
          <w:color w:val="000000"/>
          <w:sz w:val="20"/>
        </w:rPr>
        <w:t>Chargebacks are discounts that occur when certain indirect contracted customers, which currently consist 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Medicare Part D Rebates:</w:t>
      </w:r>
      <w:r>
        <w:rPr>
          <w:color w:val="000000"/>
        </w:rPr>
        <w:t xml:space="preserve"> </w:t>
      </w:r>
      <w:r>
        <w:rPr>
          <w:rFonts w:ascii="Times New Roman;serif" w:hAnsi="Times New Roman;serif"/>
          <w:b w:val="false"/>
          <w:color w:val="000000"/>
          <w:sz w:val="20"/>
        </w:rPr>
        <w:t>Changes to our Medicare Part D prescription drug coverage reimbursements (“Part D Discount Program”) became effective January 1, 2025 pursuant to the Inflation Reduction Act of 2022. Under the revised Part D Discount Program,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changes in the Medicare Part D Discount Program effective January 1, 2025, the Medicare Part D prescription drug benefit previously mandated manufacturers to fund 70% of the Medicare Part D insurance coverage gap for prescription drugs sold to eligible patients. Our estimates for the expected Medicare Part D coverage gap were based on historical invoices received and in part from data received from our customers.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Funding of the Medicare Part D Discount Program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Co-payment Assistance:</w:t>
      </w:r>
      <w:r>
        <w:rPr>
          <w:color w:val="000000"/>
        </w:rPr>
        <w:t xml:space="preserve"> </w:t>
      </w:r>
      <w:r>
        <w:rPr>
          <w:rFonts w:ascii="Times New Roman;serif" w:hAnsi="Times New Roman;serif"/>
          <w:b w:val="false"/>
          <w:color w:val="000000"/>
          <w:sz w:val="20"/>
        </w:rPr>
        <w:t>Patients who have commercial insurance and meet certain eligibility requirements may receive co-payment assistance. We accrue a liability for co-payment assistance based on actual program participation and estimates of program redemption using data provided by third-party administrators.</w:t>
      </w:r>
    </w:p>
    <w:p>
      <w:pPr>
        <w:pStyle w:val="TextBody"/>
        <w:bidi w:val="0"/>
        <w:spacing w:lineRule="auto" w:line="288" w:before="240" w:after="283"/>
        <w:ind w:left="0" w:right="0" w:hanging="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 Royalty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We recognize royalty revenues in the period the sales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hanging="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Milestone and Contract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each collaborative research, development and/or commercialization agreement that results in revenue under the guidance of ASC 606, we identify all material performance obligations, which may include the license to intellectual property and know-how, research and development activities and/or other activities. In order to determine the transaction price, in addition to any upfront payment, we estimate the amount of variable consideration, including milestone payments, at the outset of the contract utilizing the most likely amount method. The most likely amount method is used since the milestone payments have a binary outcome (i.e., we receive all or none of the milestone payment). We constrain the estimate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management considers the likelihood and magnitude of a potential reversal of revenue. These estimates are re-assessed each reporting period as required. Once the estimated transaction price is established, amounts are allocated to the performance obligations that have been identified. The transaction price is generally allocated to each separate performance obligation on a relative standalone selling price basis.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Out-licensing arrangements contain the right to use functional intellectual property, which is the underlying performance obligation of these collaborative arrangements. If the license of our intellectual property is determined to be distinct from other performance obligations in the arrangement, the functional intellectual property that is transferred to the collaborative partner at the onset of the arrangement is concluded to have significant standalone functionality and value at the point in time at which the intellectual property is made available to the collaborative partner.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 For each of the three years ended December 31, 2025, we had no revenues from intellectual property licenses recognized over time.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milestone revenues related to sales-based achievements, we recognize the milestone revenues in the corresponding period of the product sale, in accordance with ASC 606-10-55-65 for contracts that include a license to intellectual property and the license is the predominant item to which the product sale relates.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transfer of the intellectual property, we may earn milestones through achievement of pre-specified developmental or regulatory events and, as such, milestones are accounted for as variable consideration. We include developmental or regulatory milestones in the transaction price only to the extent that it is probable that a significant reversal in the amount of cumulative revenue recognized will not occur when the uncertainty associated with the milestone is subsequently resolved. Under the agreements currently in place, we do not consider these events to be within our control, but rather dependent upon the development activities of our collaborative partners and the decisions made by regulatory agencies. Accordingly, these milestones are not included in the transaction price until the counterparty, or third-party in the event of a regulatory submission, confirms the satisfaction or completion of the milestone triggering event. Given the high level of uncertainty of achievement, variable consideration associated with milestones are fully constrained until confirmation of the satisfaction or completion of the milestone by the third-party.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the milestone events contained in our collaboration agreements coincide with the progression of our drugs from development, to regulatory approval and then to commercialization. The value of these milestones is dictated within the contract and is fixed upon achievement and reflects the amount of consideration which we expect to be entitled to in exchange for the satisfaction of that milestone. The process of successfully discovering a new development candidate, having it approved and successfully commercialized is highly uncertain. As such, the milestone payments we may earn from our partners involve a significant degree of risk to achieve and therefore, subsequent milestone payments due to Incyte are recognized as revenue at the point in time when such milestones are achieved.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collaboration agreements may also include an option for the collaborative partner to elect to participate in research and development activities, such as shared participation in additional clinical trials using the compound. The presence of additional options for future participatory activities are assessed to determine if they represent material rights offered by us to the collaborative partner. We also determine whether the reimbursement of research and development expenses should be accounted for as collaborative revenues or an offset to research and development expenses in accordance with the provisions of gross or net revenue presentation and recognize the corresponding revenues or records the corresponding offset to research and development expenses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collaborative agreements may also include provisions for additional future collaborative efforts, such as options for shared commercialization staffing or licensing of additional molecules, involvement in joint committees, or options for inclusion in negotiations of future supply rights, which at the time of each collaborative agreement’s inception, are assessed to determine if these meet the definition of a performance obligation under ASC 606.</w:t>
      </w:r>
    </w:p>
    <w:p>
      <w:pPr>
        <w:pStyle w:val="TextBody"/>
        <w:bidi w:val="0"/>
        <w:spacing w:lineRule="auto" w:line="288" w:before="240" w:after="283"/>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Product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product revenues includes all product related costs and royalties owed and profit sharing under certain of our collaboration and license agreements. In addition, cost of product revenues includes the amortization of our licensed intellectual property for ICLUSIG and the amortization of capitalized regulatory and commercial milestone payments made to third parties, which are capitalized as intangible assets subsequent to regulatory approval using the straight-line method over the respective estimated useful lives, which range between approximately 8 to 14 years. Cost of product revenues also includes employee personnel costs, including stock compensation, for those employees dedicated to the production of our commercial products.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Research and Development Costs.</w:t>
      </w:r>
      <w:r>
        <w:rPr>
          <w:color w:val="000000"/>
        </w:rPr>
        <w:t xml:space="preserve"> </w:t>
      </w:r>
      <w:r>
        <w:rPr>
          <w:rFonts w:ascii="Times New Roman;serif" w:hAnsi="Times New Roman;serif"/>
          <w:b w:val="false"/>
          <w:color w:val="000000"/>
          <w:sz w:val="20"/>
        </w:rPr>
        <w:t>Our policy is to expense research and development costs as incurred, including amounts funded by research and 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 Costs incurred under the collaboration arrangement that are reimbursable to us are recorded net against the related research and development expenses in the period in which the related expense is incurred.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often contract with contract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Stock Compensation.</w:t>
      </w:r>
      <w:r>
        <w:rPr>
          <w:color w:val="000000"/>
        </w:rPr>
        <w:t xml:space="preserve"> </w:t>
      </w:r>
      <w:r>
        <w:rPr>
          <w:rFonts w:ascii="Times New Roman;serif" w:hAnsi="Times New Roman;serif"/>
          <w:b w:val="false"/>
          <w:color w:val="000000"/>
          <w:sz w:val="20"/>
        </w:rPr>
        <w:t xml:space="preserve">Share-based payment transactions with employees, which include stock options, restricted stock units (“RSUs”) and performance shares (“PSUs”), are recognized as compensation expense over the requisite service period based on their estimated fair values as well as expected forfeiture rates, subject to customary retirement provisions that may accelerate the requisite service period for expense recognition purposes. The stock compensation process requires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Advertising Expenses. </w:t>
      </w:r>
      <w:r>
        <w:rPr>
          <w:rFonts w:ascii="Times New Roman;serif" w:hAnsi="Times New Roman;serif"/>
          <w:b w:val="false"/>
          <w:color w:val="000000"/>
          <w:sz w:val="20"/>
        </w:rPr>
        <w:t>Advertising expenses, comprised primarily of television, radio, print media and internet advertising, are expensed as incurred and are included in selling, general, and administrative expenses. For the years ended December 31, 2025, 2024, and 2023, advertising expenses were approximately $155.9 million, $200.7 million, and $221.9 million, respectively.</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Long Term Incentive Plans.</w:t>
      </w:r>
      <w:r>
        <w:rPr>
          <w:color w:val="000000"/>
        </w:rPr>
        <w:t xml:space="preserve"> </w:t>
      </w:r>
      <w:r>
        <w:rPr>
          <w:rFonts w:ascii="Times New Roman;serif" w:hAnsi="Times New Roman;serif"/>
          <w:b w:val="false"/>
          <w:color w:val="000000"/>
          <w:sz w:val="20"/>
        </w:rPr>
        <w:t xml:space="preserve">We have long term incentive plans which provide eligible employees with the opportunity to receive performance and service-based incentive compensation, which may be comprised of cash, stock options, RSUs and/or PSUs. The payment of cash and the grant or vesting of equity may be contingent upon the achievement of pre-determined regulatory, sales and internal performance milestones.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Acquisitions</w:t>
      </w:r>
      <w:r>
        <w:rPr>
          <w:rFonts w:ascii="Times New Roman;serif" w:hAnsi="Times New Roman;serif"/>
          <w:b w:val="false"/>
          <w:color w:val="000000"/>
          <w:sz w:val="20"/>
        </w:rPr>
        <w:t>. To determine whether acquisitions should be accounted for as a business combination or as an asset acquisition, we make certain judgments, which include assessing whether the acquired set of activities and assets would meet the definition of a business under the relevant accounting rules. 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asset acquisition, with the purchase price being allocated to the acquired asset, with no goodwill recorded. For a transaction recorded as an asset acquisition, any acquired in-process research and development that does not have an alternative future use is charged to expense at the acquisition date. See Note 5 for additional information.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Acquisition-Related Contingent Consideration.</w:t>
      </w:r>
      <w:r>
        <w:rPr>
          <w:color w:val="000000"/>
        </w:rPr>
        <w:t xml:space="preserve"> </w:t>
      </w:r>
      <w:r>
        <w:rPr>
          <w:rFonts w:ascii="Times New Roman;serif" w:hAnsi="Times New Roman;serif"/>
          <w:b w:val="false"/>
          <w:color w:val="000000"/>
          <w:sz w:val="20"/>
        </w:rPr>
        <w:t xml:space="preserve">Acquisition-related contingent consideration consists of our future royalty obligations on future net revenues of ICLUSIG owed to Takeda Pharmaceutical Company Limited, which acquired ARIAD Pharmaceuticals, Inc.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consolidated statements of operations. </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Profit sharing from co-commercialization activities.</w:t>
      </w:r>
      <w:r>
        <w:rPr>
          <w:color w:val="000000"/>
        </w:rPr>
        <w:t xml:space="preserve"> </w:t>
      </w:r>
      <w:r>
        <w:rPr>
          <w:rFonts w:ascii="Times New Roman;serif" w:hAnsi="Times New Roman;serif"/>
          <w:b w:val="false"/>
          <w:color w:val="000000"/>
          <w:sz w:val="20"/>
        </w:rPr>
        <w:t xml:space="preserve">In profit sharing arrangements where we are deemed to be the principal, we record 100% of all revenues and expenses associated with the co-commercialization activities. We record our collaboration partner’s share of profit or loss to cost of product revenues within our consolidated statement of operations. Other components of make-whole payments between us and our collaboration partners are classified in our consolidated statement of operations based on the nature of the underlying payable or receivable.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profit sharing arrangements where we are deemed to be the agent, we record our share of profit or loss from co-commercialization activities to (profit) and loss sharing under collaboration agreements within our consolidated statement of operations. Other components of make-whole payments between us and our collaboration partners are classified in our consolidated statement of operations based on the nature of the underlying payable or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December 2023, the Financial Accounting Standards Board (“FASB”) issued ASU No.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This amended guidance applies to all entities and broadly aims to enhance the transparency and decision usefulness of income tax disclosures. For public business entities, the amendments in this update are effective for fiscal years beginning after December 15, 2024, and are applicable for disclosures in our Annual Report on Form 10-K beginning with the year ending December 31, 2025. See Note 14 for additional disclosures.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November 2024, the FASB issued ASU No. 2024-03, “</w:t>
      </w:r>
      <w:r>
        <w:rPr>
          <w:rFonts w:ascii="Times New Roman;serif" w:hAnsi="Times New Roman;serif"/>
          <w:b w:val="false"/>
          <w:i/>
          <w:color w:val="000000"/>
          <w:sz w:val="20"/>
        </w:rPr>
        <w:t xml:space="preserve">Disaggregation of Income Statement Expenses </w:t>
      </w:r>
      <w:r>
        <w:rPr>
          <w:rFonts w:ascii="Times New Roman;serif" w:hAnsi="Times New Roman;serif"/>
          <w:b w:val="false"/>
          <w:color w:val="000000"/>
          <w:sz w:val="20"/>
        </w:rPr>
        <w:t>(DISE).”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This amended guidance applies to all entities and aims to simplify the estimation of expected credit losses for current accounts receivable and contract assets by providing a practical expedient for all companies. The amendments are effective for annual reporting periods beginning after December 15, 2025 and interim reporting periods within those annual periods. If electing the practical expedient, entities should apply the amendments in this update prospectively. We are currently evaluating the impact ASU No. 2025-05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September 2025, the FASB issued ASU No. 2025-06, “</w:t>
      </w:r>
      <w:r>
        <w:rPr>
          <w:rFonts w:ascii="Times New Roman;serif" w:hAnsi="Times New Roman;serif"/>
          <w:b w:val="false"/>
          <w:i/>
          <w:color w:val="000000"/>
          <w:sz w:val="20"/>
        </w:rPr>
        <w:t>Intangibles - Goodwill and Other - Internal-Use (Subtopic 350-40): Targeted Improvements to the Accounting for Internal-Use Software.</w:t>
      </w:r>
      <w:r>
        <w:rPr>
          <w:color w:val="000000"/>
        </w:rPr>
        <w:t xml:space="preserve">” </w:t>
      </w:r>
      <w:r>
        <w:rPr>
          <w:rFonts w:ascii="Times New Roman;serif" w:hAnsi="Times New Roman;serif"/>
          <w:b w:val="false"/>
          <w:color w:val="000000"/>
          <w:sz w:val="20"/>
        </w:rPr>
        <w:t>This amended guidance applies</w:t>
      </w:r>
      <w:r>
        <w:rPr>
          <w:color w:val="000000"/>
        </w:rPr>
        <w:t xml:space="preserve"> </w:t>
      </w:r>
      <w:r>
        <w:rPr>
          <w:rFonts w:ascii="Times New Roman;serif" w:hAnsi="Times New Roman;serif"/>
          <w:b w:val="false"/>
          <w:color w:val="000000"/>
          <w:sz w:val="20"/>
        </w:rPr>
        <w:t>to all entities and serves to modernize the accounting for software costs that are accounted for under Subtopic 305-40, Intangibles - Goodwill and Other - Internal-Use Software (referred to as “internal-use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Entities may adopt the new guidance using a prospective, modified, or retrospective transition approach. We are currently evaluating the impact ASU No. 2025-06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September 2025, the FASB issued ASU No.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color w:val="000000"/>
        </w:rPr>
        <w:t xml:space="preserve">” </w:t>
      </w:r>
      <w:r>
        <w:rPr>
          <w:rFonts w:ascii="Times New Roman;serif" w:hAnsi="Times New Roman;serif"/>
          <w:b w:val="false"/>
          <w:color w:val="000000"/>
          <w:sz w:val="20"/>
        </w:rPr>
        <w:t>This amended guidance applies to all entities and refines the scope of derivative accounting and clarifies rules for share-based noncash consideration in revenue contracts. Specifically, this update is intended to address concerns about the application of derivative accounting to contracts that have features based on the operations or activities of one of the parties to the contract and to reduce diversity in the accounting for share-based payments in revenue contracts. The amendments in this update are effective for all entities for annual reporting periods beginning after December 15, 2026, and interim reporting periods within those annual reporting periods. Early adoption is permitted. Entities may adopt the new guidance prospectively, or on a modified retrospective basis. We are currently evaluating the impact ASU No. 2025-07 will have on our consolidated financial statements and related disclosures.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December 2025, the FASB issued ASU No. 2025-10, “</w:t>
      </w:r>
      <w:r>
        <w:rPr>
          <w:rFonts w:ascii="Times New Roman;serif" w:hAnsi="Times New Roman;serif"/>
          <w:b w:val="false"/>
          <w:i/>
          <w:color w:val="000000"/>
          <w:sz w:val="20"/>
        </w:rPr>
        <w:t>Government Grants (Topic 832): Accounting for Government Grants Received by Business Entities.</w:t>
      </w:r>
      <w:r>
        <w:rPr>
          <w:color w:val="000000"/>
        </w:rPr>
        <w:t xml:space="preserve">” </w:t>
      </w:r>
      <w:r>
        <w:rPr>
          <w:rFonts w:ascii="Times New Roman;serif" w:hAnsi="Times New Roman;serif"/>
          <w:b w:val="false"/>
          <w:color w:val="000000"/>
          <w:sz w:val="20"/>
        </w:rPr>
        <w:t>This accounting standard update establishes specific rules for the recognition, measurement, and presentation of government grants received by business entities. For public business entities, this amended guidance is applicable for fiscal years beginning after December 15, 2028, including interim periods within those fiscal years. Early adoption is permitted. Entities may adopt the new guidance using a modified prospective, modified retrospective, or full retrospective approach. We are currently evaluating the impact ASU No. 2025-10 will have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December 2025, the FASB issued ASU No.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The amendments in this update aim to enhance the guidance in Topic 270, Interim Reporting, by improving the navigability of the required interim disclosures and clarifying when that guidance is applicable. The amendments also provide additional guidance on what disclosures should be provided in interim reporting periods. Lastly, this updated guidance incorporates a principle that requires entities to disclose significant events since the end of the last annual reporting period. The amendments in this update apply to all entities that provide interim financial statements and notes in accordance with U.S. GAAP. For public business entities, this amended guidance is effective for interim reporting periods within annual reporting periods beginning after December 15, 2027. Early adoption is permitted, and the amendments in this update can be applied either prospectively or retrospectively to any or all periods presented in the financial statements. We are currently evaluating the impact ASU No. 2025-11 will have on our future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in Note 1, revenues are recognized under guidance within ASC 606. The following table presents our disaggregated revenues for the periods presented (in thousands):</w:t>
      </w:r>
    </w:p>
    <w:tbl>
      <w:tblPr>
        <w:tblW w:w="7812" w:type="dxa"/>
        <w:jc w:val="left"/>
        <w:tblInd w:w="0" w:type="dxa"/>
        <w:tblLayout w:type="fixed"/>
        <w:tblCellMar>
          <w:top w:w="28" w:type="dxa"/>
          <w:left w:w="28" w:type="dxa"/>
          <w:bottom w:w="28" w:type="dxa"/>
          <w:right w:w="28" w:type="dxa"/>
        </w:tblCellMar>
      </w:tblPr>
      <w:tblGrid>
        <w:gridCol w:w="1167"/>
        <w:gridCol w:w="1027"/>
        <w:gridCol w:w="1031"/>
        <w:gridCol w:w="211"/>
        <w:gridCol w:w="976"/>
        <w:gridCol w:w="109"/>
        <w:gridCol w:w="109"/>
        <w:gridCol w:w="109"/>
        <w:gridCol w:w="109"/>
        <w:gridCol w:w="211"/>
        <w:gridCol w:w="976"/>
        <w:gridCol w:w="109"/>
        <w:gridCol w:w="109"/>
        <w:gridCol w:w="109"/>
        <w:gridCol w:w="109"/>
        <w:gridCol w:w="211"/>
        <w:gridCol w:w="97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JAKAFI 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OPZELURA revenues,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ICLUSIG revenues,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MINJUVI/MONJUVI revenues,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PEMAZYRE revenues,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NIKTIMVO revenues,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ZYNYZ revenues,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revenues,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JAKAVI product royalty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OLUMIANT product royalty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TABRECTA product royalty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royalty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royalty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For further information on the MINJUVI/MONJUVI revenues, refer to Note 5 and for further information on our revenue-generating contracts,</w:t>
      </w:r>
      <w:r>
        <w:rPr>
          <w:color w:val="000000"/>
        </w:rPr>
        <w:t xml:space="preserve"> </w:t>
      </w:r>
      <w:r>
        <w:rPr>
          <w:rFonts w:ascii="Times New Roman;serif" w:hAnsi="Times New Roman;serif"/>
          <w:b w:val="false"/>
          <w:color w:val="000000"/>
          <w:sz w:val="20"/>
        </w:rPr>
        <w:t>refer to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Fair Value of Financial Instruments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marketable security portfolio for the periods presented (in thousands):</w:t>
      </w:r>
    </w:p>
    <w:tbl>
      <w:tblPr>
        <w:tblW w:w="8068" w:type="dxa"/>
        <w:jc w:val="left"/>
        <w:tblInd w:w="0" w:type="dxa"/>
        <w:tblLayout w:type="fixed"/>
        <w:tblCellMar>
          <w:top w:w="28" w:type="dxa"/>
          <w:left w:w="28" w:type="dxa"/>
          <w:bottom w:w="28" w:type="dxa"/>
          <w:right w:w="28" w:type="dxa"/>
        </w:tblCellMar>
      </w:tblPr>
      <w:tblGrid>
        <w:gridCol w:w="891"/>
        <w:gridCol w:w="784"/>
        <w:gridCol w:w="785"/>
        <w:gridCol w:w="428"/>
        <w:gridCol w:w="389"/>
        <w:gridCol w:w="392"/>
        <w:gridCol w:w="109"/>
        <w:gridCol w:w="109"/>
        <w:gridCol w:w="109"/>
        <w:gridCol w:w="435"/>
        <w:gridCol w:w="284"/>
        <w:gridCol w:w="287"/>
        <w:gridCol w:w="454"/>
        <w:gridCol w:w="809"/>
        <w:gridCol w:w="237"/>
        <w:gridCol w:w="109"/>
        <w:gridCol w:w="109"/>
        <w:gridCol w:w="109"/>
        <w:gridCol w:w="413"/>
        <w:gridCol w:w="341"/>
        <w:gridCol w:w="485"/>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center"/>
              <w:rPr/>
            </w:pPr>
            <w:r>
              <w:rPr>
                <w:rFonts w:ascii="Times New Roman;serif" w:hAnsi="Times New Roman;serif"/>
                <w:b/>
                <w:sz w:val="16"/>
              </w:rPr>
              <w:br/>
            </w:r>
            <w:r>
              <w:rPr>
                <w:rFonts w:ascii="Times New Roman;serif" w:hAnsi="Times New Roman;serif"/>
                <w:b/>
                <w:color w:val="000000"/>
                <w:sz w:val="16"/>
              </w:rPr>
              <w:t>Unrealized</w:t>
              <w:br/>
              <w:t>Gains</w:t>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pPr>
            <w:r>
              <w:rPr>
                <w:rFonts w:ascii="Times New Roman;serif" w:hAnsi="Times New Roman;serif"/>
                <w:b/>
                <w:sz w:val="16"/>
              </w:rPr>
              <w:br/>
            </w: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2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42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480,793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45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482,787</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4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4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470,263</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contractual maturities of our available-for-sale debt securities as of December 31, 2025 (in thousands): </w:t>
      </w:r>
    </w:p>
    <w:tbl>
      <w:tblPr>
        <w:tblW w:w="7808" w:type="dxa"/>
        <w:jc w:val="left"/>
        <w:tblInd w:w="0" w:type="dxa"/>
        <w:tblLayout w:type="fixed"/>
        <w:tblCellMar>
          <w:top w:w="28" w:type="dxa"/>
          <w:left w:w="28" w:type="dxa"/>
          <w:bottom w:w="28" w:type="dxa"/>
          <w:right w:w="28" w:type="dxa"/>
        </w:tblCellMar>
      </w:tblPr>
      <w:tblGrid>
        <w:gridCol w:w="1267"/>
        <w:gridCol w:w="1112"/>
        <w:gridCol w:w="1115"/>
        <w:gridCol w:w="243"/>
        <w:gridCol w:w="388"/>
        <w:gridCol w:w="393"/>
        <w:gridCol w:w="109"/>
        <w:gridCol w:w="109"/>
        <w:gridCol w:w="109"/>
        <w:gridCol w:w="649"/>
        <w:gridCol w:w="388"/>
        <w:gridCol w:w="393"/>
        <w:gridCol w:w="109"/>
        <w:gridCol w:w="109"/>
        <w:gridCol w:w="109"/>
        <w:gridCol w:w="380"/>
        <w:gridCol w:w="341"/>
        <w:gridCol w:w="485"/>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1-5 Years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debt securities (government)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293,489</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Debt security assets were assessed for risk of expected credit losses per our accounting policy as described in Note 1. As of December 31, 2025 and 2024, the available-for-sale debt securities were held in U.S.-government backed securities and in Treasury bonds and were assessed on an individual security basis to have a de minimis risk of credit loss.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1—Valuations based on unadjusted quoted prices in active markets for identical assets or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Level 2—Valuations based on observable inputs and quoted prices in active markets for similar assets and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3—Valuations based on inputs that are unobservable and models that are significant to the overall fair value measurement.</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marketable securities consist of investments in U.S. government debt securities that are classified as available-for-sale.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fair value hierarchy table presents information about each major category of our financial assets measured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1063"/>
        <w:gridCol w:w="920"/>
        <w:gridCol w:w="925"/>
        <w:gridCol w:w="678"/>
        <w:gridCol w:w="607"/>
        <w:gridCol w:w="368"/>
        <w:gridCol w:w="195"/>
        <w:gridCol w:w="195"/>
        <w:gridCol w:w="195"/>
        <w:gridCol w:w="634"/>
        <w:gridCol w:w="388"/>
        <w:gridCol w:w="393"/>
        <w:gridCol w:w="195"/>
        <w:gridCol w:w="195"/>
        <w:gridCol w:w="195"/>
        <w:gridCol w:w="539"/>
        <w:gridCol w:w="278"/>
        <w:gridCol w:w="279"/>
        <w:gridCol w:w="109"/>
        <w:gridCol w:w="109"/>
        <w:gridCol w:w="109"/>
        <w:gridCol w:w="656"/>
        <w:gridCol w:w="403"/>
        <w:gridCol w:w="577"/>
      </w:tblGrid>
      <w:tr>
        <w:trPr/>
        <w:tc>
          <w:tcPr>
            <w:tcW w:w="106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58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58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7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3,097,817</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3,097,817</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482,787</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482,787</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Long term equity investments (Note 7)</w:t>
            </w:r>
          </w:p>
        </w:tc>
        <w:tc>
          <w:tcPr>
            <w:tcW w:w="16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47,991</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47,991</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7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3,145,808</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482,787</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3,628,595</w:t>
            </w:r>
          </w:p>
        </w:tc>
      </w:tr>
    </w:tbl>
    <w:tbl>
      <w:tblPr>
        <w:tblW w:w="10205" w:type="dxa"/>
        <w:jc w:val="left"/>
        <w:tblInd w:w="0" w:type="dxa"/>
        <w:tblLayout w:type="fixed"/>
        <w:tblCellMar>
          <w:top w:w="28" w:type="dxa"/>
          <w:left w:w="28" w:type="dxa"/>
          <w:bottom w:w="28" w:type="dxa"/>
          <w:right w:w="28" w:type="dxa"/>
        </w:tblCellMar>
      </w:tblPr>
      <w:tblGrid>
        <w:gridCol w:w="1063"/>
        <w:gridCol w:w="920"/>
        <w:gridCol w:w="925"/>
        <w:gridCol w:w="678"/>
        <w:gridCol w:w="607"/>
        <w:gridCol w:w="368"/>
        <w:gridCol w:w="195"/>
        <w:gridCol w:w="195"/>
        <w:gridCol w:w="195"/>
        <w:gridCol w:w="634"/>
        <w:gridCol w:w="388"/>
        <w:gridCol w:w="393"/>
        <w:gridCol w:w="195"/>
        <w:gridCol w:w="195"/>
        <w:gridCol w:w="195"/>
        <w:gridCol w:w="539"/>
        <w:gridCol w:w="278"/>
        <w:gridCol w:w="279"/>
        <w:gridCol w:w="109"/>
        <w:gridCol w:w="109"/>
        <w:gridCol w:w="109"/>
        <w:gridCol w:w="656"/>
        <w:gridCol w:w="403"/>
        <w:gridCol w:w="577"/>
      </w:tblGrid>
      <w:tr>
        <w:trPr/>
        <w:tc>
          <w:tcPr>
            <w:tcW w:w="106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58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58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7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1,687,829</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1,687,829</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(government)</w:t>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470,263</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470,263</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Long term equity investments (Note 7)</w:t>
            </w:r>
          </w:p>
        </w:tc>
        <w:tc>
          <w:tcPr>
            <w:tcW w:w="16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18,814</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18,814</w:t>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7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1,706,643</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470,263</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2,176,906</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fair value hierarchy table presents information about each major category of our financial liabilities measured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1292"/>
        <w:gridCol w:w="1137"/>
        <w:gridCol w:w="1141"/>
        <w:gridCol w:w="412"/>
        <w:gridCol w:w="794"/>
        <w:gridCol w:w="210"/>
        <w:gridCol w:w="124"/>
        <w:gridCol w:w="124"/>
        <w:gridCol w:w="124"/>
        <w:gridCol w:w="383"/>
        <w:gridCol w:w="737"/>
        <w:gridCol w:w="199"/>
        <w:gridCol w:w="124"/>
        <w:gridCol w:w="124"/>
        <w:gridCol w:w="124"/>
        <w:gridCol w:w="241"/>
        <w:gridCol w:w="946"/>
        <w:gridCol w:w="124"/>
        <w:gridCol w:w="109"/>
        <w:gridCol w:w="109"/>
        <w:gridCol w:w="109"/>
        <w:gridCol w:w="266"/>
        <w:gridCol w:w="1047"/>
        <w:gridCol w:w="205"/>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Liabilities</w:t>
              <w:br/>
              <w:t>(Level 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01"/>
        <w:gridCol w:w="1056"/>
        <w:gridCol w:w="1061"/>
        <w:gridCol w:w="660"/>
        <w:gridCol w:w="340"/>
        <w:gridCol w:w="335"/>
        <w:gridCol w:w="189"/>
        <w:gridCol w:w="189"/>
        <w:gridCol w:w="189"/>
        <w:gridCol w:w="623"/>
        <w:gridCol w:w="321"/>
        <w:gridCol w:w="324"/>
        <w:gridCol w:w="189"/>
        <w:gridCol w:w="189"/>
        <w:gridCol w:w="189"/>
        <w:gridCol w:w="539"/>
        <w:gridCol w:w="389"/>
        <w:gridCol w:w="392"/>
        <w:gridCol w:w="109"/>
        <w:gridCol w:w="109"/>
        <w:gridCol w:w="109"/>
        <w:gridCol w:w="646"/>
        <w:gridCol w:w="354"/>
        <w:gridCol w:w="503"/>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Liabilities</w:t>
              <w:br/>
              <w:t>(Level 1)</w:t>
            </w:r>
          </w:p>
        </w:tc>
        <w:tc>
          <w:tcPr>
            <w:tcW w:w="56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w:t>
              <w:br/>
              <w:t>Inputs</w:t>
              <w:br/>
              <w:t>(Level 2)</w:t>
            </w:r>
          </w:p>
        </w:tc>
        <w:tc>
          <w:tcPr>
            <w:tcW w:w="56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6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193,000</w:t>
            </w:r>
          </w:p>
        </w:tc>
      </w:tr>
      <w:tr>
        <w:trPr/>
        <w:tc>
          <w:tcPr>
            <w:tcW w:w="33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66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2"/>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gridSpan w:val="2"/>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193,000</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roll forward of our Level 3 liabilities (in thousands):</w:t>
      </w:r>
    </w:p>
    <w:tbl>
      <w:tblPr>
        <w:tblW w:w="8690" w:type="dxa"/>
        <w:jc w:val="left"/>
        <w:tblInd w:w="0" w:type="dxa"/>
        <w:tblLayout w:type="fixed"/>
        <w:tblCellMar>
          <w:top w:w="28" w:type="dxa"/>
          <w:left w:w="28" w:type="dxa"/>
          <w:bottom w:w="28" w:type="dxa"/>
          <w:right w:w="28" w:type="dxa"/>
        </w:tblCellMar>
      </w:tblPr>
      <w:tblGrid>
        <w:gridCol w:w="2136"/>
        <w:gridCol w:w="1871"/>
        <w:gridCol w:w="1887"/>
        <w:gridCol w:w="295"/>
        <w:gridCol w:w="500"/>
        <w:gridCol w:w="393"/>
        <w:gridCol w:w="109"/>
        <w:gridCol w:w="109"/>
        <w:gridCol w:w="109"/>
        <w:gridCol w:w="316"/>
        <w:gridCol w:w="479"/>
        <w:gridCol w:w="486"/>
      </w:tblGrid>
      <w:tr>
        <w:trPr/>
        <w:tc>
          <w:tcPr>
            <w:tcW w:w="213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January 1, </w:t>
            </w:r>
          </w:p>
        </w:tc>
        <w:tc>
          <w:tcPr>
            <w:tcW w:w="2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212,000</w:t>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during the period but not yet paid</w:t>
            </w:r>
          </w:p>
        </w:tc>
        <w:tc>
          <w:tcPr>
            <w:tcW w:w="7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(12,149)</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(9,956)</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during the period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(31,129)</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(28,847)</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and other adjustments</w:t>
            </w:r>
          </w:p>
        </w:tc>
        <w:tc>
          <w:tcPr>
            <w:tcW w:w="118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19,803</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w:t>
            </w:r>
          </w:p>
        </w:tc>
        <w:tc>
          <w:tcPr>
            <w:tcW w:w="29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valuation inputs utilized to estimate the fair value of the contingent consideration as of December 31, 2025 and 2024 included a discount rate of 10%, updated projections of future net revenues of ICLUSIG in the European Union and other countries for the approved third line treatment, and related applicable royalty rates. The change in fair value of the contingent consideration during the years ended December 31, 2025 and 2024 was due primarily to updated projections of future net revenues and royalties of ICLUSIG, including the impacts from fluctuations in foreign currency exchange rates, and the passage of time.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make payments to Takeda quarterly based on the royalties earned in the previous quarter. As of December 31, 2025 and 2024, contingent consideration earned but not yet paid was $12.1 million and $10.0 million, respectively, and was included in accrued and other current liabilities.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an asset impairment charge of $76.3 million on our consolidated statement of operations relating to our downtown Wilmington, Delaware properties in order to reflect the properties at the lower of their carrying amount or estimated fair value less cost to sell as of December 31, 2025. Refer to Note 8 for further information on the asset impairment.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there were no measurements required for any assets or liabilities at fair value on a non-recurring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Concentration of Credit Risk and Current Expected Credit Losses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November 2009, we entered into a collaboration and license agreement with Novartis. In December 2009, we entered into a license, development and commercialization agreement with Lilly. These two collaboration partners comprised, in aggregate, 17% and 19% of the accounts receivable balance as of December 31, 2025 and 2024, respectively. For further information relating to these collaboration and license agreements,</w:t>
      </w:r>
      <w:r>
        <w:rPr>
          <w:color w:val="000000"/>
        </w:rPr>
        <w:t xml:space="preserve"> </w:t>
      </w:r>
      <w:r>
        <w:rPr>
          <w:rFonts w:ascii="Times New Roman;serif" w:hAnsi="Times New Roman;serif"/>
          <w:b w:val="false"/>
          <w:color w:val="000000"/>
          <w:sz w:val="20"/>
        </w:rPr>
        <w:t>refer to Note 7.</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concentration of credit risk related to our JAKAFI and OPZELURA product revenues is as follows:</w:t>
      </w:r>
    </w:p>
    <w:tbl>
      <w:tblPr>
        <w:tblW w:w="3675" w:type="dxa"/>
        <w:jc w:val="left"/>
        <w:tblInd w:w="0" w:type="dxa"/>
        <w:tblLayout w:type="fixed"/>
        <w:tblCellMar>
          <w:top w:w="28" w:type="dxa"/>
          <w:left w:w="28" w:type="dxa"/>
          <w:bottom w:w="28" w:type="dxa"/>
          <w:right w:w="28" w:type="dxa"/>
        </w:tblCellMar>
      </w:tblPr>
      <w:tblGrid>
        <w:gridCol w:w="391"/>
        <w:gridCol w:w="344"/>
        <w:gridCol w:w="345"/>
        <w:gridCol w:w="180"/>
        <w:gridCol w:w="181"/>
        <w:gridCol w:w="271"/>
        <w:gridCol w:w="109"/>
        <w:gridCol w:w="109"/>
        <w:gridCol w:w="109"/>
        <w:gridCol w:w="180"/>
        <w:gridCol w:w="181"/>
        <w:gridCol w:w="271"/>
        <w:gridCol w:w="109"/>
        <w:gridCol w:w="109"/>
        <w:gridCol w:w="109"/>
        <w:gridCol w:w="180"/>
        <w:gridCol w:w="181"/>
        <w:gridCol w:w="31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Percentage of Total Net</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Product Revenues for the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Years Ended, </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risks associated with extending credit to customers related to the sale of products. Customers A, B, C, D and E comprised, in the aggregate, 54% and 49% of the accounts receivable balance as of December 31, 2025 and 2024, respectively. The concentration of credit risk relating to our other product revenues or accounts receivable is not significant.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assessed our collaborative and customer receivable assets as of December 31, 2025 according to our accounting policy for applying reserves for expected credit losses, noting minimal history of uncollectible receivables and the continued perceived creditworthiness of our third-party sales relationships, upon which the expected credit losses were considered de minimis.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Acquisitions</w:t>
      </w:r>
    </w:p>
    <w:p>
      <w:pPr>
        <w:pStyle w:val="TextBody"/>
        <w:bidi w:val="0"/>
        <w:spacing w:lineRule="auto" w:line="288" w:before="24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Tafasitamab</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2024, pursuant to a purchase agreement with MorphoSys AG (“MorphoSys”), we acquired exclusive global rights to tafasitamab, a humanized Fc-modified CD19-targeting immunotherapy marketed in the United States as MONJUVI (tafasitamab-cxix) and outside of the United States as MINJUVI (tafasitamab). We previously had the rights to tafasitamab outside of the United States under a January 2020 collaboration and license agreement with MorphoSys, which has now been terminated; therefore, this new agreement gave us all of the remaining global rights to tafasitamab. Under the terms of the purchase agreement, we made a payment of $25.0 million to MorphoSys and gained global development and commercialization rights for tafasitamab along with MONJUVI inventory. Since February 5, 2024, we now recognize revenue and costs for all U.S. commercialization and clinical development and MorphoSys is no longer eligible to receive future milestone, profit split and royalty payments under the now-terminated collaboration and license agreement.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set of activities and assets acquired under the purchase agreement and concluded that it did not meet the definition of a business because the acquired set did not include a substantive process. Therefore, the transaction was accounted for as an asset acquisition under U.S. GAAP and the total purchase price, inclusive of direct transaction costs, was allocated to the acquired MONJUVI inventory, in accordance with applicable accounting guidance.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purchase agreement, we also became the successor to MorphoSys under its collaboration and license agreement with Xencor, Inc. (“Xencor”), pursuant to which Xencor granted MorphoSys an exclusive, worldwide license, including the right to sublicense under certain conditions, for tafasitamab. During the first quarter of 2025, we paid Xencor a development milestone of $12.5 million for the FDA acceptance of the Biologics License Application filing for the use of tafasitamab for follicular lymphoma, which was recorded in research and development expense. In June 2025, we recorded a $25.0 million regulatory milestone owed to Xencor for the FDA approval of MONJUVI for the treatment of follicular lymphoma. This milestone payment was capitalized as an intangible asset and included in other intangible assets, net on the consolidated balance sheet as of December 31, 2025. The intangible asset will be amortized through cost of product revenues over the estimated useful life of approximately 8 years.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Xencor is entitled to receive up to an additional $145.0 million in future contingent development and regulatory milestones and up to $50.0 million in sales milestones. Furthermore, Xencor is eligible to receive tiered royalties on global net sales of tafasitamab in the single-digit to sub-teen double-digit percentage range. Our royalty obligations continue on a country-by-country basis until the later to occur of the expiration of the last valid claim in the licensed patent covering tafasitamab in such country, or 11 years after the first sale thereof following marketing authorization in such country. The term of the Xencor collaboration agreement will continue until all of our royalty payment obligations have expired, unless terminated earlier. The Xencor collaboration agreement may be terminated by either party upon written notice to the other party immediately in the event of the other party’s insolvency or upon 120 days’ written notice for the other party’s uncured material breach (or upon 30 days’ written notice in the case of a breach of a payment obligation). Moreover, we may terminate the Xencor collaboration agreement without cause upon 90 days’ advance written notice to Xencor. In the event that (i) we terminate this agreement for convenience or (ii) Xencor terminates due to our material breach, our challenge of Xencor’s licensed patents or our insolvency, worldwide rights to develop, manufacture and commercialize licensed products, including tafasitamab, revert back to Xencor.</w:t>
      </w:r>
    </w:p>
    <w:p>
      <w:pPr>
        <w:pStyle w:val="TextBody"/>
        <w:bidi w:val="0"/>
        <w:spacing w:lineRule="auto" w:line="288" w:before="240" w:after="283"/>
        <w:jc w:val="both"/>
        <w:rPr/>
      </w:pPr>
      <w:r>
        <w:rPr>
          <w:rFonts w:ascii="Times New Roman;serif" w:hAnsi="Times New Roman;serif"/>
          <w:b/>
          <w:i/>
          <w:color w:val="000000"/>
          <w:sz w:val="20"/>
        </w:rPr>
        <w:t>Escient Pharmaceuticals, Inc. (</w:t>
      </w:r>
      <w:r>
        <w:rPr>
          <w:color w:val="000000"/>
        </w:rPr>
        <w:t>“</w:t>
      </w:r>
      <w:r>
        <w:rPr>
          <w:rFonts w:ascii="Times New Roman;serif" w:hAnsi="Times New Roman;serif"/>
          <w:b/>
          <w:i/>
          <w:color w:val="000000"/>
          <w:sz w:val="20"/>
        </w:rPr>
        <w:t>Escient</w:t>
      </w:r>
      <w:r>
        <w:rPr>
          <w:color w:val="000000"/>
        </w:rPr>
        <w:t>”</w:t>
      </w:r>
      <w:r>
        <w:rPr>
          <w:rFonts w:ascii="Times New Roman;serif" w:hAnsi="Times New Roman;serif"/>
          <w:b/>
          <w:i/>
          <w:color w:val="000000"/>
          <w:sz w:val="2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30, 2024, we acquired all of the outstanding shares of common stock of Escient, a clinical-stage drug development company advancing novel small molecule therapeutics for systemic immune and neuro-immune disorders, for $782.5 million cash consideration, which included Escient’s net cash remaining at the close of the transaction, subject to adjustments set forth in the merger agreement with Escient.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Escient’s lead molecule, INCB000262 (formerly EP262), was a first-in-class oral Mas-related G protein-coupled receptor X2 (MRGPRX2) antagonist that has the potential to treat a broad range of inflammatory disorders. We accounted for the Escient transaction as an asset acquisition under U.S. GAAP because INCB000262 represents substantially all of the fair value of the gross assets acquired.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$782.5 million closing cash consideration per the terms of the merger agreement, we incurred $2.5 million of direct transaction costs that were included in the total consideration to be allocated to the acquired net assets. Of the $785.0 million total consideration, we recognized related compensation expense of $31.5 million associated with the accelerated vesting for certain Escient stock awards in connection with the acquisition on our consolidated statements of operations during the year ended December 31, 2024.</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allocation of the remaining U.S. GAAP consideration, net of compensation expense, across the net assets acquired (in thousands): </w:t>
      </w:r>
    </w:p>
    <w:tbl>
      <w:tblPr>
        <w:tblW w:w="6396" w:type="dxa"/>
        <w:jc w:val="left"/>
        <w:tblInd w:w="0" w:type="dxa"/>
        <w:tblLayout w:type="fixed"/>
        <w:tblCellMar>
          <w:top w:w="28" w:type="dxa"/>
          <w:left w:w="28" w:type="dxa"/>
          <w:bottom w:w="28" w:type="dxa"/>
          <w:right w:w="28" w:type="dxa"/>
        </w:tblCellMar>
      </w:tblPr>
      <w:tblGrid>
        <w:gridCol w:w="1885"/>
        <w:gridCol w:w="1656"/>
        <w:gridCol w:w="1664"/>
        <w:gridCol w:w="211"/>
        <w:gridCol w:w="826"/>
        <w:gridCol w:w="154"/>
      </w:tblGrid>
      <w:tr>
        <w:trPr/>
        <w:tc>
          <w:tcPr>
            <w:tcW w:w="1885"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GAAP Consideration (net of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In-process research and development (“IPR&amp;D”) assets are related to acquired clinical-stage product candidates: lead candidate, INCB000262, and secondary candidate, INCB000547 (formerly EP547). The fair value of IPR&amp;D assets was based on the present value of future discounted cash flows, which was based on significant estimates. These estimates included the amount of future product revenues, costs required to conduct clinical trials, future milestones and royalties payable under acquired license agreements, costs to receive regulatory approval and potentially commercialize product candidates, as well as estimates for probability of success and the discount rate. The concluded allocated fair values for INCB000262 and INCB000547 were $644.8 million and $34.6 million, respectively. As both acquired IPR&amp;D assets do not have an alternative future use at the acquisition date, we recognized the full amount of $679.4 million as research and development expenses on our consolidated statements of operations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Inventory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inventory balance consists of the following (in thousands):</w:t>
      </w:r>
    </w:p>
    <w:tbl>
      <w:tblPr>
        <w:tblW w:w="4808" w:type="dxa"/>
        <w:jc w:val="left"/>
        <w:tblInd w:w="0" w:type="dxa"/>
        <w:tblLayout w:type="fixed"/>
        <w:tblCellMar>
          <w:top w:w="28" w:type="dxa"/>
          <w:left w:w="28" w:type="dxa"/>
          <w:bottom w:w="28" w:type="dxa"/>
          <w:right w:w="28" w:type="dxa"/>
        </w:tblCellMar>
      </w:tblPr>
      <w:tblGrid>
        <w:gridCol w:w="776"/>
        <w:gridCol w:w="680"/>
        <w:gridCol w:w="688"/>
        <w:gridCol w:w="211"/>
        <w:gridCol w:w="826"/>
        <w:gridCol w:w="109"/>
        <w:gridCol w:w="109"/>
        <w:gridCol w:w="109"/>
        <w:gridCol w:w="109"/>
        <w:gridCol w:w="211"/>
        <w:gridCol w:w="82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27,860 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27,590 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API and Work-in-process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331,178 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443,292 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407,199 </w:t>
            </w:r>
          </w:p>
        </w:tc>
        <w:tc>
          <w:tcPr>
            <w:tcW w:w="15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stated at the lower of cost and net realizable value, consist of raw materials, active pharmaceutical ingredients (“API”), work in process, and finished goods, inclusive of freight and inventoriable overhead. At December 31, 2025, $101.1 million of inventory was classified as current on the consolidated balance sheet as we expect this inventory to be consumed for commercial use within the next twelve months. At December 31, 2025, $342.2 million of inventory was classified as non-current on the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605" cy="14605"/>
                <wp:effectExtent l="0" t="0" r="0" b="0"/>
                <wp:wrapNone/>
                <wp:docPr id="94" name="Frame9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We capitalize inventory after regulatory approval as the related costs are expected to be recoverable through the commercialization of the product. Costs incurred prior to regulatory approval are recorded as research and development expense in our consolidated statements of operations. At December 31, 2025, inventory with approximately $43.6 million of product costs inc</w:t>
      </w:r>
      <w:r>
        <w:rPr>
          <w:rFonts w:ascii="Times New Roman;serif" w:hAnsi="Times New Roman;serif"/>
          <w:b w:val="false"/>
          <w:color w:val="000000"/>
          <w:sz w:val="20"/>
          <w:shd w:fill="FFFFFF" w:val="clear"/>
        </w:rPr>
        <w:t>urred prior to regulatory approval had not yet been sold. We expe</w:t>
      </w:r>
      <w:r>
        <w:rPr>
          <w:rFonts w:ascii="Times New Roman;serif" w:hAnsi="Times New Roman;serif"/>
          <w:b w:val="false"/>
          <w:color w:val="000000"/>
          <w:sz w:val="20"/>
        </w:rPr>
        <w:t xml:space="preserve">ct to sell the pre-commercialization inventory over the next 9 months to 31 months and, as a result, cost of product revenues will reflect a lower average per unit cost of materials.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Collaborative and Other Relationships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Novartis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this agreement,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were initially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 disease (“GVHD”). Since the inception of the agreement through December 31, 2025, we have recognized and received, in the aggregate, $157.0 million for the achievement of development milestones, $345.0 million for the achievement of regulatory milestones and $200.0 million for the achievement of sales milestones.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obligated to pay to Novartis tiered royalties in the low single-digits on future JAKAFI net sales within the United States. On May 11, 2025, we and Novartis entered into a settlement agreement (the “Settlement Agreement”) with respect to litigation initiated by Novartis relating to the duration of royalty payments owed by us to Novartis under the Collaboration and License Agreement. As of March 31, 2025, we had approximately $537.1 million of accrued royalties relating to the dispute with Novartis included in accrued and other current liabilities on our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for a period defined in the Settlement Agreement. The reduced royalty paid for the quarter ended March 31, 2025, was approximately $14.9 million. The difference of $242.2 million between the total accrued royalties and the total amount paid by us to Novartis as disclosed above was recorded in Contract dispute settlement on our consolidated statement of operations for the year ended December 31, 2025.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such royalties on net sales within the United States totaled $88.1 million, $131.8 million and $122.1 million, respectively, and were reflected in cost of product revenues on the consolidated statements of operations. At December 31, 2025 and 2024, approximately $20.3 million and $507.4 million, respectively, of accrued royalties were included in accrued and other current liabilities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are eligible to receive tiered, double-digit royalties ranging from the upper-teens to the mid-twenties on future JAKAVI (the trade name used by Novartis for ruxolitinib sales outside of the United States) net sales outside of the United States, and tiered, worldwide royalties on TABRECTA net sales that range from 12% to 14%. Product royalty revenue related to Novartis’ net sales of JAKAVI outside of the United States for the years ended December 31, 2025, 2024 and 2023 was $457.7 million, $418.8 million and $367.6 million, respectively. Product royalty revenue related to Novartis’ net sales of TABRECTA worldwide for the years ended December 31, 2025, 2024 and 2023 was $26.7 million, $22.7 million and $17.8 million, respectively.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Lilly - Baricitinib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this agreement, we were initially eligible to receive up to $150.0 million for the achievement of development milestones, up to $365.0 million for the achievement of regulatory milestones and up to $150.0 million for the achievement of sales milestones. In October 2025, the parties amended the agreement to enable Lilly to commercialize baricitinib for the treatment of Type 1 diabetes mellitus and to restructure the royalty obligations on net sales of baricitinib, certain developmental and regulatory milestones associated with baricitinib, and the marketing and sales support obligations of Lilly, for which we received an upfront payment of $100.0 million. This upfront payment was recognized in our milestone and contract revenues for the year ended December 31, 2025, resulting from the transfer of functional intellectual property related to Type 1 diabetes mellitus. Beginning in October 2025, we are now eligible to receive either a fixed royalty amount or tiered royalties based on defined levels of quarterly global net sales, with the tiered royalties up to a rate in the mid-teens. Since the inception of the agreement through December 31, 2025, we recognized and received, in aggregate, $149.0 million for the achievement of development milestones, $335.0 million for the achievement of regulatory milestones, $50.0 million for the achievement of sales milestones, and $100.0 million in October 2025 for the functional intellectual property transfer related to Type 1 diabetes mellitus.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royalty revenue related to Lilly net sales of OLUMIANT outside of the United States for the years ended December 31, 2025, 2024 and 2023, was $144.6 million, $135.6 million and $136.1 million, respectively.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Agenus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agreed to collaborate on the discovery of novel immuno-therapeutics using Agenus’ antibody discovery platforms. In February 2025, we provided Agenus with notice that we are terminating the parties’ agreement based upon a strategic review. Under the terms of the agreement, the termination became effective in February 2026.</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2024, we sold our shares of Agenus Inc. common stock, and as of December 31, 2024, we had no remaining investment in Agenus Inc. common stock. For the years ended December 31, 2024, and 2023, we recorded realized and unrealized losses of $8.2 million, and $18.9 million, respectively, based on the sale of shares and change in fair value of Agenus Inc.’s common stock during the respective periods.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Merus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2024, we sold our investment of Merus’ common shares, and as of December 31, 2024, we had no remaining investment in Merus’ common shares. For the years ended December 31, 2024, and 2023, we recorded realized and unrealized gains of $106.1 million and $45.2 million, respectively, based on the sale of shares and change in fair value of remaining Merus’ common shares during the respective periods.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MacroGenics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October 2017, we entered into a Global Collaboration and License Agreement with MacroGenics, Inc. (“MacroGenics”). Under this agreement, we received exclusive development and commercialization rights worldwide to MacroGenics’ INCMGA0012,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inception of the agreement, inclusive of amendments to the agreement, through December 31, 2025, we have paid MacroGenics developmental and regulatory milestones totaling $215.0 million.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 In June 2025, MacroGenics sold certain of its rights to such future tiered royalties on and after June 30, 2025 to Sagard Healthcare Partners (Delaware) II LP.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MorphoSys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in Note 5, on February 5, 2024, we entered into a purchase agreement with MorphoSys that became effective as of that date, as a result of which we now hold exclusive global rights for tafasitamab, a humanized Fc-modified CD19-targeting immunotherapy marketed in the United States as MONJUVI (tafasitamab-cxix) and outside of the United States as MINJUVI (tafasitamab). Prior to the acquisition, pursuant to a now-terminated collaboration and license agreement, we and MorphoSys agreed to co-develop tafasitamab and to share development costs associated with global and U.S.-specific clinical trials, with Incyte responsible for 55% of such costs and MorphoSys responsible for 45% of such costs. Each company was responsible for funding any independent development activities, and we were responsible for funding development activities specific to territories outside of the United States.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2024, we sold our investment of MorphoSys AG’s ordinary shares, and as of December 31, 2024, we had no remaining investment in MorphoSys AG’s ordinary shares. For the years ended December 31, 2024, and 2023, we recorded realized and unrealized gains of $30.7 million and $22.9 million, respectively, based on the sale of shares and change in fair value of MorphoSys AG’s ordinary shares during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in Note 5, subsequent to the asset acquisition, we recognize revenue and costs for all commercialization and clinical development of tafasitamab in the United States. Research and development expenses for the period from January 1, 2024 to the asset acquisition on February 5, 2024 includes $10.7 million related to our 55% share of the co-development costs for tafasitamab.</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Syndax</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2021, we entered into a Collaboration and License Agreement with Syndax Pharmaceuticals, Inc. (“Syndax”), covering the worldwide development and commercialization of SNDX-6352 (“axatilimab”). Under the terms of our agreement, we received exclusive commercialization rights to axatilimab outside of the United States and share commercialization rights in the United States with Syndax. We are responsible for leading the commercialization strategy and booking all revenue from sales of axatilimab globally.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we made a $12.5 million regulatory milestone payment to Syndax for the FDA approval of NIKTIMVO for the treatment of GVHD. This milestone payment was capitalized as an intangible asset and included in other intangible assets, net on the consolidated balance sheet as of December 31, 2025, and is being amortized through cost of product revenues over the estimated useful life of 10 years.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Inclusive of an upfront, non-refundable payment, since the inception of the agreement through December 31, 2025, we have made payments of $129.5 million to Syndax, which were previously recorded in research and development expense or in other intangible assets, as discussed above. As of December 31, 2025, Syndax is eligible to receive up to $207.5 million in future contingent development and regulatory milestones and up to $225.0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held an investment of approximately 1.4 million shares of Syndax common stock. The fair market value of our long term investment in Syndax as of December 31, 2025 and 2024 was $29.9 million and $18.8 million, respectively. For the years ended December 31, 2025, 2024 and 2023, we recorded an unrealized gain of $11.1 million, an unrealized loss of $11.9 million, and an unrealized loss of $5.5 million, respectively, based on the change in fair value of Syndax’s common stock during the respective periods.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years ended December 31, 2025 and 2024, includes $21.9 million and $18.8 million, respectively, related to our 55% share of the co-development costs for axatilimab. At December 31, 2025 and 2024, $2.4 million and $2.2 million, respectively, was included in accrued and other liabilities on the consolidated balance sheet for amounts due to Syndax related to co-development activities under the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United States co-commercialization efforts, Syndax’s 50% share of profit was $44.0 million for the year ended December 31, 2025, which is reflected in cost of product revenues on the consolidated statement of operations. At December 31, 2025, $27.6 million was included in accrued and other liability on the consolidated balance sheet for amounts due to Syndax related to United States co-commercialization activities.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Sun Pharmaceuticals, Inc.</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we entered into a settlement and license agreement with Sun Pharmaceuticals, Inc. (“Sun”), resolving patent infringement litigation related to Leqselvi (deuruxolitinib). Under this agreement, we have granted Sun a limited, non-exclusive license in the U.S. with respect to oral deuruxolitinib for certain agreed-upon non-hematology-oncology indications, including alopecia areata. In exchange for the limited license, Sun has paid us an upfront payment upon our transfer of functional intellectual property, which is included in milestone and contract revenues on the consolidated statement of operations for the year ended December 31, 2025, and has agreed to pay to us ongoing royalty payments. The amount associated with the settlement component is de minimis.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Prelude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2025, we entered into an exclusive purchase option agreement with Prelude Therapeutics Incorporated (“Prelude”). Under the terms of the agreement, we secured an exclusive option to acquire Prelude’s mutant selective JAK2V617F JH2 inhibitor program, including Prelude’s library of preclinical candidates. We paid Prelude a total of $60.0 million, comprised of an upfront payment of $35.0 million, plus a $25.0 million equity investment in Prelude. The $35.0 million upfront payment was recorded in research and development expense during the fourth quarter of 2025. We purchased 6.25 million shares of Prelude non-voting common stock at a price of $4.00 per share. Of this $25.0 million equity investment, approximately $17.1 million was expensed in research and development as a premium above fair value of the stock purchase. The remaining $7.9 million is the initial fair value of our investment in Prelude. We are accounting for our shares held in Prelude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 ended December 31, 2025, we recorded an unrealized gain of $10.3 million based on the change in fair value of Prelude’s common stock during the period. The fair market value of our total long term investment in Prelude as of December 31, 2025 was $18.1 million.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Prelude expects to advance the JAK2V617F program to pre-defined milestones. We may elect to exercise our exclusive option during the option period to acquire the program and associated assets from Prelude for $100.0 million. In addition, if we exercise our option, Prelude would be eligible to receive up to $775.0 million in additional clinical and regulatory milestones, and single digit royalties on global net sales.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elect to not exercise our option to acquire the program, all JAK2V617F global program rights and interests would remain in the sole ownership and control of Prelude.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Agreements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Property and Equipment,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713" w:type="dxa"/>
        <w:jc w:val="left"/>
        <w:tblInd w:w="0" w:type="dxa"/>
        <w:tblLayout w:type="fixed"/>
        <w:tblCellMar>
          <w:top w:w="28" w:type="dxa"/>
          <w:left w:w="28" w:type="dxa"/>
          <w:bottom w:w="28" w:type="dxa"/>
          <w:right w:w="28" w:type="dxa"/>
        </w:tblCellMar>
      </w:tblPr>
      <w:tblGrid>
        <w:gridCol w:w="1467"/>
        <w:gridCol w:w="1287"/>
        <w:gridCol w:w="1295"/>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1,105,951 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763,411 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2024, we purchased additional property in Wilmington, Delaware, including land, office buildings and parking garages for a purchase price of $48.7 million. Subsequent to the purchase, we incurred additional construction costs of approximately $28.6 million through December 2025. During December 2025, the downtown Wilmington, Delaware properties met the criteria to be classified as assets held for sale. As a result of this classification, we recorded an asset impairment charge of $76.3 million on our consolidated statement of operations relating to the downtown Wilmington properties in order to reflect the properties at the lower of their carrying amount or estimated fair value less cost to sell as of December 31, 2025. The estimated fair value less cost to sell of the properties has been recorded within the Prepaid expenses and other current assets line item on our consolidated balance sheet as of December 31, 2025. We currently expect to close on the sale of the downtown Wilmington, Delaware properties during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including amortization expense of leasehold improvements, was $66.6 million, $65.6 million and $60.1 million for the years ended December 31, 2025, 2024 and 2023,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current operating lease liabilities are reflected in accrued and other current liabilities and our noncurrent operating lease liabilities are reflected in other liabilities on the consolidated balance sheets and are as follows (in thousands):</w:t>
      </w:r>
    </w:p>
    <w:tbl>
      <w:tblPr>
        <w:tblW w:w="4385" w:type="dxa"/>
        <w:jc w:val="left"/>
        <w:tblInd w:w="0" w:type="dxa"/>
        <w:tblLayout w:type="fixed"/>
        <w:tblCellMar>
          <w:top w:w="28" w:type="dxa"/>
          <w:left w:w="28" w:type="dxa"/>
          <w:bottom w:w="28" w:type="dxa"/>
          <w:right w:w="28" w:type="dxa"/>
        </w:tblCellMar>
      </w:tblPr>
      <w:tblGrid>
        <w:gridCol w:w="796"/>
        <w:gridCol w:w="699"/>
        <w:gridCol w:w="710"/>
        <w:gridCol w:w="229"/>
        <w:gridCol w:w="336"/>
        <w:gridCol w:w="340"/>
        <w:gridCol w:w="109"/>
        <w:gridCol w:w="109"/>
        <w:gridCol w:w="109"/>
        <w:gridCol w:w="227"/>
        <w:gridCol w:w="296"/>
        <w:gridCol w:w="425"/>
      </w:tblGrid>
      <w:tr>
        <w:trPr/>
        <w:tc>
          <w:tcPr>
            <w:tcW w:w="7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4,419</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16,793</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33,542</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60,337</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maturity of our lease liabilities are as follows (in thousands):</w:t>
      </w:r>
    </w:p>
    <w:tbl>
      <w:tblPr>
        <w:tblW w:w="5149" w:type="dxa"/>
        <w:jc w:val="left"/>
        <w:tblInd w:w="0" w:type="dxa"/>
        <w:tblLayout w:type="fixed"/>
        <w:tblCellMar>
          <w:top w:w="28" w:type="dxa"/>
          <w:left w:w="28" w:type="dxa"/>
          <w:bottom w:w="28" w:type="dxa"/>
          <w:right w:w="28" w:type="dxa"/>
        </w:tblCellMar>
      </w:tblPr>
      <w:tblGrid>
        <w:gridCol w:w="973"/>
        <w:gridCol w:w="854"/>
        <w:gridCol w:w="857"/>
        <w:gridCol w:w="421"/>
        <w:gridCol w:w="336"/>
        <w:gridCol w:w="340"/>
        <w:gridCol w:w="109"/>
        <w:gridCol w:w="109"/>
        <w:gridCol w:w="109"/>
        <w:gridCol w:w="320"/>
        <w:gridCol w:w="296"/>
        <w:gridCol w:w="425"/>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Finance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5,695</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4,048</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3,435</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After 2030</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19,791</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cash payments</w:t>
            </w:r>
          </w:p>
        </w:tc>
        <w:tc>
          <w:tcPr>
            <w:tcW w:w="4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41,449</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discount </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4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34,715</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cash paid for amounts included in the measurement of our operating lease liabilities for the years ended December 31, 2025, 2024 and 2023 was $7.5 million, $7.1 million and $9.4 million, respectively, in operating cash flows. The cash paid for amounts included in the measurement of our finance lease liabilities for the years ended December 31, 2025, 2024 and 2023 was $4.5 million, $3.8 million and $3.4 million, respectively, in financing cash flows.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finance and operating leases had a weighted average lease term of approximately 9.8 years and 4.8 years, respectively. The discount rate of our leases is an approximation of an estimated incremental borrowing rate and is dependent upon the term and economics of each agreement. The weighted average discount rate of our finance and operating leases was approximately 3.5% and 4.3%,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our finance and operating leases had a weighted average lease term of approximately 10.4 years and 4.8 years, respectively. The weighted average discount rate of our finance and operating leases was approximately 3.6% and 4.5%,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2023, our finance and operating leases had a weighted average lease term of approximately 10.8 years and 5.8 years, respectively. The weighted average discount rate of our finance and operating leases was approximately 4.0% and 3.9%,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incurred approximately $7.7 million of expense related to our operating leases, approximately $4.5 million of amortization on our finance lease right-of-use assets and approximately $1.3 million of interest expense on our finance lease liabilities. For the year ended December 31, 2024, we incurred approximately $8.1 million of expense related to our operating leases, approximately $3.9 million of amortization on our finance lease right-of-use assets and approximately $1.3 million of interest expense on our finance lease liabilities. For the year ended December 31, 2023, we incurred approximately $9.8 million of expense related to our operating leases, approximately $3.5 million of amortization on our finance lease right-of-use assets and approximately $1.3 million of interest expense on our finance lease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Intangible Assets and Goodwill</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intangible assets were as follows (in thousands, except for useful life):</w:t>
      </w:r>
    </w:p>
    <w:tbl>
      <w:tblPr>
        <w:tblW w:w="10941" w:type="dxa"/>
        <w:jc w:val="left"/>
        <w:tblInd w:w="0" w:type="dxa"/>
        <w:tblLayout w:type="fixed"/>
        <w:tblCellMar>
          <w:top w:w="28" w:type="dxa"/>
          <w:left w:w="28" w:type="dxa"/>
          <w:bottom w:w="28" w:type="dxa"/>
          <w:right w:w="28" w:type="dxa"/>
        </w:tblCellMar>
      </w:tblPr>
      <w:tblGrid>
        <w:gridCol w:w="391"/>
        <w:gridCol w:w="344"/>
        <w:gridCol w:w="346"/>
        <w:gridCol w:w="265"/>
        <w:gridCol w:w="265"/>
        <w:gridCol w:w="266"/>
        <w:gridCol w:w="109"/>
        <w:gridCol w:w="109"/>
        <w:gridCol w:w="109"/>
        <w:gridCol w:w="384"/>
        <w:gridCol w:w="389"/>
        <w:gridCol w:w="392"/>
        <w:gridCol w:w="109"/>
        <w:gridCol w:w="109"/>
        <w:gridCol w:w="109"/>
        <w:gridCol w:w="531"/>
        <w:gridCol w:w="389"/>
        <w:gridCol w:w="392"/>
        <w:gridCol w:w="109"/>
        <w:gridCol w:w="109"/>
        <w:gridCol w:w="109"/>
        <w:gridCol w:w="384"/>
        <w:gridCol w:w="337"/>
        <w:gridCol w:w="339"/>
        <w:gridCol w:w="109"/>
        <w:gridCol w:w="109"/>
        <w:gridCol w:w="109"/>
        <w:gridCol w:w="384"/>
        <w:gridCol w:w="389"/>
        <w:gridCol w:w="392"/>
        <w:gridCol w:w="109"/>
        <w:gridCol w:w="109"/>
        <w:gridCol w:w="109"/>
        <w:gridCol w:w="531"/>
        <w:gridCol w:w="389"/>
        <w:gridCol w:w="392"/>
        <w:gridCol w:w="109"/>
        <w:gridCol w:w="109"/>
        <w:gridCol w:w="109"/>
        <w:gridCol w:w="367"/>
        <w:gridCol w:w="296"/>
        <w:gridCol w:w="42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Balance at December 31,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Average Useful</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IP</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86,146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milestone payments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26,680</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years ended December 31, 2025, 2024 and 2023, was $26.7 million, $23.6 million, and $22.5 million, respectively. Estimated aggregate amortization expense based on the current carrying value of amortizable intangible assets will be as follows for the years ending December 31 (in thousands):</w:t>
      </w:r>
    </w:p>
    <w:tbl>
      <w:tblPr>
        <w:tblW w:w="8990" w:type="dxa"/>
        <w:jc w:val="left"/>
        <w:tblInd w:w="0" w:type="dxa"/>
        <w:tblLayout w:type="fixed"/>
        <w:tblCellMar>
          <w:top w:w="28" w:type="dxa"/>
          <w:left w:w="28" w:type="dxa"/>
          <w:bottom w:w="28" w:type="dxa"/>
          <w:right w:w="28" w:type="dxa"/>
        </w:tblCellMar>
      </w:tblPr>
      <w:tblGrid>
        <w:gridCol w:w="690"/>
        <w:gridCol w:w="606"/>
        <w:gridCol w:w="609"/>
        <w:gridCol w:w="229"/>
        <w:gridCol w:w="336"/>
        <w:gridCol w:w="340"/>
        <w:gridCol w:w="109"/>
        <w:gridCol w:w="109"/>
        <w:gridCol w:w="109"/>
        <w:gridCol w:w="229"/>
        <w:gridCol w:w="336"/>
        <w:gridCol w:w="340"/>
        <w:gridCol w:w="109"/>
        <w:gridCol w:w="109"/>
        <w:gridCol w:w="109"/>
        <w:gridCol w:w="229"/>
        <w:gridCol w:w="336"/>
        <w:gridCol w:w="340"/>
        <w:gridCol w:w="109"/>
        <w:gridCol w:w="109"/>
        <w:gridCol w:w="109"/>
        <w:gridCol w:w="229"/>
        <w:gridCol w:w="284"/>
        <w:gridCol w:w="287"/>
        <w:gridCol w:w="109"/>
        <w:gridCol w:w="109"/>
        <w:gridCol w:w="109"/>
        <w:gridCol w:w="229"/>
        <w:gridCol w:w="284"/>
        <w:gridCol w:w="287"/>
        <w:gridCol w:w="109"/>
        <w:gridCol w:w="109"/>
        <w:gridCol w:w="109"/>
        <w:gridCol w:w="414"/>
        <w:gridCol w:w="298"/>
        <w:gridCol w:w="423"/>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20,855</w:t>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carrying amount of goodwill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Accrued and Other Current Liabilities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Accrued and other current liabilities consisted of the following (in thousands): </w:t>
      </w:r>
    </w:p>
    <w:tbl>
      <w:tblPr>
        <w:tblW w:w="6169" w:type="dxa"/>
        <w:jc w:val="left"/>
        <w:tblInd w:w="0" w:type="dxa"/>
        <w:tblLayout w:type="fixed"/>
        <w:tblCellMar>
          <w:top w:w="28" w:type="dxa"/>
          <w:left w:w="28" w:type="dxa"/>
          <w:bottom w:w="28" w:type="dxa"/>
          <w:right w:w="28" w:type="dxa"/>
        </w:tblCellMar>
      </w:tblPr>
      <w:tblGrid>
        <w:gridCol w:w="1259"/>
        <w:gridCol w:w="1108"/>
        <w:gridCol w:w="1112"/>
        <w:gridCol w:w="229"/>
        <w:gridCol w:w="462"/>
        <w:gridCol w:w="469"/>
        <w:gridCol w:w="109"/>
        <w:gridCol w:w="109"/>
        <w:gridCol w:w="109"/>
        <w:gridCol w:w="227"/>
        <w:gridCol w:w="401"/>
        <w:gridCol w:w="575"/>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519,881</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related costs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132,446</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allowances</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438,053</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33,439</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23,781</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58,865</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1,212,048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Stockholders’ Equity</w:t>
      </w:r>
    </w:p>
    <w:p>
      <w:pPr>
        <w:pStyle w:val="TextBody"/>
        <w:bidi w:val="0"/>
        <w:spacing w:lineRule="auto" w:line="288" w:before="240" w:after="283"/>
        <w:ind w:left="0" w:right="0" w:firstLine="720"/>
        <w:jc w:val="both"/>
        <w:rPr/>
      </w:pPr>
      <w:r>
        <w:rPr>
          <w:rFonts w:ascii="Times New Roman;serif" w:hAnsi="Times New Roman;serif"/>
          <w:b/>
          <w:i/>
          <w:color w:val="000000"/>
          <w:sz w:val="20"/>
        </w:rPr>
        <w:t>Preferred Stock</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are authorized to issue 5,000,000 shares of preferred stock, none of which was outstanding as of December 31, 2025 and 2024. The Board of Directors may determine the rights, preferences and privileges of any preferred stock issued in the future.</w:t>
      </w:r>
    </w:p>
    <w:p>
      <w:pPr>
        <w:pStyle w:val="TextBody"/>
        <w:bidi w:val="0"/>
        <w:spacing w:lineRule="auto" w:line="288" w:before="240" w:after="283"/>
        <w:ind w:left="0" w:right="0" w:firstLine="720"/>
        <w:jc w:val="both"/>
        <w:rPr/>
      </w:pPr>
      <w:r>
        <w:rPr>
          <w:rFonts w:ascii="Times New Roman;serif" w:hAnsi="Times New Roman;serif"/>
          <w:b/>
          <w:i/>
          <w:color w:val="000000"/>
          <w:sz w:val="20"/>
        </w:rPr>
        <w:t>Common Stock</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are authorized to issue 400,000,000 shares of common stock.</w:t>
      </w:r>
    </w:p>
    <w:p>
      <w:pPr>
        <w:pStyle w:val="TextBody"/>
        <w:bidi w:val="0"/>
        <w:spacing w:lineRule="auto" w:line="288" w:before="240" w:after="240"/>
        <w:ind w:left="0" w:right="0" w:firstLine="720"/>
        <w:jc w:val="both"/>
        <w:rPr/>
      </w:pPr>
      <w:r>
        <w:rPr>
          <w:rFonts w:ascii="Times New Roman;serif" w:hAnsi="Times New Roman;serif"/>
          <w:b/>
          <w:i/>
          <w:color w:val="000000"/>
          <w:sz w:val="20"/>
        </w:rPr>
        <w:t xml:space="preserve">Share Repurchase and Modified </w:t>
      </w:r>
      <w:r>
        <w:rPr>
          <w:color w:val="000000"/>
        </w:rPr>
        <w:t>“</w:t>
      </w:r>
      <w:r>
        <w:rPr>
          <w:rFonts w:ascii="Times New Roman;serif" w:hAnsi="Times New Roman;serif"/>
          <w:b/>
          <w:i/>
          <w:color w:val="000000"/>
          <w:sz w:val="20"/>
        </w:rPr>
        <w:t>Dutch Auction</w:t>
      </w:r>
      <w:r>
        <w:rPr>
          <w:color w:val="000000"/>
        </w:rPr>
        <w:t xml:space="preserve">” </w:t>
      </w:r>
      <w:r>
        <w:rPr>
          <w:rFonts w:ascii="Times New Roman;serif" w:hAnsi="Times New Roman;serif"/>
          <w:b/>
          <w:i/>
          <w:color w:val="000000"/>
          <w:sz w:val="20"/>
        </w:rPr>
        <w:t>Tender Offer.</w:t>
      </w:r>
      <w:r>
        <w:rPr>
          <w:color w:val="000000"/>
        </w:rPr>
        <w:t xml:space="preserve"> </w:t>
      </w:r>
      <w:r>
        <w:rPr>
          <w:rFonts w:ascii="Times New Roman;serif" w:hAnsi="Times New Roman;serif"/>
          <w:b w:val="false"/>
          <w:color w:val="000000"/>
          <w:sz w:val="20"/>
        </w:rPr>
        <w:t>On May 13, 2024, we</w:t>
      </w:r>
      <w:r>
        <w:rPr>
          <w:color w:val="000000"/>
        </w:rPr>
        <w:t xml:space="preserve"> </w:t>
      </w:r>
      <w:r>
        <w:rPr>
          <w:rFonts w:ascii="Times New Roman;serif" w:hAnsi="Times New Roman;serif"/>
          <w:b w:val="false"/>
          <w:color w:val="000000"/>
          <w:sz w:val="20"/>
        </w:rPr>
        <w:t>announced that our Board of Directors approved a share repurchase authorization of $2.0 billion. Subsequently, we commenced a modified “Dutch Auction” tender offer to repurchase shares of our common stock for an aggregate purchase price of up to $1.672 billion (the “tender offer”). We offered to purchase up to $1.672 billion in value of our common stock at a price not greater than $60.00 per share nor less than $52.00 per share, net to the seller in cash, less any applicable withholding taxes and without interest, upon the terms and subject to the conditions set forth in the tender offer documents that were distributed to stockholders. A modified “Dutch Auction” tender offer allows stockholders to indicate how much stock they wish to tender and at what price within the range described above. Based on the number of shares tendered and the prices specified by the tendering stockholders, we determined the lowest price per share that enabled us to purchase $1.672 billion of common stock at such price. On June 13, 2024, we completed the tender offer and repurchased 27,866,666 shares at a price of $60.00 per share for an aggregate price of approximately $1.672 billion, excluding fees and related expenses, pursuant to the tender offer.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on May 12, 2024, we entered into a separate stock purchase agreement with Julian C. Baker (a member of our Board of Directors), Felix J. Baker, and entities affiliated with Julian C. and Felix J. Baker, including funds advised by Baker Bros. Advisors LP (collectively, the “Baker Entities”), to repurchase up to $328.0 million of our common stock. This would enable the Baker Entities to maintain their ownership level as of May 9, 2024 of approximately 16.4% of Incyte’s outstanding common stock. The Baker Entities purchase was to be at the same price per share as was determined and paid in the tender offer. On June 26, 2024, we repurchased 5,459,183 shares at a price of $60.00 per share for an aggregate price of approximately $328.0 million pursuant to the terms of the stock purchase agreement with the Baker Entities.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share repurchases as retirements, whereby it reduces common stock and additional paid-in capital by the amount of the original issuance, with any excess purchase price recorded as a reduction to retained earnings (accumulated deficit). Any transaction costs, including the excise tax, directly associated with the share repurchases are included as part of the purchase price. Under this method, the issued and outstanding shares of common stock are reduced by the number of shares of common stock repurchased, and no treasury stock is recognized on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total of 33,325,849 common shares were repurchased during June 2024 at a price of $60.00 per share for an aggregate purchase price of approximately $2.0 billion. We incurred $24.4 million in fees and expenses associated with the share repurchase, which included $19.1 million for excise taxes on share repurchases in accordance with the Inflation Reduction Act of 2022. We paid the excise tax in April 2025. These costs are recognized within (accumulated deficit) retained earnings on the consolidated balance sheet as of December 31, 2025 as costs to repurchase our common stock. The purchased shares were cancelled and ceased to be outstanding.</w:t>
      </w:r>
    </w:p>
    <w:p>
      <w:pPr>
        <w:pStyle w:val="TextBody"/>
        <w:bidi w:val="0"/>
        <w:spacing w:lineRule="auto" w:line="288" w:before="240" w:after="240"/>
        <w:ind w:left="0" w:right="0" w:firstLine="720"/>
        <w:jc w:val="both"/>
        <w:rPr/>
      </w:pPr>
      <w:r>
        <w:rPr>
          <w:rFonts w:ascii="Times New Roman;serif" w:hAnsi="Times New Roman;serif"/>
          <w:b/>
          <w:i/>
          <w:color w:val="000000"/>
          <w:sz w:val="20"/>
        </w:rPr>
        <w:t>Stock Compensation Plans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As of December 31, 2025, we had a total of 9,949,772 shares of our common stock available for future issuance related to our stock plans as described below.</w:t>
      </w:r>
    </w:p>
    <w:p>
      <w:pPr>
        <w:pStyle w:val="TextBody"/>
        <w:bidi w:val="0"/>
        <w:spacing w:lineRule="auto" w:line="288" w:before="240" w:after="240"/>
        <w:ind w:left="0" w:right="0" w:firstLine="720"/>
        <w:jc w:val="both"/>
        <w:rPr/>
      </w:pPr>
      <w:r>
        <w:rPr>
          <w:rFonts w:ascii="Times New Roman;serif" w:hAnsi="Times New Roman;serif"/>
          <w:b w:val="false"/>
          <w:i/>
          <w:color w:val="000000"/>
          <w:sz w:val="20"/>
        </w:rPr>
        <w:t>2010 Stock Incentive Plan.</w:t>
      </w:r>
      <w:r>
        <w:rPr>
          <w:color w:val="000000"/>
        </w:rPr>
        <w:t xml:space="preserve"> </w:t>
      </w:r>
      <w:r>
        <w:rPr>
          <w:rFonts w:ascii="Times New Roman;serif" w:hAnsi="Times New Roman;serif"/>
          <w:b w:val="false"/>
          <w:color w:val="000000"/>
          <w:sz w:val="20"/>
        </w:rPr>
        <w:t>In May 2010, the Board of Directors adopted the 2010 Stock Incentive Plan (the “2010 Stock Plan”), which was most recently amended in June 2025, for issuance of common stock to employees, non-employee directors, consultants, and scientific advisors. Awards under the 2010 Stock Plan include stock options, RSUs and PSUs.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2025, our stockholders approved an increase in the number of shares of common stock reserved for issuance under the 2010 Stock Plan from 66,453,475 to 74,953,475.</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2024 Inducement Stock Incentive Plan. </w:t>
      </w:r>
      <w:r>
        <w:rPr>
          <w:rFonts w:ascii="Times New Roman;serif" w:hAnsi="Times New Roman;serif"/>
          <w:b w:val="false"/>
          <w:color w:val="000000"/>
          <w:sz w:val="20"/>
        </w:rPr>
        <w:t>In January 2024, our Board of Directors adopted the Incyte Corporation 2024 Inducement Stock Incentive Plan (the “2024 Inducement Plan”). In reliance on Nasdaq Marketplace Rule 5635(c)(4), stockholder approval was not obtained. In July 2025, we increased the number of shares of common stock reserved for issuance pursuant to the 2024 Inducement Plan from 1,000,000 to 2,000,000.</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Options are granted to employees, consultants, and scientific advisors under the 2010 Stock Plan and 2024 Inducement Plan. Options are also granted under the 2010 Stock Plan to non-employee members of our Board of Directors, pursuant to a formula set forth in the 2010 Stock Plan. All options are exercisable at the fair market value of the stock on the date of grant.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annual stock option grants generally have a 10-year term and vest over four years, with 25% vesting after one year and the remainder vesting in 36 equal monthly installments, subject to customary retirement provisions that may accelerate the requisite service period for expense recognition purposes. Non-employee director options expire after 10 years and vest in full on the first anniversary of the date of grant or, if earlier, the date of the next annual meeting of stockholders.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Option activity under the 2010 Stock Plan and 2024 Inducement Plan was as follows:</w:t>
      </w:r>
    </w:p>
    <w:tbl>
      <w:tblPr>
        <w:tblW w:w="5476" w:type="dxa"/>
        <w:jc w:val="left"/>
        <w:tblInd w:w="0" w:type="dxa"/>
        <w:tblLayout w:type="fixed"/>
        <w:tblCellMar>
          <w:top w:w="28" w:type="dxa"/>
          <w:left w:w="28" w:type="dxa"/>
          <w:bottom w:w="28" w:type="dxa"/>
          <w:right w:w="28" w:type="dxa"/>
        </w:tblCellMar>
      </w:tblPr>
      <w:tblGrid>
        <w:gridCol w:w="940"/>
        <w:gridCol w:w="826"/>
        <w:gridCol w:w="828"/>
        <w:gridCol w:w="348"/>
        <w:gridCol w:w="348"/>
        <w:gridCol w:w="353"/>
        <w:gridCol w:w="111"/>
        <w:gridCol w:w="111"/>
        <w:gridCol w:w="111"/>
        <w:gridCol w:w="323"/>
        <w:gridCol w:w="943"/>
        <w:gridCol w:w="23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 Subject to</w:t>
              <w:br/>
              <w:t>Outstanding Options</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12,777,974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1,418,018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(2,585,198)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(750,933)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04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10,859,861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Options to purchase a total of 8,769,819, 10,381,128 and 9,743,775 shares as of December 31, 2025, 2024 and 2023, respectively, were exercisable. The aggregate intrinsic value of options exercised for the years ended December 31, 2025, 2024 and 2023 were $41.8 million, $3.2 million and $3.2 million, respectively. At December 31, 2025, the aggregate intrinsic value of options outstanding and vested options are $198.3 million and $195.8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stock options outstanding as of December 31, 2025 under the 2010 Stock Plan and 2024 Inducement Plan:</w:t>
      </w:r>
    </w:p>
    <w:tbl>
      <w:tblPr>
        <w:tblW w:w="9044" w:type="dxa"/>
        <w:jc w:val="left"/>
        <w:tblInd w:w="0" w:type="dxa"/>
        <w:tblLayout w:type="fixed"/>
        <w:tblCellMar>
          <w:top w:w="28" w:type="dxa"/>
          <w:left w:w="28" w:type="dxa"/>
          <w:bottom w:w="28" w:type="dxa"/>
          <w:right w:w="28" w:type="dxa"/>
        </w:tblCellMar>
      </w:tblPr>
      <w:tblGrid>
        <w:gridCol w:w="689"/>
        <w:gridCol w:w="605"/>
        <w:gridCol w:w="610"/>
        <w:gridCol w:w="109"/>
        <w:gridCol w:w="109"/>
        <w:gridCol w:w="109"/>
        <w:gridCol w:w="344"/>
        <w:gridCol w:w="344"/>
        <w:gridCol w:w="348"/>
        <w:gridCol w:w="109"/>
        <w:gridCol w:w="109"/>
        <w:gridCol w:w="109"/>
        <w:gridCol w:w="484"/>
        <w:gridCol w:w="484"/>
        <w:gridCol w:w="486"/>
        <w:gridCol w:w="109"/>
        <w:gridCol w:w="109"/>
        <w:gridCol w:w="109"/>
        <w:gridCol w:w="391"/>
        <w:gridCol w:w="284"/>
        <w:gridCol w:w="287"/>
        <w:gridCol w:w="109"/>
        <w:gridCol w:w="109"/>
        <w:gridCol w:w="109"/>
        <w:gridCol w:w="310"/>
        <w:gridCol w:w="310"/>
        <w:gridCol w:w="311"/>
        <w:gridCol w:w="153"/>
        <w:gridCol w:w="153"/>
        <w:gridCol w:w="153"/>
        <w:gridCol w:w="374"/>
        <w:gridCol w:w="254"/>
        <w:gridCol w:w="362"/>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Options Exercisable</w:t>
            </w:r>
          </w:p>
        </w:tc>
      </w:tr>
      <w:tr>
        <w:trPr/>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Range of 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Number</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Weighted Average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Contractual Life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Number</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Exercisable</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Price</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$52.94 - $61.76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720,211</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60.91</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$62.03 - $68.62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1,477,011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642,215</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67.16</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$68.70 - $72.27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786,369</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71.94</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$72.66 - $77.67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1,012,061</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75.54</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$77.83 - $83.58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1,540,401</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82.25</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$83.83 - $90.56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1,347,601</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86.78</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$90.92 - $106.47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1,456,431</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99.91</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$113.64 - $128.34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1,149,228</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118.77</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$132.00 - $134.38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97,860</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134.02</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$138.52 - $138.52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17,442</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138.52</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10,859,861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8,769,819</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 and Performance Shares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 subject to customary retirement provisions that may accelerate the requisite service period for expense recognition purposes.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grant PSUs with performance and/or service-based milestones with graded and/or cliff vesting over three to six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years ended December 31, 2025, 2024 and 2023, we recorded $19.7 million, $30.1 million and $17.2 million, respectively, of stock compensation expense for PSUs on our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RSU and PSU award activity under the 2010 Stock Plan and 2024 Inducement Plan was as follows:</w:t>
      </w:r>
    </w:p>
    <w:tbl>
      <w:tblPr>
        <w:tblW w:w="5741" w:type="dxa"/>
        <w:jc w:val="left"/>
        <w:tblInd w:w="0" w:type="dxa"/>
        <w:tblLayout w:type="fixed"/>
        <w:tblCellMar>
          <w:top w:w="28" w:type="dxa"/>
          <w:left w:w="28" w:type="dxa"/>
          <w:bottom w:w="28" w:type="dxa"/>
          <w:right w:w="28" w:type="dxa"/>
        </w:tblCellMar>
      </w:tblPr>
      <w:tblGrid>
        <w:gridCol w:w="939"/>
        <w:gridCol w:w="825"/>
        <w:gridCol w:w="830"/>
        <w:gridCol w:w="524"/>
        <w:gridCol w:w="526"/>
        <w:gridCol w:w="313"/>
        <w:gridCol w:w="110"/>
        <w:gridCol w:w="110"/>
        <w:gridCol w:w="110"/>
        <w:gridCol w:w="313"/>
        <w:gridCol w:w="914"/>
        <w:gridCol w:w="227"/>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 Subject to</w:t>
              <w:br/>
              <w:t>Outstanding Awards</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Grant Date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8,656,803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granted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3,492,732 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897,393 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PSUs earned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32,148 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RSUs released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(2,860,640)</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PSUs released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(255,805)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cancelled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(543,681)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PSUs cancelled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3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9,275,450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0"/>
          <w:shd w:fill="FFFFFF" w:val="clear"/>
        </w:rPr>
        <w:t xml:space="preserve">The following table summarizes our shares available for grant under the 2010 Plan and 2024 Inducement Plan. </w:t>
      </w:r>
      <w:r>
        <w:rPr>
          <w:rFonts w:ascii="Times New Roman;serif" w:hAnsi="Times New Roman;serif"/>
          <w:b w:val="false"/>
          <w:color w:val="000000"/>
          <w:sz w:val="20"/>
        </w:rPr>
        <w:t>Previously, each RSU and PSU grant reduced the available share pool by 2 shares. In June 2025, our stockholders approved an amendment to the 2010 Stock Plan to remove the fungible ratio, and all awards granted under the 2010 Stock Plan after June 10, 2025, the date of our latest annual meeting, will reduce the share reserve on a one-for-one basis. If awards granted under the 2010 Stock Plan on or prior to June 10, 2025 expire, become unexercisable or are forfeited or repurchased after that date, the shares that were subject to those awards will become available for future grant only on a one-for-one basis, even if the original award was a full value award that reduced the share reserve on a two-for-one basis. The 2024 Inducement Plan was amended in June 2025 to remove the provision that stated that any shares issued in connection with awards other than options and stock appreciation rights will be counted against the authorized share limitation as 2.0 shares for every one share so issued and, as a result, all awards granted under the 2024 Inducement Plan will reduce the share reserve thereunder on a one-for-one basis.</w:t>
      </w:r>
    </w:p>
    <w:tbl>
      <w:tblPr>
        <w:tblW w:w="7931" w:type="dxa"/>
        <w:jc w:val="left"/>
        <w:tblInd w:w="0" w:type="dxa"/>
        <w:tblLayout w:type="fixed"/>
        <w:tblCellMar>
          <w:top w:w="28" w:type="dxa"/>
          <w:left w:w="28" w:type="dxa"/>
          <w:bottom w:w="28" w:type="dxa"/>
          <w:right w:w="28" w:type="dxa"/>
        </w:tblCellMar>
      </w:tblPr>
      <w:tblGrid>
        <w:gridCol w:w="2286"/>
        <w:gridCol w:w="2008"/>
        <w:gridCol w:w="2021"/>
        <w:gridCol w:w="628"/>
        <w:gridCol w:w="422"/>
        <w:gridCol w:w="566"/>
      </w:tblGrid>
      <w:tr>
        <w:trPr/>
        <w:tc>
          <w:tcPr>
            <w:tcW w:w="2286"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 Available</w:t>
              <w:br/>
              <w:t>for Grant</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4,013,611</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authorization - 2010 Stock Plan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authorization - 2024 Inducement Plan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RSUs and PSUs granted and issuance of shares for services rendered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(6,335,986)</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RSUs and PSUs cancelled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1,598,684 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Fungible ratio change adjustments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282,731 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6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9,059,040</w:t>
            </w:r>
          </w:p>
        </w:tc>
      </w:tr>
    </w:tbl>
    <w:p>
      <w:pPr>
        <w:pStyle w:val="TextBody"/>
        <w:bidi w:val="0"/>
        <w:spacing w:lineRule="auto" w:line="288" w:before="240" w:after="283"/>
        <w:ind w:left="0" w:right="0" w:firstLine="720"/>
        <w:jc w:val="both"/>
        <w:rPr/>
      </w:pPr>
      <w:r>
        <w:rPr>
          <w:rFonts w:ascii="Times New Roman;serif" w:hAnsi="Times New Roman;serif"/>
          <w:b w:val="false"/>
          <w:i/>
          <w:color w:val="000000"/>
          <w:sz w:val="20"/>
        </w:rPr>
        <w:t>Employee Stock Purchase Plan.</w:t>
      </w:r>
      <w:r>
        <w:rPr>
          <w:color w:val="000000"/>
        </w:rPr>
        <w:t xml:space="preserve"> </w:t>
      </w:r>
      <w:r>
        <w:rPr>
          <w:rFonts w:ascii="Times New Roman;serif" w:hAnsi="Times New Roman;serif"/>
          <w:b w:val="false"/>
          <w:color w:val="000000"/>
          <w:sz w:val="20"/>
        </w:rPr>
        <w:t>On May 21, 1997, our stockholders adopted the 1997 Employee Stock Purchase Plan, which was most recently amended in June 2025 (the “ESPP”). Each regular full-time and part-time employee working 20 hours or more per week is eligible to participate after one month of employment. In June 2025, our stockholders approved an increase in the number of shares of common stock reserved for issuance under the ESPP from 10,350,000 to 11,350,000. We issued 398,373, 453,312 and 380,145 shares under the ESPP in 2025, 2024 and 2023, respectively. For the years ended December 31, 2025, 2024 and 2023, we recorded stock compensation expense of $6.0 million, $5.3 million and $5.1 million, respectively, as the ESPP is considered compensatory under the FASB stock compensation rules. As of December 31, 2025, 890,732 shares remain available for issuance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Stock Compensation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$249.3 million, $266.1 million and $215.9 million, respectively, of stock compensation expense for the years ended December 31, 2025, 2024 and 2023. Stock compensation expense within the consolidated statements of operations included research and development expense for the years ended December 31, 2025, 2024 and 2023 of $150.2 million, $161.3 million and $126.7 million, respectively. Stock compensation expense within the consolidated statements of operations also included selling, general and administrative expense for the years ended December 31, 2025, 2024 and 2023 of $95.6 million, $102.5 million and $86.1 million, respectively. Stock compensation expense within the consolidated statements of operations also included cost of product revenues for the years ended December 31, 2025, 2024 and 2023 of $3.5 million, $2.3 million and $3.1 million,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as described in Note 5, as part of the Escient acquisition, during the year ended December 31, 2024, we recognized on our consolidated statements of operations related compensation expense of approximately $31.5 million associated with the accelerated vesting for certain Escient stock awards in connection with the acquisition.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utilized the Black-Scholes valuation model for estimating the fair value of the stock options granted, with the following weighted-average assumptions:</w:t>
      </w:r>
    </w:p>
    <w:tbl>
      <w:tblPr>
        <w:tblW w:w="10205" w:type="dxa"/>
        <w:jc w:val="left"/>
        <w:tblInd w:w="0" w:type="dxa"/>
        <w:tblLayout w:type="fixed"/>
        <w:tblCellMar>
          <w:top w:w="28" w:type="dxa"/>
          <w:left w:w="28" w:type="dxa"/>
          <w:bottom w:w="28" w:type="dxa"/>
          <w:right w:w="28" w:type="dxa"/>
        </w:tblCellMar>
      </w:tblPr>
      <w:tblGrid>
        <w:gridCol w:w="1200"/>
        <w:gridCol w:w="1036"/>
        <w:gridCol w:w="1040"/>
        <w:gridCol w:w="255"/>
        <w:gridCol w:w="256"/>
        <w:gridCol w:w="324"/>
        <w:gridCol w:w="130"/>
        <w:gridCol w:w="130"/>
        <w:gridCol w:w="130"/>
        <w:gridCol w:w="255"/>
        <w:gridCol w:w="256"/>
        <w:gridCol w:w="324"/>
        <w:gridCol w:w="130"/>
        <w:gridCol w:w="130"/>
        <w:gridCol w:w="130"/>
        <w:gridCol w:w="255"/>
        <w:gridCol w:w="256"/>
        <w:gridCol w:w="324"/>
        <w:gridCol w:w="109"/>
        <w:gridCol w:w="109"/>
        <w:gridCol w:w="109"/>
        <w:gridCol w:w="255"/>
        <w:gridCol w:w="256"/>
        <w:gridCol w:w="319"/>
        <w:gridCol w:w="128"/>
        <w:gridCol w:w="128"/>
        <w:gridCol w:w="128"/>
        <w:gridCol w:w="255"/>
        <w:gridCol w:w="256"/>
        <w:gridCol w:w="319"/>
        <w:gridCol w:w="128"/>
        <w:gridCol w:w="128"/>
        <w:gridCol w:w="128"/>
        <w:gridCol w:w="255"/>
        <w:gridCol w:w="256"/>
        <w:gridCol w:w="378"/>
      </w:tblGrid>
      <w:tr>
        <w:trPr/>
        <w:tc>
          <w:tcPr>
            <w:tcW w:w="120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Employee Stock Options</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Employee Stock Purchase Plan</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3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risk-free interest rates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expected life (in years)</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 (in dollars)</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estimate forfeiture rates for our options, RSUs and PSUs. Under the true-up provisions of the stock compensation guidance, we will record additional expense as the awards vest if the actual forfeiture rate is lower than we estimated, and will record a recovery of prior expense if the actual forfeiture is higher than we estimated.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compensation cost of options granted but not yet vested as of December 31, 2025, was $21.8 million, which is expected to be recognized over the weighted average period of 1.3 years. Total compensation cost of RSUs granted but not yet vested, as of December 31, 2025, was $248.9 million, which is expected to be recognized over the weighted average period of 1.5 years. Total compensation cost of PSUs granted but not yet vested, as of December 31, 2025, was $40.2 million, which is expected to be recognized over the weighted average period of 2.3 years, should the underlying performance conditions be deemed probable of achievement.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Other Comprehensive Income (Loss)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activity related to reach component of other comprehensive income (loss) during the years ended December 31, 2025, 2024 and 2023: </w:t>
      </w:r>
    </w:p>
    <w:tbl>
      <w:tblPr>
        <w:tblW w:w="10205" w:type="dxa"/>
        <w:jc w:val="left"/>
        <w:tblInd w:w="0" w:type="dxa"/>
        <w:tblLayout w:type="fixed"/>
        <w:tblCellMar>
          <w:top w:w="28" w:type="dxa"/>
          <w:left w:w="28" w:type="dxa"/>
          <w:bottom w:w="28" w:type="dxa"/>
          <w:right w:w="28" w:type="dxa"/>
        </w:tblCellMar>
      </w:tblPr>
      <w:tblGrid>
        <w:gridCol w:w="1225"/>
        <w:gridCol w:w="701"/>
        <w:gridCol w:w="703"/>
        <w:gridCol w:w="310"/>
        <w:gridCol w:w="1062"/>
        <w:gridCol w:w="160"/>
        <w:gridCol w:w="109"/>
        <w:gridCol w:w="109"/>
        <w:gridCol w:w="109"/>
        <w:gridCol w:w="377"/>
        <w:gridCol w:w="1102"/>
        <w:gridCol w:w="196"/>
        <w:gridCol w:w="109"/>
        <w:gridCol w:w="109"/>
        <w:gridCol w:w="109"/>
        <w:gridCol w:w="272"/>
        <w:gridCol w:w="985"/>
        <w:gridCol w:w="140"/>
        <w:gridCol w:w="109"/>
        <w:gridCol w:w="109"/>
        <w:gridCol w:w="109"/>
        <w:gridCol w:w="379"/>
        <w:gridCol w:w="1324"/>
        <w:gridCol w:w="288"/>
      </w:tblGrid>
      <w:tr>
        <w:trPr/>
        <w:tc>
          <w:tcPr>
            <w:tcW w:w="122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presented net of taxes)</w:t>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1, 2025</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reclassified from accumulated other comprehensive loss</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w:t>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38,583 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(27,965)</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1"/>
        <w:gridCol w:w="703"/>
        <w:gridCol w:w="706"/>
        <w:gridCol w:w="321"/>
        <w:gridCol w:w="1100"/>
        <w:gridCol w:w="166"/>
        <w:gridCol w:w="109"/>
        <w:gridCol w:w="109"/>
        <w:gridCol w:w="109"/>
        <w:gridCol w:w="456"/>
        <w:gridCol w:w="1040"/>
        <w:gridCol w:w="236"/>
        <w:gridCol w:w="109"/>
        <w:gridCol w:w="109"/>
        <w:gridCol w:w="109"/>
        <w:gridCol w:w="264"/>
        <w:gridCol w:w="952"/>
        <w:gridCol w:w="136"/>
        <w:gridCol w:w="109"/>
        <w:gridCol w:w="109"/>
        <w:gridCol w:w="109"/>
        <w:gridCol w:w="360"/>
        <w:gridCol w:w="1260"/>
        <w:gridCol w:w="273"/>
      </w:tblGrid>
      <w:tr>
        <w:trPr/>
        <w:tc>
          <w:tcPr>
            <w:tcW w:w="125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presented net of taxes)</w:t>
            </w:r>
          </w:p>
        </w:tc>
        <w:tc>
          <w:tcPr>
            <w:tcW w:w="15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1, 2024</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reclassified from accumulated other comprehensive income (loss)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other comprehensive (loss) income </w:t>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(26,227)</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2024</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30"/>
        <w:gridCol w:w="694"/>
        <w:gridCol w:w="697"/>
        <w:gridCol w:w="303"/>
        <w:gridCol w:w="1038"/>
        <w:gridCol w:w="157"/>
        <w:gridCol w:w="109"/>
        <w:gridCol w:w="109"/>
        <w:gridCol w:w="109"/>
        <w:gridCol w:w="383"/>
        <w:gridCol w:w="1212"/>
        <w:gridCol w:w="198"/>
        <w:gridCol w:w="109"/>
        <w:gridCol w:w="109"/>
        <w:gridCol w:w="109"/>
        <w:gridCol w:w="268"/>
        <w:gridCol w:w="967"/>
        <w:gridCol w:w="138"/>
        <w:gridCol w:w="109"/>
        <w:gridCol w:w="109"/>
        <w:gridCol w:w="109"/>
        <w:gridCol w:w="375"/>
        <w:gridCol w:w="1283"/>
        <w:gridCol w:w="281"/>
      </w:tblGrid>
      <w:tr>
        <w:trPr/>
        <w:tc>
          <w:tcPr>
            <w:tcW w:w="123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presented net of taxes)</w:t>
            </w:r>
          </w:p>
        </w:tc>
        <w:tc>
          <w:tcPr>
            <w:tcW w:w="14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1, 2023</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reclassified from accumulated other comprehensive income</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2023</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Income Taxes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state and foreign corporate income taxes. The provision for income taxes is based on income before provision for income taxes as follows (in thousands):</w:t>
      </w:r>
    </w:p>
    <w:tbl>
      <w:tblPr>
        <w:tblW w:w="7917" w:type="dxa"/>
        <w:jc w:val="left"/>
        <w:tblInd w:w="0" w:type="dxa"/>
        <w:tblLayout w:type="fixed"/>
        <w:tblCellMar>
          <w:top w:w="28" w:type="dxa"/>
          <w:left w:w="28" w:type="dxa"/>
          <w:bottom w:w="28" w:type="dxa"/>
          <w:right w:w="28" w:type="dxa"/>
        </w:tblCellMar>
      </w:tblPr>
      <w:tblGrid>
        <w:gridCol w:w="1255"/>
        <w:gridCol w:w="1101"/>
        <w:gridCol w:w="1124"/>
        <w:gridCol w:w="211"/>
        <w:gridCol w:w="976"/>
        <w:gridCol w:w="109"/>
        <w:gridCol w:w="109"/>
        <w:gridCol w:w="109"/>
        <w:gridCol w:w="109"/>
        <w:gridCol w:w="211"/>
        <w:gridCol w:w="826"/>
        <w:gridCol w:w="109"/>
        <w:gridCol w:w="109"/>
        <w:gridCol w:w="109"/>
        <w:gridCol w:w="109"/>
        <w:gridCol w:w="211"/>
        <w:gridCol w:w="97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1,571,743 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401,760 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1,084,254 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1,664,451 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316,630 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834,215 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consists of the following (in thousands):</w:t>
      </w:r>
    </w:p>
    <w:tbl>
      <w:tblPr>
        <w:tblW w:w="6896" w:type="dxa"/>
        <w:jc w:val="left"/>
        <w:tblInd w:w="0" w:type="dxa"/>
        <w:tblLayout w:type="fixed"/>
        <w:tblCellMar>
          <w:top w:w="28" w:type="dxa"/>
          <w:left w:w="28" w:type="dxa"/>
          <w:bottom w:w="28" w:type="dxa"/>
          <w:right w:w="28" w:type="dxa"/>
        </w:tblCellMar>
      </w:tblPr>
      <w:tblGrid>
        <w:gridCol w:w="1029"/>
        <w:gridCol w:w="854"/>
        <w:gridCol w:w="876"/>
        <w:gridCol w:w="211"/>
        <w:gridCol w:w="826"/>
        <w:gridCol w:w="109"/>
        <w:gridCol w:w="109"/>
        <w:gridCol w:w="109"/>
        <w:gridCol w:w="109"/>
        <w:gridCol w:w="211"/>
        <w:gridCol w:w="826"/>
        <w:gridCol w:w="109"/>
        <w:gridCol w:w="109"/>
        <w:gridCol w:w="109"/>
        <w:gridCol w:w="109"/>
        <w:gridCol w:w="211"/>
        <w:gridCol w:w="826"/>
        <w:gridCol w:w="154"/>
      </w:tblGrid>
      <w:tr>
        <w:trPr/>
        <w:tc>
          <w:tcPr>
            <w:tcW w:w="102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344,407</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48,106</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395,514</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(139,468)</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(158,898)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236,616 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received, consisted of the following for the year ended December 31, 2025 (in thousands):</w:t>
      </w:r>
    </w:p>
    <w:tbl>
      <w:tblPr>
        <w:tblW w:w="4154" w:type="dxa"/>
        <w:jc w:val="left"/>
        <w:tblInd w:w="0" w:type="dxa"/>
        <w:tblLayout w:type="fixed"/>
        <w:tblCellMar>
          <w:top w:w="28" w:type="dxa"/>
          <w:left w:w="28" w:type="dxa"/>
          <w:bottom w:w="28" w:type="dxa"/>
          <w:right w:w="28" w:type="dxa"/>
        </w:tblCellMar>
      </w:tblPr>
      <w:tblGrid>
        <w:gridCol w:w="748"/>
        <w:gridCol w:w="655"/>
        <w:gridCol w:w="667"/>
        <w:gridCol w:w="369"/>
        <w:gridCol w:w="1446"/>
        <w:gridCol w:w="269"/>
      </w:tblGrid>
      <w:tr>
        <w:trPr/>
        <w:tc>
          <w:tcPr>
            <w:tcW w:w="7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20,798</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(10,836)</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states</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19,345</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212,178 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taxes paid prior to the adoption of ASU 2023-09 for the years ended December 31, 2024 and 2023 were $373.1 million and $378.2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income taxes at the U.S. federal statutory rate to the provision for income taxes is as follows (in thousands):</w:t>
      </w:r>
    </w:p>
    <w:tbl>
      <w:tblPr>
        <w:tblW w:w="7830" w:type="dxa"/>
        <w:jc w:val="left"/>
        <w:tblInd w:w="0" w:type="dxa"/>
        <w:tblLayout w:type="fixed"/>
        <w:tblCellMar>
          <w:top w:w="28" w:type="dxa"/>
          <w:left w:w="28" w:type="dxa"/>
          <w:bottom w:w="28" w:type="dxa"/>
          <w:right w:w="28" w:type="dxa"/>
        </w:tblCellMar>
      </w:tblPr>
      <w:tblGrid>
        <w:gridCol w:w="1991"/>
        <w:gridCol w:w="1753"/>
        <w:gridCol w:w="1761"/>
        <w:gridCol w:w="214"/>
        <w:gridCol w:w="839"/>
        <w:gridCol w:w="110"/>
        <w:gridCol w:w="110"/>
        <w:gridCol w:w="110"/>
        <w:gridCol w:w="110"/>
        <w:gridCol w:w="255"/>
        <w:gridCol w:w="256"/>
        <w:gridCol w:w="321"/>
      </w:tblGrid>
      <w:tr>
        <w:trPr/>
        <w:tc>
          <w:tcPr>
            <w:tcW w:w="199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br/>
              <w:t>2025</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0"/>
              <w:jc w:val="right"/>
              <w:rPr>
                <w:rFonts w:ascii="Times New Roman;serif" w:hAnsi="Times New Roman;serif"/>
                <w:b w:val="false"/>
                <w:color w:val="000000"/>
                <w:sz w:val="20"/>
              </w:rPr>
            </w:pPr>
            <w:r>
              <w:rPr>
                <w:rFonts w:ascii="Times New Roman;serif" w:hAnsi="Times New Roman;serif"/>
                <w:b w:val="false"/>
                <w:color w:val="000000"/>
                <w:sz w:val="20"/>
              </w:rPr>
              <w:t>349,535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benefit(1)</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36,394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0"/>
              <w:jc w:val="right"/>
              <w:rPr>
                <w:rFonts w:ascii="Times New Roman;serif" w:hAnsi="Times New Roman;serif"/>
                <w:b w:val="false"/>
                <w:color w:val="000000"/>
                <w:sz w:val="20"/>
              </w:rPr>
            </w:pPr>
            <w:r>
              <w:rPr>
                <w:rFonts w:ascii="Times New Roman;serif" w:hAnsi="Times New Roman;serif"/>
                <w:b w:val="false"/>
                <w:color w:val="000000"/>
                <w:sz w:val="20"/>
              </w:rPr>
              <w:t>(12,607)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changes in tax laws or rates enacted in the current period</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(34,240)</w:t>
            </w:r>
          </w:p>
        </w:tc>
        <w:tc>
          <w:tcPr>
            <w:tcW w:w="110" w:type="dxa"/>
            <w:tcBorders/>
            <w:shd w:fill="FFFFFF" w:val="clear"/>
            <w:tcMar>
              <w:top w:w="0" w:type="dxa"/>
              <w:left w:w="0" w:type="dxa"/>
              <w:bottom w:w="0" w:type="dxa"/>
              <w:right w:w="0" w:type="dxa"/>
            </w:tcMar>
            <w:vAlign w:val="center"/>
          </w:tcPr>
          <w:p>
            <w:pPr>
              <w:pStyle w:val="TableContents"/>
              <w:bidi w:val="0"/>
              <w:spacing w:before="0" w:after="283"/>
              <w:ind w:left="0" w:right="0" w:hanging="10"/>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0"/>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(59,998)</w:t>
            </w:r>
          </w:p>
        </w:tc>
        <w:tc>
          <w:tcPr>
            <w:tcW w:w="110" w:type="dxa"/>
            <w:tcBorders/>
            <w:shd w:fill="FFFFFF" w:val="clear"/>
            <w:tcMar>
              <w:top w:w="0" w:type="dxa"/>
              <w:left w:w="0" w:type="dxa"/>
              <w:bottom w:w="0" w:type="dxa"/>
              <w:right w:w="0" w:type="dxa"/>
            </w:tcMar>
            <w:vAlign w:val="center"/>
          </w:tcPr>
          <w:p>
            <w:pPr>
              <w:pStyle w:val="TableContents"/>
              <w:bidi w:val="0"/>
              <w:spacing w:before="0" w:after="283"/>
              <w:ind w:left="0" w:right="0" w:hanging="10"/>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123,243 </w:t>
            </w:r>
          </w:p>
        </w:tc>
        <w:tc>
          <w:tcPr>
            <w:tcW w:w="110" w:type="dxa"/>
            <w:tcBorders/>
            <w:shd w:fill="CCEEFF" w:val="clear"/>
            <w:tcMar>
              <w:top w:w="0" w:type="dxa"/>
              <w:left w:w="0" w:type="dxa"/>
              <w:bottom w:w="0" w:type="dxa"/>
              <w:right w:w="0" w:type="dxa"/>
            </w:tcMar>
            <w:vAlign w:val="center"/>
          </w:tcPr>
          <w:p>
            <w:pPr>
              <w:pStyle w:val="TableContents"/>
              <w:bidi w:val="0"/>
              <w:spacing w:before="0" w:after="283"/>
              <w:ind w:left="0" w:right="0" w:hanging="10"/>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0"/>
              <w:jc w:val="right"/>
              <w:rPr>
                <w:rFonts w:ascii="Times New Roman;serif" w:hAnsi="Times New Roman;serif"/>
                <w:b w:val="false"/>
                <w:color w:val="000000"/>
                <w:sz w:val="20"/>
              </w:rPr>
            </w:pPr>
            <w:r>
              <w:rPr>
                <w:rFonts w:ascii="Times New Roman;serif" w:hAnsi="Times New Roman;serif"/>
                <w:b w:val="false"/>
                <w:color w:val="000000"/>
                <w:sz w:val="20"/>
              </w:rPr>
              <w:t>14,208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377,801 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10"/>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r>
    </w:tbl>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State taxes in Kentucky, California, and Delaware made up the majority (greater than 50%) of the tax effect in this category.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year ended December 31, 2025 was higher than the U.S. statutory rate primarily due to state income taxes and an increase in our valuation allowance against certain U.S. deferred tax assets. This was partially offset by tax rate benefits associated with research and development and orphan drug tax credit generations, the foreign derived intangible income deduction and the enactment of U.S. tax legislation discussed below.</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for the years ended December 31, 2024 and 2023, prior to the adoption of ASU 2023-09, the effective income tax rate differs from the U.S. statutory federal income tax rate as follows (in thousands):</w:t>
      </w:r>
    </w:p>
    <w:tbl>
      <w:tblPr>
        <w:tblW w:w="8740" w:type="dxa"/>
        <w:jc w:val="left"/>
        <w:tblInd w:w="0" w:type="dxa"/>
        <w:tblLayout w:type="fixed"/>
        <w:tblCellMar>
          <w:top w:w="28" w:type="dxa"/>
          <w:left w:w="28" w:type="dxa"/>
          <w:bottom w:w="28" w:type="dxa"/>
          <w:right w:w="28" w:type="dxa"/>
        </w:tblCellMar>
      </w:tblPr>
      <w:tblGrid>
        <w:gridCol w:w="1975"/>
        <w:gridCol w:w="1740"/>
        <w:gridCol w:w="1745"/>
        <w:gridCol w:w="109"/>
        <w:gridCol w:w="109"/>
        <w:gridCol w:w="238"/>
        <w:gridCol w:w="816"/>
        <w:gridCol w:w="123"/>
        <w:gridCol w:w="123"/>
        <w:gridCol w:w="123"/>
        <w:gridCol w:w="123"/>
        <w:gridCol w:w="417"/>
        <w:gridCol w:w="633"/>
        <w:gridCol w:w="466"/>
      </w:tblGrid>
      <w:tr>
        <w:trPr/>
        <w:tc>
          <w:tcPr>
            <w:tcW w:w="197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at U.S. 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66,492 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175,185</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21,145</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61,026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(96,434)</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(70,989)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(1,433,507)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21,425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1,572,951 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6,418</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(32,891)</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25,647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accounted for as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149,287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284,015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236,616</w:t>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2024 acquisitions accounted for as research and development expenses in the table above reflects the impact of non-deductible charges associated with the Escient acquisition. The 2023 foreign tax rate differential in the table above reflects the impact of operations in jurisdictions with tax rates that differ from the U.S. federal statutory rate of 21%. It also includes a tax benefit associated with the remeasurement of foreign deferred tax assets resulting from the cancellation of a tax holiday. The 2023 income tax credits in the table above includes a tax benefit associated with the issuance of non-refundable Swiss income tax credits. The 2023 remeasurement of foreign deferred tax assets and the Swiss income tax credits are fully offset with a valuation allowance in the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components of our deferred tax assets and liabilities are as follows (in thousands):</w:t>
      </w:r>
    </w:p>
    <w:tbl>
      <w:tblPr>
        <w:tblW w:w="6649" w:type="dxa"/>
        <w:jc w:val="left"/>
        <w:tblInd w:w="0" w:type="dxa"/>
        <w:tblLayout w:type="fixed"/>
        <w:tblCellMar>
          <w:top w:w="28" w:type="dxa"/>
          <w:left w:w="28" w:type="dxa"/>
          <w:bottom w:w="28" w:type="dxa"/>
          <w:right w:w="28" w:type="dxa"/>
        </w:tblCellMar>
      </w:tblPr>
      <w:tblGrid>
        <w:gridCol w:w="1435"/>
        <w:gridCol w:w="1259"/>
        <w:gridCol w:w="1265"/>
        <w:gridCol w:w="213"/>
        <w:gridCol w:w="837"/>
        <w:gridCol w:w="109"/>
        <w:gridCol w:w="109"/>
        <w:gridCol w:w="109"/>
        <w:gridCol w:w="109"/>
        <w:gridCol w:w="213"/>
        <w:gridCol w:w="837"/>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 forwards</w:t>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credits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1,398,495 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accruals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investments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assets</w:t>
            </w:r>
          </w:p>
        </w:tc>
        <w:tc>
          <w:tcPr>
            <w:tcW w:w="105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2,794,308 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2,939,735 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 for deferred tax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(2,266,136)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(2,139,673)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528,172 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800,062 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liabilities</w:t>
            </w:r>
          </w:p>
        </w:tc>
        <w:tc>
          <w:tcPr>
            <w:tcW w:w="105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(12,878)</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(37,991)</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515,294 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762,071 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Company’s net deferred tax assets decreased by $246.8 million. This was primary due to a deduction associated with the settlement of the Novartis contract dispute and deductions related to previously capitalized domestic research and development expenses arising from the enactment of U.S. tax legislation discussed below. As of December 31, 2025, the Company continues to maintain a valuation allowance on certain U.S. temporary differences, foreign net operating losses (“NOLs”) and the non-refundable Swiss income tax credits granted in the year ended December 31, 2023.</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valuation allowance for deferred tax assets increased by approximately $126.5 million during the year ended December 31, 2025 and increased by approximately $43.4 million during the year ended December 31, 2024. The valuation allowance increase during 2025 was primarily due to future deductible temporary differences mainly associated with foreign research and development expenses required to be capitalized and amortized and the effects of translation of our foreign tax assets that require a valuation allowance. The valuation allowance increase during 2024 was primarily due to future deductible temporary differences mainly associated with U.S. research and development expenses required to be capitalized and amortized and the acquisition of Escient’s U.S. NOLs, a portion of which was not more-likely-than-not to be realized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NOL carryforwards, research and development credit carryforwards and foreign income tax credit carryforwards as follows (in thousands):</w:t>
      </w:r>
    </w:p>
    <w:tbl>
      <w:tblPr>
        <w:tblW w:w="7926" w:type="dxa"/>
        <w:jc w:val="left"/>
        <w:tblInd w:w="0" w:type="dxa"/>
        <w:tblLayout w:type="fixed"/>
        <w:tblCellMar>
          <w:top w:w="28" w:type="dxa"/>
          <w:left w:w="28" w:type="dxa"/>
          <w:bottom w:w="28" w:type="dxa"/>
          <w:right w:w="28" w:type="dxa"/>
        </w:tblCellMar>
      </w:tblPr>
      <w:tblGrid>
        <w:gridCol w:w="1433"/>
        <w:gridCol w:w="1260"/>
        <w:gridCol w:w="1266"/>
        <w:gridCol w:w="339"/>
        <w:gridCol w:w="336"/>
        <w:gridCol w:w="340"/>
        <w:gridCol w:w="109"/>
        <w:gridCol w:w="109"/>
        <w:gridCol w:w="109"/>
        <w:gridCol w:w="766"/>
        <w:gridCol w:w="766"/>
        <w:gridCol w:w="1093"/>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Expiring if not utilized</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2027 through 2045; indefinite</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1,743,380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 through 2041; indefinite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 carryforwards</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2039 through 2044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 through 2043</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Swiss income tax credit carryforwards</w:t>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1,469,989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federal NOL and tax credit carryforward are subject to an annual limitation under Internal Revenue Code Section 382.</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 recognition of the benefit for a tax position is dependent upon the benefit being more likely than not to be sustainable upon audit by the applicable taxing authority. If this threshold is met, the tax benefit is then measured and recognized at the largest amount that is greater than 50% likely of being realized upon ultimate settlement. If such unrecognized tax benefits were realized, we would recognize a tax benefit of $89.0 million. The following table summarizes the gross amounts of unrecognized tax benefits (in thousands):</w:t>
      </w:r>
    </w:p>
    <w:tbl>
      <w:tblPr>
        <w:tblW w:w="7602" w:type="dxa"/>
        <w:jc w:val="left"/>
        <w:tblInd w:w="0" w:type="dxa"/>
        <w:tblLayout w:type="fixed"/>
        <w:tblCellMar>
          <w:top w:w="28" w:type="dxa"/>
          <w:left w:w="28" w:type="dxa"/>
          <w:bottom w:w="28" w:type="dxa"/>
          <w:right w:w="28" w:type="dxa"/>
        </w:tblCellMar>
      </w:tblPr>
      <w:tblGrid>
        <w:gridCol w:w="1776"/>
        <w:gridCol w:w="1561"/>
        <w:gridCol w:w="1567"/>
        <w:gridCol w:w="357"/>
        <w:gridCol w:w="338"/>
        <w:gridCol w:w="338"/>
        <w:gridCol w:w="184"/>
        <w:gridCol w:w="184"/>
        <w:gridCol w:w="184"/>
        <w:gridCol w:w="376"/>
        <w:gridCol w:w="314"/>
        <w:gridCol w:w="423"/>
      </w:tblGrid>
      <w:tr>
        <w:trPr/>
        <w:tc>
          <w:tcPr>
            <w:tcW w:w="177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5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87,723</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69,145</w:t>
            </w:r>
          </w:p>
        </w:tc>
      </w:tr>
      <w:tr>
        <w:trPr/>
        <w:tc>
          <w:tcPr>
            <w:tcW w:w="4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related to prior periods tax positions</w:t>
            </w:r>
          </w:p>
        </w:tc>
        <w:tc>
          <w:tcPr>
            <w:tcW w:w="103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3,539</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9,173</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related to prior periods tax positions</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(2,226)</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related to current period tax positions</w:t>
            </w:r>
          </w:p>
        </w:tc>
        <w:tc>
          <w:tcPr>
            <w:tcW w:w="103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8,749</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5,939</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related to acquisitions</w:t>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9,114</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due to lapse of applicable statute of limitations</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(3,538)</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3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97,601</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87,723</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policy is to recognize interest and penalties related to uncertain tax positions, if any, as a component of income tax expense. During the years ending December 31, 2025 and 2024, we recorded interest and penalties as a component of income tax expense of $5.6 million and $8.5 million, respectively. As of December 31, 2025 and 2024, the Company has accrued liabilities of $24.3 million and $18.7 million, respectively, for interest and penalties related to its uncertain tax positions.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In the U.S., the statute of limitations remains open beginning with tax year 2021. We are currently under U.S. federal audit for tax year 2021.</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Pillar 2 guidelines, supported by over 130 countries worldwide, establish a 15% global minimum tax on adjusted financial results. Pillar 2 legislation has been enacted in multiple jurisdictions in which we operate and became effective beginning in 2024. We have evaluated the impact of Pillar 2 on our business, and determined there are no material impacts on our effective tax rate at this time. We will continue to monitor additional enactments and guidance as they occur and assess any future impacts in the period they become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U.S. enacted legislation commonly referred to as the One Big Beautiful Bill Act (“OBBBA”). The OBBBA modified key provisions of the Tax Cuts and Jobs Act of 2017, including but not limited to, the expensing of domestic research costs, the deduction for Foreign-Derived Intangible Income, and the Global Intangible Low-Taxed Income regime. The OBBBA introduces multiple elections and features various effective dates, with some provisions effective in 2025 and others in subsequent years.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ASC 740, entities are required to recognize the impact of new income tax legislation in the period of enactment. We have reflected a favorable impact to our effective tax rate and the realizability of certain U.S. deferred tax assets in our financial statements for the period ending December 31, 2025. We will continue to evaluate the OBBBA’s various provisions and elections for our tax return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Net Income Per Share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basic net income per share is computed by dividing the net income by the number of weighted average common shares outstanding during the period. Our diluted net income per share is computed by dividing net income by the weighted average common shares outstanding during the period assuming potentially dilutive common shares of stock options, RSUs and PSUs.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per share was calculated as follows for the periods indicated below:</w:t>
      </w:r>
    </w:p>
    <w:tbl>
      <w:tblPr>
        <w:tblW w:w="10205" w:type="dxa"/>
        <w:jc w:val="left"/>
        <w:tblInd w:w="0" w:type="dxa"/>
        <w:tblLayout w:type="fixed"/>
        <w:tblCellMar>
          <w:top w:w="28" w:type="dxa"/>
          <w:left w:w="28" w:type="dxa"/>
          <w:bottom w:w="28" w:type="dxa"/>
          <w:right w:w="28" w:type="dxa"/>
        </w:tblCellMar>
      </w:tblPr>
      <w:tblGrid>
        <w:gridCol w:w="2069"/>
        <w:gridCol w:w="1810"/>
        <w:gridCol w:w="1816"/>
        <w:gridCol w:w="109"/>
        <w:gridCol w:w="109"/>
        <w:gridCol w:w="109"/>
        <w:gridCol w:w="211"/>
        <w:gridCol w:w="976"/>
        <w:gridCol w:w="109"/>
        <w:gridCol w:w="109"/>
        <w:gridCol w:w="109"/>
        <w:gridCol w:w="109"/>
        <w:gridCol w:w="211"/>
        <w:gridCol w:w="721"/>
        <w:gridCol w:w="109"/>
        <w:gridCol w:w="109"/>
        <w:gridCol w:w="109"/>
        <w:gridCol w:w="109"/>
        <w:gridCol w:w="211"/>
        <w:gridCol w:w="826"/>
        <w:gridCol w:w="155"/>
      </w:tblGrid>
      <w:tr>
        <w:trPr/>
        <w:tc>
          <w:tcPr>
            <w:tcW w:w="206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597,599 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223,628</w:t>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223,628</w:t>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 and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used to compute diluted net income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225,928</w:t>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potential common shares that were excluded from the diluted net income per share computation are as follows:</w:t>
      </w:r>
    </w:p>
    <w:tbl>
      <w:tblPr>
        <w:tblW w:w="6911" w:type="dxa"/>
        <w:jc w:val="left"/>
        <w:tblInd w:w="0" w:type="dxa"/>
        <w:tblLayout w:type="fixed"/>
        <w:tblCellMar>
          <w:top w:w="28" w:type="dxa"/>
          <w:left w:w="28" w:type="dxa"/>
          <w:bottom w:w="28" w:type="dxa"/>
          <w:right w:w="28" w:type="dxa"/>
        </w:tblCellMar>
      </w:tblPr>
      <w:tblGrid>
        <w:gridCol w:w="1163"/>
        <w:gridCol w:w="1020"/>
        <w:gridCol w:w="1026"/>
        <w:gridCol w:w="309"/>
        <w:gridCol w:w="309"/>
        <w:gridCol w:w="313"/>
        <w:gridCol w:w="109"/>
        <w:gridCol w:w="109"/>
        <w:gridCol w:w="109"/>
        <w:gridCol w:w="344"/>
        <w:gridCol w:w="344"/>
        <w:gridCol w:w="348"/>
        <w:gridCol w:w="109"/>
        <w:gridCol w:w="109"/>
        <w:gridCol w:w="109"/>
        <w:gridCol w:w="315"/>
        <w:gridCol w:w="315"/>
        <w:gridCol w:w="451"/>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 and awards</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8,300,526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12,905,281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12,710,250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Employee Benefit Plans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was $22.4 million, $20.6 million and $18.9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Defined Benefit Pension Plans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pension plans assumptions reflect the expected investment return and discount rate on plan assets and disability rate probabilities. The benefit obligation at December 31, 2025 for the plans was determined using</w:t>
      </w:r>
      <w:r>
        <w:rPr>
          <w:color w:val="FF0000"/>
        </w:rPr>
        <w:t xml:space="preserve"> </w:t>
      </w:r>
      <w:r>
        <w:rPr>
          <w:rFonts w:ascii="Times New Roman;serif" w:hAnsi="Times New Roman;serif"/>
          <w:b w:val="false"/>
          <w:color w:val="000000"/>
          <w:sz w:val="20"/>
        </w:rPr>
        <w:t>a discount rate of 1.20% and rate of compensation increase of 2.00%. The 2025 net periodic benefit cost for the plans was determined using discount rates of 0.90%, rates of compensation increase of 2.25% and long term expected return on plan assets of 4.30%. The benefit obligation at December 31, 2024 for the plans was determined using</w:t>
      </w:r>
      <w:r>
        <w:rPr>
          <w:color w:val="FF0000"/>
        </w:rPr>
        <w:t xml:space="preserve"> </w:t>
      </w:r>
      <w:r>
        <w:rPr>
          <w:rFonts w:ascii="Times New Roman;serif" w:hAnsi="Times New Roman;serif"/>
          <w:b w:val="false"/>
          <w:color w:val="000000"/>
          <w:sz w:val="20"/>
        </w:rPr>
        <w:t>a discount rate of 0.90% and rate of compensation increase of 2.25%. The 2024 net periodic benefit cost for the plans was determined using discount rates of 1.30%, rates of compensation increase of 2.25% and long term expected return on plan assets of 5.50%.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Summarized information regarding changes in the obligations and plan assets, the funded status and the amounts recorded were as follows (in thousands):</w:t>
      </w:r>
    </w:p>
    <w:tbl>
      <w:tblPr>
        <w:tblW w:w="6518" w:type="dxa"/>
        <w:jc w:val="left"/>
        <w:tblInd w:w="0" w:type="dxa"/>
        <w:tblLayout w:type="fixed"/>
        <w:tblCellMar>
          <w:top w:w="28" w:type="dxa"/>
          <w:left w:w="28" w:type="dxa"/>
          <w:bottom w:w="28" w:type="dxa"/>
          <w:right w:w="28" w:type="dxa"/>
        </w:tblCellMar>
      </w:tblPr>
      <w:tblGrid>
        <w:gridCol w:w="1396"/>
        <w:gridCol w:w="1227"/>
        <w:gridCol w:w="1231"/>
        <w:gridCol w:w="211"/>
        <w:gridCol w:w="826"/>
        <w:gridCol w:w="109"/>
        <w:gridCol w:w="109"/>
        <w:gridCol w:w="109"/>
        <w:gridCol w:w="109"/>
        <w:gridCol w:w="211"/>
        <w:gridCol w:w="82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beginning of year</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195,487 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169,667 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service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Plan participants’ contributions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benefits net of payments from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paid from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loss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end of year</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238,516 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195,487 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Plan participants’ contributions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benefits net of payments from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paid from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gain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end of year</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197,357 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149,636 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liability, end of year</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41,159 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45,851 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unfunded liability is reported in other liabilities on the consolidated balance sheets as of December 31, 2025 and 2024. The accumulated benefit obligation is $225.2 million and $182.4 million as of December 31,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periodic benefit cost was as follows (in thousands):</w:t>
      </w:r>
    </w:p>
    <w:tbl>
      <w:tblPr>
        <w:tblW w:w="6552" w:type="dxa"/>
        <w:jc w:val="left"/>
        <w:tblInd w:w="0" w:type="dxa"/>
        <w:tblLayout w:type="fixed"/>
        <w:tblCellMar>
          <w:top w:w="28" w:type="dxa"/>
          <w:left w:w="28" w:type="dxa"/>
          <w:bottom w:w="28" w:type="dxa"/>
          <w:right w:w="28" w:type="dxa"/>
        </w:tblCellMar>
      </w:tblPr>
      <w:tblGrid>
        <w:gridCol w:w="1025"/>
        <w:gridCol w:w="901"/>
        <w:gridCol w:w="909"/>
        <w:gridCol w:w="211"/>
        <w:gridCol w:w="721"/>
        <w:gridCol w:w="109"/>
        <w:gridCol w:w="109"/>
        <w:gridCol w:w="109"/>
        <w:gridCol w:w="109"/>
        <w:gridCol w:w="211"/>
        <w:gridCol w:w="721"/>
        <w:gridCol w:w="109"/>
        <w:gridCol w:w="109"/>
        <w:gridCol w:w="109"/>
        <w:gridCol w:w="109"/>
        <w:gridCol w:w="211"/>
        <w:gridCol w:w="61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other than the service cost component are included in Other, net on the consolidated statements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contribute a total of $12.6 million to the pension plans in 2026. The following payments are expected to be paid from the fund (in thousands):</w:t>
      </w:r>
    </w:p>
    <w:tbl>
      <w:tblPr>
        <w:tblW w:w="2210" w:type="dxa"/>
        <w:jc w:val="left"/>
        <w:tblInd w:w="0" w:type="dxa"/>
        <w:tblLayout w:type="fixed"/>
        <w:tblCellMar>
          <w:top w:w="28" w:type="dxa"/>
          <w:left w:w="28" w:type="dxa"/>
          <w:bottom w:w="28" w:type="dxa"/>
          <w:right w:w="28" w:type="dxa"/>
        </w:tblCellMar>
      </w:tblPr>
      <w:tblGrid>
        <w:gridCol w:w="368"/>
        <w:gridCol w:w="324"/>
        <w:gridCol w:w="327"/>
        <w:gridCol w:w="211"/>
        <w:gridCol w:w="826"/>
        <w:gridCol w:w="154"/>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2031-2035</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2021, we entered into a revolving credit and guaranty agreement, which was subsequently amended in May 2023 and June 2024 (as amended, the “Credit Agreement”), among the Incyte Corporation, as borrower,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its consolidated leverage ratio in effect immediately prior to giving effect to such increase.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Loans under the Credit Agreement will bear interest, at our option, at a per annum rate equal to either (a) a base rate (but not less than 1.00%) plus an applicable rate per annum varying from 0.125% to 0.875% depending on the consolidated leverage ratio or (b) a rate based on the secured overnight financing rate (“SOFR”) plus a credit spread adjustment of 0.10% (but not less than 0.00%), plus an applicable rate per annum varying from 1.125% to 1.875% depending on the consolidated leverage ratio. Commitment fees payable on the undrawn amount range from 0.150% per annum to 0.225% per annum, based on our consolidated leverage ratio. We may, at our option, prepay any borrowings under the Credit Agreement, in whole or in part, at any time and from time to time without premium or penalty, subject to customary exceptions.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were in compliance with all financial and operational covenants under the terms of the Credit Agreement and there were no outstanding borrowings or letters of credit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brought a lawsuit against the U.S. Centers for Medicare and Medicaid Services (“CMS”) alleging that a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December 31, 2025, we have accrued approximately $218.5 million within accrued and other current liabilities on the consolidated balance sheet, relating to the incremental rebates that would be owed were OPZELURA considered a line extension of JAKAFI. The impact on OPZELURA gross to net deductions for the quarter ending December 31, 2025, is approximately 6.9%. If OPZELURA is not treated as a line extension of JAKAFI, this would result in a reversal of our accrual and a lower future gross to net deduction for OPZELURA.</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have various patent disputes and litigation initiated by us related to potential generic or other competition for our products, as described under Part I, Item 1A. “Risk Factors—Risks Relating to Commercialization of Our Products— Competition for our products could harm our business and result in a decrease in our revenue” above. Additionally, as described in Note 7, we entered into a settlement and license agreement with Sun, resolving patent infringement litigation related to Leqselvi (deuruxolitinib).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18. Segment Information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one operating segment, and therefore one reportable segment, focused on the global discovery, development and commercialization of proprietary therapeutics. We manage business activities on a consolidated basis through the development and commercialization of oncology and dermatology products, which are sold to U.S. and international customers. Our determination that we operate as a single operating segment is consistent with the financial information regularly reviewed by the chief operating decision maker for purposes of evaluating performance, allocating resources, setting incentive compensation targets, and planning and forecasting for future periods. Our chief operating decision maker is the Chief Executive Officer.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for our single operating segment are the same as those described in the summary of significant accounting policies. Our single operating segment generates revenues from the development and commercialization of oncology and dermatology pharmaceutical products, which are developed by our research and development department, as well as from product royalties, milestone and contract revenues from the out-licensing of our intellectual property to third parties.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segment, the chief operating decision maker uses net income, that also is reported on the consolidated statements of operations as consolidated net income, to allocate resources (including employees, property, and financial resources), predominantly during the annual budget and forecasting process. The chief operating decision maker also uses consolidated net income, along with non-financial inputs and qualitative information, to evaluate our performance, establish compensation, monitor budget versus actual results, and decide the level of investment in our various operating activities and other capital allocation activities. The measure of segment assets is reported on the consolidated balance sheet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for our segment was as follows (in thousands):</w:t>
      </w:r>
    </w:p>
    <w:tbl>
      <w:tblPr>
        <w:tblW w:w="10205" w:type="dxa"/>
        <w:jc w:val="left"/>
        <w:tblInd w:w="0" w:type="dxa"/>
        <w:tblLayout w:type="fixed"/>
        <w:tblCellMar>
          <w:top w:w="28" w:type="dxa"/>
          <w:left w:w="28" w:type="dxa"/>
          <w:bottom w:w="28" w:type="dxa"/>
          <w:right w:w="28" w:type="dxa"/>
        </w:tblCellMar>
      </w:tblPr>
      <w:tblGrid>
        <w:gridCol w:w="2144"/>
        <w:gridCol w:w="1734"/>
        <w:gridCol w:w="1739"/>
        <w:gridCol w:w="211"/>
        <w:gridCol w:w="976"/>
        <w:gridCol w:w="109"/>
        <w:gridCol w:w="109"/>
        <w:gridCol w:w="109"/>
        <w:gridCol w:w="109"/>
        <w:gridCol w:w="211"/>
        <w:gridCol w:w="976"/>
        <w:gridCol w:w="109"/>
        <w:gridCol w:w="109"/>
        <w:gridCol w:w="109"/>
        <w:gridCol w:w="109"/>
        <w:gridCol w:w="211"/>
        <w:gridCol w:w="976"/>
        <w:gridCol w:w="155"/>
      </w:tblGrid>
      <w:tr>
        <w:trPr/>
        <w:tc>
          <w:tcPr>
            <w:tcW w:w="214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3,165,168 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royalty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and contract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3,695,649 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(including definite-lived intangible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dispute settlement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 - internal</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 - external</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research and development</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acquisition-related 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and loss sharing under collaboration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597,599 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3"/>
        </w:rPr>
        <w:t>1.</w:t>
      </w:r>
      <w:r>
        <w:rPr>
          <w:rFonts w:ascii="Times New Roman;serif" w:hAnsi="Times New Roman;serif"/>
          <w:b w:val="false"/>
          <w:color w:val="000000"/>
          <w:sz w:val="20"/>
        </w:rPr>
        <w:t>Research and development - internal is comprised of internally generated costs such as salaries, travel, regulatory costs, lab costs, contracting, etc.</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rFonts w:ascii="Times New Roman;serif" w:hAnsi="Times New Roman;serif"/>
          <w:b w:val="false"/>
          <w:color w:val="000000"/>
          <w:sz w:val="20"/>
        </w:rPr>
        <w:t>Research and development - external is comprised of specific program spend with external vendors (i.e. contract manufacturing organization, contract research organization and lab vendors for clinical, technical operations and toxicology services).</w:t>
      </w:r>
    </w:p>
    <w:p>
      <w:pPr>
        <w:pStyle w:val="TextBody"/>
        <w:bidi w:val="0"/>
        <w:spacing w:lineRule="auto" w:line="288" w:before="0" w:after="0"/>
        <w:ind w:left="0" w:right="0" w:hanging="180"/>
        <w:jc w:val="both"/>
        <w:rPr/>
      </w:pPr>
      <w:r>
        <w:rPr>
          <w:rFonts w:ascii="Times New Roman;serif" w:hAnsi="Times New Roman;serif"/>
          <w:b w:val="false"/>
          <w:color w:val="000000"/>
          <w:sz w:val="13"/>
        </w:rPr>
        <w:t>3.</w:t>
      </w:r>
      <w:r>
        <w:rPr>
          <w:rFonts w:ascii="Times New Roman;serif" w:hAnsi="Times New Roman;serif"/>
          <w:b w:val="false"/>
          <w:color w:val="000000"/>
          <w:sz w:val="20"/>
        </w:rPr>
        <w:t>Other research and development is comprised of all other costs including certain one-time costs resulting from the acquisition of IPR&amp;D assets and one-time development milestone expenses.</w:t>
      </w:r>
    </w:p>
    <w:p>
      <w:pPr>
        <w:pStyle w:val="TextBody"/>
        <w:bidi w:val="0"/>
        <w:spacing w:lineRule="auto" w:line="288" w:before="0" w:after="240"/>
        <w:ind w:left="0" w:right="0" w:hanging="180"/>
        <w:jc w:val="both"/>
        <w:rPr/>
      </w:pPr>
      <w:r>
        <w:rPr>
          <w:rFonts w:ascii="Times New Roman;serif" w:hAnsi="Times New Roman;serif"/>
          <w:b w:val="false"/>
          <w:color w:val="000000"/>
          <w:sz w:val="10"/>
        </w:rPr>
        <w:t>4.</w:t>
      </w:r>
      <w:r>
        <w:rPr>
          <w:rFonts w:ascii="Times New Roman;serif" w:hAnsi="Times New Roman;serif"/>
          <w:b w:val="false"/>
          <w:color w:val="000000"/>
          <w:sz w:val="20"/>
        </w:rPr>
        <w:t>Other segment items is comprised of interest income, interest expense, realized and unrealized (gain) loss on equity investments, other, net, and provision for income taxes.</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Total Revenues by Geographic Location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revenues by geographic region consisted of the following (in thousands):</w:t>
      </w:r>
    </w:p>
    <w:tbl>
      <w:tblPr>
        <w:tblW w:w="5952" w:type="dxa"/>
        <w:jc w:val="left"/>
        <w:tblInd w:w="0" w:type="dxa"/>
        <w:tblLayout w:type="fixed"/>
        <w:tblCellMar>
          <w:top w:w="28" w:type="dxa"/>
          <w:left w:w="28" w:type="dxa"/>
          <w:bottom w:w="28" w:type="dxa"/>
          <w:right w:w="28" w:type="dxa"/>
        </w:tblCellMar>
      </w:tblPr>
      <w:tblGrid>
        <w:gridCol w:w="495"/>
        <w:gridCol w:w="434"/>
        <w:gridCol w:w="436"/>
        <w:gridCol w:w="211"/>
        <w:gridCol w:w="976"/>
        <w:gridCol w:w="109"/>
        <w:gridCol w:w="109"/>
        <w:gridCol w:w="109"/>
        <w:gridCol w:w="109"/>
        <w:gridCol w:w="211"/>
        <w:gridCol w:w="976"/>
        <w:gridCol w:w="109"/>
        <w:gridCol w:w="109"/>
        <w:gridCol w:w="109"/>
        <w:gridCol w:w="109"/>
        <w:gridCol w:w="211"/>
        <w:gridCol w:w="97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December 31,</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Property and Equipment, Net by Geographic Location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by geographic location was as follows (in thousands):</w:t>
      </w:r>
    </w:p>
    <w:tbl>
      <w:tblPr>
        <w:tblW w:w="5559" w:type="dxa"/>
        <w:jc w:val="left"/>
        <w:tblInd w:w="0" w:type="dxa"/>
        <w:tblLayout w:type="fixed"/>
        <w:tblCellMar>
          <w:top w:w="28" w:type="dxa"/>
          <w:left w:w="28" w:type="dxa"/>
          <w:bottom w:w="28" w:type="dxa"/>
          <w:right w:w="28" w:type="dxa"/>
        </w:tblCellMar>
      </w:tblPr>
      <w:tblGrid>
        <w:gridCol w:w="1050"/>
        <w:gridCol w:w="920"/>
        <w:gridCol w:w="925"/>
        <w:gridCol w:w="211"/>
        <w:gridCol w:w="826"/>
        <w:gridCol w:w="109"/>
        <w:gridCol w:w="109"/>
        <w:gridCol w:w="109"/>
        <w:gridCol w:w="109"/>
        <w:gridCol w:w="211"/>
        <w:gridCol w:w="826"/>
        <w:gridCol w:w="15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9A. </w:t>
      </w:r>
      <w:r>
        <w:rPr>
          <w:rFonts w:ascii="Times New Roman;serif" w:hAnsi="Times New Roman;serif"/>
          <w:b/>
          <w:i/>
          <w:color w:val="000000"/>
          <w:sz w:val="20"/>
        </w:rPr>
        <w:t>Controls and Procedures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Evaluation of disclosure controls and procedures.</w:t>
      </w:r>
      <w:r>
        <w:rPr>
          <w:color w:val="000000"/>
        </w:rPr>
        <w:t xml:space="preserve"> </w:t>
      </w:r>
      <w:r>
        <w:rPr>
          <w:rFonts w:ascii="Times New Roman;serif" w:hAnsi="Times New Roman;serif"/>
          <w:b w:val="false"/>
          <w:color w:val="000000"/>
          <w:sz w:val="20"/>
        </w:rPr>
        <w:t>We maintain “disclosure controls and procedures,” as such 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their evaluation as of the end of the period covered by this Annual Report on Form 10-K, our Chief Executive Officer and Principal Financial Officer concluded that, as of such date, our disclosure controls and procedures were effective at the reasonable assurance level.</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Changes in internal control over financial reporting.</w:t>
      </w:r>
      <w:r>
        <w:rPr>
          <w:color w:val="000000"/>
        </w:rPr>
        <w:t xml:space="preserve"> </w:t>
      </w:r>
      <w:r>
        <w:rPr>
          <w:rFonts w:ascii="Times New Roman;serif" w:hAnsi="Times New Roman;serif"/>
          <w:b w:val="false"/>
          <w:color w:val="000000"/>
          <w:sz w:val="20"/>
        </w:rPr>
        <w:t>There were no changes in our internal control over financial reporting (as defined in Rule 13a-15(f) under the Exchange Act) for the quarter ended December 31, 2025 that have materially affected or are reasonably likely to materially affect our internal control over financial reporting.</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Management’s annual report on internal control over financial reporting.</w:t>
      </w:r>
      <w:r>
        <w:rPr>
          <w:color w:val="000000"/>
        </w:rPr>
        <w:t xml:space="preserve"> </w:t>
      </w:r>
      <w:r>
        <w:rPr>
          <w:rFonts w:ascii="Times New Roman;serif" w:hAnsi="Times New Roman;serif"/>
          <w:b w:val="false"/>
          <w:color w:val="000000"/>
          <w:sz w:val="20"/>
        </w:rPr>
        <w:t xml:space="preserve">Our management is responsible for establishing and maintaining adequate internal control over financial reporting, as such term is defined in Exchange Act Rule 13a-15(f). Because of its inherent limitations, internal control over financial reporting may not prevent or detect misstatements. Projections of any evaluation of the effectiveness to future periods are subject to the risk that controls may become inadequate because of changes in conditions, or that the degree of compliance with the policies or procedures may deteriorate. Our management, with the participation of our Chief Executive Officer and Principal Financial Officer, conducted an evaluation of the effectiveness of our internal control over financial reporting based on the framework in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issued by the Committee of Sponsoring Organizations of the Treadway Commission (2013 framework). Based on our evaluation under this framework, our management concluded that our internal control over financial reporting was effective as of December 31, 2025. The effectiveness of our internal control over financial reporting as of December 31, 2025 has been audited by Ernst &amp; Young LLP, an independent registered public accounting firm, as stated in their report which is included herein.</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Incyte Corporation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audited Incyte Corporation’s internal control over financial reporting as of December 31, 2025, based on criteria established in Internal Control—Integrated Framework issued by the Committee of Sponsoring Organizations of the Treadway Commission (2013 framework) (the COSO criteria). In our opinion, Incyte Corporation (the Company) maintained, in all material respects, effective internal control over financial reporting as of December 31, 2025, based on the COSO criteria.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stockholders’ equity and cash flows for each of the three years in the period ended December 31, 2025, and the related notes and our report dated February 10, 2026 expressed an unqualified opinion thereon.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February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color w:val="000000"/>
          <w:sz w:val="20"/>
        </w:rPr>
        <w:t xml:space="preserve">Item 9B. </w:t>
      </w:r>
      <w:r>
        <w:rPr>
          <w:rFonts w:ascii="Times New Roman;serif" w:hAnsi="Times New Roman;serif"/>
          <w:b/>
          <w:i/>
          <w:color w:val="000000"/>
          <w:sz w:val="20"/>
        </w:rPr>
        <w:t>Other Information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On February 6, 2026, we entered into a registration rights agreement (the “Registration Rights Agreement”) with 667, L.P. and Baker Brothers Life Sciences, L.P. (the “Baker Entities”), both of which are existing stockholders of our company and are affiliated with the Chairman of our Board of Directors, Julian C. Baker. The Registration Rights Agreement replaces the registration rights agreement we entered into with the Baker Entities in February 2016 that continued in effect for 10 years. Under the Registration Rights Agreement, we agreed that, if requested by the Baker Entities, we would register our securities held by the Baker Entities for resale under the Securities Act of 1933. Our registration obligations under the Registration Rights Agreement cover all of our securities now held or later acquired by the Baker Entities, will continue in effect for up to 10 years, and include our obligation to facilitate certain underwritten public offerings of our securities by the Baker Entities in the future. The Registration Rights Agreement is filed as Exhibit 10.25 to this report and the description of the terms of the Registration Rights Agreement is qualified in its entirety by reference to such exhibit.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During the three months ended December 31, 2025, the following officer (as defined in Rule 16a-1(f) under the Securities Exchange Act of 1934) of our Company adopted a prearranged trading plan relating to our common stock and intended to satisfy the affirmative defense conditions of Rule 10b5–1(c) under the Securities Exchange Act of 1934.</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Pablo Cagnoni, our President, Research and Development, adopted a trading plan on November 20, 2025 providing for the sale of up to an aggregate of 56,002 shares of our common stock until November 20, 2026.</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 other than as set forth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9C. </w:t>
      </w:r>
      <w:r>
        <w:rPr>
          <w:rFonts w:ascii="Times New Roman;serif" w:hAnsi="Times New Roman;serif"/>
          <w:b/>
          <w:i/>
          <w:color w:val="000000"/>
          <w:sz w:val="20"/>
        </w:rPr>
        <w:t>Disclosure Regarding Foreign Jurisdictions that Prevent Inspections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10. </w:t>
      </w:r>
      <w:r>
        <w:rPr>
          <w:rFonts w:ascii="Times New Roman;serif" w:hAnsi="Times New Roman;serif"/>
          <w:b/>
          <w:i/>
          <w:color w:val="000000"/>
          <w:sz w:val="20"/>
        </w:rPr>
        <w:t>Directors, Executive Officers and Corporate Governance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information required by this item is incorporated by reference from the information under the captions “Election of Directors” and “Section 16(a) Beneficial Ownership Reporting Compliance” contained in our Proxy Statement to be filed with the Securities and Exchange Commission in connection with the solicitation of proxies for our 2026 Annual Meeting of Stockholders to be held on June 8, 2026 (the “Proxy Statement”). Certain information required by this item concerning executive officers is set forth in Part I of this Annual Report on Form 10-K under the caption “Information about our Executive Officers” and is incorporated herein by reference.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We have adopted a Code of Business Conduct and Ethics that applies to all of our officers and employees, including our Chief Executive Officer, Principal Financial Officer, Principal Accounting Officer, Corporate Controller and other employees who perform similar functions. The Code of Business Conduct and Ethics sets forth the basic principles that guide the business conduct of our employees. We have also adopted a Senior Financial Officers’ Code of Ethics that specifically applies to our Chief Executive Officer, Principal Financial Officer, Principal Accounting Officer, Corporate Controller, and others providing similar functions. Stockholders may request a free copy of our Code of Business Conduct and Ethics and our Senior Financial Officers’ Code of Ethics by contacting Incyte Corporation, Attention: Investor Relations, 1801 Augustine Cut-Off, Wilmington, DE 19803 or by visiting the Corporate Governance section of our website at </w:t>
      </w:r>
      <w:r>
        <w:rPr>
          <w:rFonts w:ascii="Times New Roman;serif" w:hAnsi="Times New Roman;serif"/>
          <w:b w:val="false"/>
          <w:i/>
          <w:color w:val="000000"/>
          <w:sz w:val="20"/>
        </w:rPr>
        <w:t>investor.incyte.com/corporate-governance</w:t>
      </w:r>
      <w:r>
        <w:rPr>
          <w:rFonts w:ascii="Times New Roman;serif" w:hAnsi="Times New Roman;serif"/>
          <w:b w:val="false"/>
          <w:color w:val="000000"/>
          <w:sz w:val="20"/>
        </w:rPr>
        <w:t>. Our website address listed in the prior sentence and below is intended to be an inactive, textual reference only. None of the materials on, or accessible through, our website are part of this report or are incorporated by reference herein.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any waivers, if and when granted, of our Code of Business Conduct and Ethics or Senior Financial Officers’ Code of Ethics on our website at </w:t>
      </w:r>
      <w:r>
        <w:rPr>
          <w:rFonts w:ascii="Times New Roman;serif" w:hAnsi="Times New Roman;serif"/>
          <w:b w:val="false"/>
          <w:i/>
          <w:color w:val="000000"/>
          <w:sz w:val="20"/>
        </w:rPr>
        <w:t>www.incyte.com</w:t>
      </w:r>
      <w:r>
        <w:rPr>
          <w:color w:val="000000"/>
        </w:rPr>
        <w:t xml:space="preserve"> </w:t>
      </w:r>
      <w:r>
        <w:rPr>
          <w:rFonts w:ascii="Times New Roman;serif" w:hAnsi="Times New Roman;serif"/>
          <w:b w:val="false"/>
          <w:color w:val="000000"/>
          <w:sz w:val="20"/>
        </w:rPr>
        <w:t>within four business days following the date of such amendment or waiver.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adopted our Policy on Insider Trading governing the purchase or sale of our securities by our officers, employees and members of the Board of Directors, as well as our contractors, consultants, secondees and temporary workers, that we believe is reasonably designed to promote compliance with insider trading laws, rules and regulations, and the listing standards of The Nasdaq Stock Market. A copy of our Policy on Insider Trading is filed as Exhibit 19.1 to this Annual Report on Form 10-K.</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regarding our policies and practices on the timing of equity awards will be included in the Proxy Statement and is incorporated herein by reference.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appointed an Audit and Finance Committee of three directors, currently comprised of Mr. Paul J. Clancy, as Chairman, Dr. Jacqualyn A. Fouse and Dr. Edmund P. Harrigan. The Board of Directors has also determined that Mr. Clancy and Dr. Fouse are each qualified as an Audit Committee Financial Expert under the definition outlined by the Securities and Exchange Commission. In addition, each of the members of the Audit Committee qualifies as an “independent director” under the applicable standards of The Nasdaq Stock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11. </w:t>
      </w:r>
      <w:r>
        <w:rPr>
          <w:rFonts w:ascii="Times New Roman;serif" w:hAnsi="Times New Roman;serif"/>
          <w:b/>
          <w:i/>
          <w:color w:val="000000"/>
          <w:sz w:val="20"/>
        </w:rPr>
        <w:t>Executive Compensation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information under the captions “Compensation of Directors” and “Executive Compensation” contained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12. </w:t>
      </w:r>
      <w:r>
        <w:rPr>
          <w:rFonts w:ascii="Times New Roman;serif" w:hAnsi="Times New Roman;serif"/>
          <w:b/>
          <w:i/>
          <w:color w:val="000000"/>
          <w:sz w:val="20"/>
        </w:rPr>
        <w:t>Security Ownership of Certain Beneficial Owners and Management and Related Stockholder Matters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information under the captions “Equity Compensation Plan Information” and “Security Ownership of Certain Beneficial Owners and Management” contained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13. </w:t>
      </w:r>
      <w:r>
        <w:rPr>
          <w:rFonts w:ascii="Times New Roman;serif" w:hAnsi="Times New Roman;serif"/>
          <w:b/>
          <w:i/>
          <w:color w:val="000000"/>
          <w:sz w:val="20"/>
        </w:rPr>
        <w:t>Certain Relationships and Related Transactions, and Director Independence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information under the captions “Corporate Governance—Certain Relationships and Related Transactions” and “Corporate Governance—Director Independence” contained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14. </w:t>
      </w:r>
      <w:r>
        <w:rPr>
          <w:rFonts w:ascii="Times New Roman;serif" w:hAnsi="Times New Roman;serif"/>
          <w:b/>
          <w:i/>
          <w:color w:val="000000"/>
          <w:sz w:val="20"/>
        </w:rPr>
        <w:t>Principal Accountant Fees and Services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the information under the caption “Ratification of Independent Registered Public Accounting Firm” contained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15. </w:t>
      </w:r>
      <w:r>
        <w:rPr>
          <w:rFonts w:ascii="Times New Roman;serif" w:hAnsi="Times New Roman;serif"/>
          <w:b/>
          <w:i/>
          <w:color w:val="000000"/>
          <w:sz w:val="20"/>
        </w:rPr>
        <w:t>Exhibits and Financial Statement Schedules</w:t>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(a)Documents filed as part of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Reference is made to the Index to Consolidated Financial Statements of Incyte Corporation under Item 8 of Part II hereof.</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(2)Financial Statement Schedules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because they are not applicable or not required or because the information is included elsewhere in the Consolidated Financial Statements or the Notes thereto.</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Item 15(b) below. Each management contract or compensatory plan or arrangement required to be filed has been identified.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76" w:before="0" w:after="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(b)Exhibits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96"/>
        <w:gridCol w:w="2645"/>
        <w:gridCol w:w="373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EE"/>
                  <w:sz w:val="20"/>
                  <w:u w:val="single"/>
                </w:rPr>
                <w:t>Integrated copy of the Restated Certificate of Incorporation, as amended, of the Company (incorporated by reference to Exhibit 3(i) to the Company’s Annual Report on Form 10-K for the year ended December 31, 2009).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r:id="rId3">
              <w:r>
                <w:rPr>
                  <w:rStyle w:val="InternetLink"/>
                  <w:rFonts w:ascii="Times New Roman;serif" w:hAnsi="Times New Roman;serif"/>
                  <w:b w:val="false"/>
                  <w:color w:val="0000EE"/>
                  <w:sz w:val="20"/>
                  <w:u w:val="single"/>
                </w:rPr>
                <w:t>Bylaws of the Company, as amended as of July 27, 2023 (incorporated by reference to Exhibit 3.1 to the Company’s Quarterly Report on Form 10-Q for the quarter ended June 30,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EE"/>
                  <w:sz w:val="20"/>
                  <w:u w:val="single"/>
                </w:rPr>
                <w:t>Form of Common Stock Certificate (incorporated by reference to the Exhibit 4.1 to the Company’s Annual Report on Form 10-K for the year ended December 31, 2002).</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EE"/>
                  <w:sz w:val="20"/>
                  <w:u w:val="single"/>
                </w:rPr>
                <w:t>Description of Registrant’s Securities Registered under Section 12 of the Securities Exchange Act of 1934 (incorporated by reference to Exhibit 4.3 to the Company’s Annual Report on Form 10-K for the year ended December 31,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80"/>
                  <w:sz w:val="20"/>
                  <w:u w:val="single"/>
                </w:rPr>
                <w:t>Incyte Corporation Amended and Restated 2010 Stock Incentive Plan, as amended on April 1</w:t>
              </w:r>
            </w:hyperlink>
            <w:hyperlink r:id="rId7">
              <w:r>
                <w:rPr>
                  <w:rStyle w:val="InternetLink"/>
                  <w:rFonts w:ascii="Times New Roman;serif" w:hAnsi="Times New Roman;serif"/>
                  <w:b w:val="false"/>
                  <w:color w:val="000080"/>
                  <w:sz w:val="20"/>
                  <w:u w:val="single"/>
                </w:rPr>
                <w:t>1</w:t>
              </w:r>
            </w:hyperlink>
            <w:hyperlink r:id="rId8">
              <w:r>
                <w:rPr>
                  <w:rStyle w:val="InternetLink"/>
                  <w:rFonts w:ascii="Times New Roman;serif" w:hAnsi="Times New Roman;serif"/>
                  <w:b w:val="false"/>
                  <w:color w:val="000080"/>
                  <w:sz w:val="20"/>
                  <w:u w:val="single"/>
                </w:rPr>
                <w:t>, 202</w:t>
              </w:r>
            </w:hyperlink>
            <w:hyperlink r:id="rId9">
              <w:r>
                <w:rPr>
                  <w:rStyle w:val="InternetLink"/>
                  <w:rFonts w:ascii="Times New Roman;serif" w:hAnsi="Times New Roman;serif"/>
                  <w:b w:val="false"/>
                  <w:color w:val="000080"/>
                  <w:sz w:val="20"/>
                  <w:u w:val="single"/>
                </w:rPr>
                <w:t>5</w:t>
              </w:r>
            </w:hyperlink>
            <w:hyperlink r:id="rId10">
              <w:r>
                <w:rPr>
                  <w:rStyle w:val="InternetLink"/>
                  <w:rFonts w:ascii="Times New Roman;serif" w:hAnsi="Times New Roman;serif"/>
                  <w:b w:val="false"/>
                  <w:color w:val="000080"/>
                  <w:sz w:val="20"/>
                  <w:u w:val="single"/>
                </w:rPr>
                <w:t xml:space="preserve"> (incorporated by reference to Exhibit 10.1 to the Company’s Current Report on Form 8-K filed June </w:t>
              </w:r>
            </w:hyperlink>
            <w:hyperlink r:id="rId11">
              <w:r>
                <w:rPr>
                  <w:rStyle w:val="InternetLink"/>
                  <w:rFonts w:ascii="Times New Roman;serif" w:hAnsi="Times New Roman;serif"/>
                  <w:b w:val="false"/>
                  <w:color w:val="000080"/>
                  <w:sz w:val="20"/>
                  <w:u w:val="single"/>
                </w:rPr>
                <w:t>11</w:t>
              </w:r>
            </w:hyperlink>
            <w:hyperlink r:id="rId12">
              <w:r>
                <w:rPr>
                  <w:rStyle w:val="InternetLink"/>
                  <w:rFonts w:ascii="Times New Roman;serif" w:hAnsi="Times New Roman;serif"/>
                  <w:b w:val="false"/>
                  <w:color w:val="000080"/>
                  <w:sz w:val="20"/>
                  <w:u w:val="single"/>
                </w:rPr>
                <w:t>, 202</w:t>
              </w:r>
            </w:hyperlink>
            <w:hyperlink r:id="rId13">
              <w:r>
                <w:rPr>
                  <w:rStyle w:val="InternetLink"/>
                  <w:rFonts w:ascii="Times New Roman;serif" w:hAnsi="Times New Roman;serif"/>
                  <w:b w:val="false"/>
                  <w:color w:val="000080"/>
                  <w:sz w:val="20"/>
                  <w:u w:val="single"/>
                </w:rPr>
                <w:t>5</w:t>
              </w:r>
            </w:hyperlink>
            <w:hyperlink r:id="rId14">
              <w:r>
                <w:rPr>
                  <w:rStyle w:val="InternetLink"/>
                  <w:rFonts w:ascii="Times New Roman;serif" w:hAnsi="Times New Roman;serif"/>
                  <w:b w:val="false"/>
                  <w:color w:val="000080"/>
                  <w:sz w:val="20"/>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304" w:before="0" w:after="0"/>
              <w:jc w:val="left"/>
              <w:rPr/>
            </w:pPr>
            <w:hyperlink r:id="rId15">
              <w:r>
                <w:rPr>
                  <w:rStyle w:val="InternetLink"/>
                  <w:rFonts w:ascii="Times New Roman;serif" w:hAnsi="Times New Roman;serif"/>
                  <w:b w:val="false"/>
                  <w:color w:val="0000EE"/>
                  <w:sz w:val="20"/>
                  <w:u w:val="single"/>
                </w:rPr>
                <w:t>Form of Global Stock Option Agreement for Executive Officers under the Incyte Corporation Amended and Restated 2010 Stock Incentive Plan (incorporated by reference to Exhibit 10.1 to the Company’s Quarterly Report on Form 10-Q for the quarter ended September 30, 2020).</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erif" w:hAnsi="Times New Roman;serif"/>
                  <w:b w:val="false"/>
                  <w:color w:val="0000EE"/>
                  <w:sz w:val="20"/>
                  <w:u w:val="single"/>
                </w:rPr>
                <w:t>Form of Global Restricted Stock Unit Award Agreement under the Incyte Corporation Amended and Restated 2010 Stock Incentive Plan (incorporated by reference to Exhibit 10.2 to the Company’s Quarterly Report on Form 10-Q for the quarter ended September 30, 2020).</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EE"/>
                  <w:sz w:val="20"/>
                  <w:u w:val="single"/>
                </w:rPr>
                <w:t>Form of Performance Share Award Agreement under the Incyte Corporation Amended and Restated 2010 Stock Incentive Plan (incorporated by reference to Exhibit 10.3 to the Company’s Quarterly Report on Form 10-Q for the quarter ended September 30, 2020).</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erif" w:hAnsi="Times New Roman;serif"/>
                  <w:b w:val="false"/>
                  <w:color w:val="0000EE"/>
                  <w:sz w:val="20"/>
                  <w:u w:val="single"/>
                </w:rPr>
                <w:t>Form of Nonstatutory Stock Option Agreement for Outside Directors under the Incyte Corporation Amended and Restated 2010 Stock Incentive Plan (incorporated by reference to Exhibit 10.24 to the Company’s Annual Report on Form 10-K for the year ended December 31, 2013).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erif" w:hAnsi="Times New Roman;serif"/>
                  <w:b w:val="false"/>
                  <w:color w:val="0000EE"/>
                  <w:sz w:val="20"/>
                  <w:u w:val="single"/>
                </w:rPr>
                <w:t>Form of Restricted Stock Unit Award Agreement for Outside Directors under the Incyte Corporation Amended and Restated 2010 Stock Incentive Plan (incorporated by reference to Exhibit 10.1 to the Company’s Quarterly Report on Form 10-Q for the quarter ended June 30,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EE"/>
                  <w:sz w:val="20"/>
                  <w:u w:val="single"/>
                </w:rPr>
                <w:t>Form of U.S. Stock Option Agreement for Executive Officers under the Incyte Corporation Amended and Restated 2010 Stock Incentive Plan (incorporated by reference to Exhibit 10.1 to the Company’s Quarterly Report on Form 10-Q for the quarter ended September 30, 2024).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EE"/>
                  <w:sz w:val="20"/>
                  <w:u w:val="single"/>
                </w:rPr>
                <w:t>Form of U.S. Restricted Stock Unit Award Agreement under the Incyte Corporation Amended and Restated 2010 Stock Incentive Plan (incorporated by reference to Exhibit 10.2 to the Company’s Quarterly Report on Form 10-Q for the quarter ended September 30, 2024).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EE"/>
                  <w:sz w:val="20"/>
                  <w:u w:val="single"/>
                </w:rPr>
                <w:t>Incyte Corporation 2024 Inducement Stock Incentive Plan, as amended June 25, 2025 (incorporated by reference to Exhibit 10.4 to the Company’s Current Report on Form 8-K filed June 27, 2025).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80"/>
                  <w:sz w:val="20"/>
                  <w:u w:val="single"/>
                </w:rPr>
                <w:t>Form of Global Nonstatutory Stock Option Agreement for Executive Officers under the Incyte Corporation 2024 Inducement Stock Incentive Plan (incorporated by reference to Exhibit 99.2 to the Company’s Registration Statement on Form S-8 (File No. 333-277043)</w:t>
              </w:r>
            </w:hyperlink>
            <w:hyperlink r:id="rId24">
              <w:r>
                <w:rPr>
                  <w:rStyle w:val="InternetLink"/>
                  <w:rFonts w:ascii="Times New Roman;serif" w:hAnsi="Times New Roman;serif"/>
                  <w:b w:val="false"/>
                  <w:color w:val="000080"/>
                  <w:sz w:val="20"/>
                  <w:u w:val="single"/>
                </w:rPr>
                <w:t>)</w:t>
              </w:r>
            </w:hyperlink>
            <w:hyperlink r:id="rId25">
              <w:r>
                <w:rPr>
                  <w:rStyle w:val="InternetLink"/>
                  <w:rFonts w:ascii="Times New Roman;serif" w:hAnsi="Times New Roman;serif"/>
                  <w:b w:val="false"/>
                  <w:color w:val="000080"/>
                  <w:sz w:val="20"/>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80"/>
                  <w:sz w:val="20"/>
                  <w:u w:val="single"/>
                </w:rPr>
                <w:t>Form of Global Restricted Stock Unit Agreement under the Incyte Corporation 2024 Inducement Stock Incentive Plan (incorporated by reference to Exhibit 99.3 to the Company’s Registration Statement on Form S-8 (File No. 333-277043)</w:t>
              </w:r>
            </w:hyperlink>
            <w:hyperlink r:id="rId27">
              <w:r>
                <w:rPr>
                  <w:rStyle w:val="InternetLink"/>
                  <w:rFonts w:ascii="Times New Roman;serif" w:hAnsi="Times New Roman;serif"/>
                  <w:b w:val="false"/>
                  <w:color w:val="000080"/>
                  <w:sz w:val="20"/>
                  <w:u w:val="single"/>
                </w:rPr>
                <w:t>)</w:t>
              </w:r>
            </w:hyperlink>
            <w:hyperlink r:id="rId28">
              <w:r>
                <w:rPr>
                  <w:rStyle w:val="InternetLink"/>
                  <w:rFonts w:ascii="Times New Roman;serif" w:hAnsi="Times New Roman;serif"/>
                  <w:b w:val="false"/>
                  <w:color w:val="000080"/>
                  <w:sz w:val="20"/>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80"/>
                  <w:sz w:val="20"/>
                  <w:u w:val="single"/>
                </w:rPr>
                <w:t>Form of Performance Share Award Agreement under the Incyte Corporation 2024 Inducement Stock Incentive Plan (incorporated by reference to Exhibit 99.4 to the Company’s Registration Statement on Form S-8 (File No. 333-277043)</w:t>
              </w:r>
            </w:hyperlink>
            <w:hyperlink r:id="rId30">
              <w:r>
                <w:rPr>
                  <w:rStyle w:val="InternetLink"/>
                  <w:rFonts w:ascii="Times New Roman;serif" w:hAnsi="Times New Roman;serif"/>
                  <w:b w:val="false"/>
                  <w:color w:val="000080"/>
                  <w:sz w:val="20"/>
                  <w:u w:val="single"/>
                </w:rPr>
                <w:t>)</w:t>
              </w:r>
            </w:hyperlink>
            <w:hyperlink r:id="rId31">
              <w:r>
                <w:rPr>
                  <w:rStyle w:val="InternetLink"/>
                  <w:rFonts w:ascii="Times New Roman;serif" w:hAnsi="Times New Roman;serif"/>
                  <w:b w:val="false"/>
                  <w:color w:val="000080"/>
                  <w:sz w:val="20"/>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EE"/>
                  <w:sz w:val="20"/>
                  <w:u w:val="single"/>
                </w:rPr>
                <w:t xml:space="preserve">Form of U.S. Nonstatutory Stock Option Agreement for Executive Officers under the Incyte Corporation 2024 Inducement Stock Incentive Plan (incorporated by reference to Exhibit 10.3 to the Company’s Quarterly Report on Form 10-Q for the quarter ended September 30, 2024).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EE"/>
                  <w:sz w:val="20"/>
                  <w:u w:val="single"/>
                </w:rPr>
                <w:t>Form of U.S. Restricted Stock Unit Award Agreement for Executive Officers under the Incyte Corporation 2024 Inducement Stock Incentive Plan (incorporated by reference to Exhibit 10.4 to the Company’s Quarterly Report on Form 10-Q for the quarter ended September 30,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76" w:before="0" w:after="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76"/>
        <w:gridCol w:w="243"/>
        <w:gridCol w:w="246"/>
        <w:gridCol w:w="109"/>
        <w:gridCol w:w="109"/>
        <w:gridCol w:w="109"/>
        <w:gridCol w:w="3103"/>
        <w:gridCol w:w="2476"/>
        <w:gridCol w:w="353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Indemnity Agreement between the Company and its directors and officers (incorporated by reference to Exhibit 10.5 to the Company’s Registration Statement on Form S-1 (File No. 33 68138)).</w:t>
            </w:r>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erif" w:hAnsi="Times New Roman;serif"/>
                  <w:b w:val="false"/>
                  <w:color w:val="000080"/>
                  <w:sz w:val="20"/>
                  <w:u w:val="single"/>
                </w:rPr>
                <w:t>1997 Employee Stock Purchase Plan of Incyte Corporation, as amended on April 1</w:t>
              </w:r>
            </w:hyperlink>
            <w:hyperlink r:id="rId35">
              <w:r>
                <w:rPr>
                  <w:rStyle w:val="InternetLink"/>
                  <w:rFonts w:ascii="Times New Roman;serif" w:hAnsi="Times New Roman;serif"/>
                  <w:b w:val="false"/>
                  <w:color w:val="000080"/>
                  <w:sz w:val="20"/>
                  <w:u w:val="single"/>
                </w:rPr>
                <w:t>1</w:t>
              </w:r>
            </w:hyperlink>
            <w:hyperlink r:id="rId36">
              <w:r>
                <w:rPr>
                  <w:rStyle w:val="InternetLink"/>
                  <w:rFonts w:ascii="Times New Roman;serif" w:hAnsi="Times New Roman;serif"/>
                  <w:b w:val="false"/>
                  <w:color w:val="000080"/>
                  <w:sz w:val="20"/>
                  <w:u w:val="single"/>
                </w:rPr>
                <w:t>, 202</w:t>
              </w:r>
            </w:hyperlink>
            <w:hyperlink r:id="rId37">
              <w:r>
                <w:rPr>
                  <w:rStyle w:val="InternetLink"/>
                  <w:rFonts w:ascii="Times New Roman;serif" w:hAnsi="Times New Roman;serif"/>
                  <w:b w:val="false"/>
                  <w:color w:val="000080"/>
                  <w:sz w:val="20"/>
                  <w:u w:val="single"/>
                </w:rPr>
                <w:t>5</w:t>
              </w:r>
            </w:hyperlink>
            <w:hyperlink r:id="rId38">
              <w:r>
                <w:rPr>
                  <w:rStyle w:val="InternetLink"/>
                  <w:rFonts w:ascii="Times New Roman;serif" w:hAnsi="Times New Roman;serif"/>
                  <w:b w:val="false"/>
                  <w:color w:val="000080"/>
                  <w:sz w:val="20"/>
                  <w:u w:val="single"/>
                </w:rPr>
                <w:t xml:space="preserve"> (incorporated by reference to Exhibit 10.2 to the Company’s Current Report on Form 8-K filed June </w:t>
              </w:r>
            </w:hyperlink>
            <w:hyperlink r:id="rId39">
              <w:r>
                <w:rPr>
                  <w:rStyle w:val="InternetLink"/>
                  <w:rFonts w:ascii="Times New Roman;serif" w:hAnsi="Times New Roman;serif"/>
                  <w:b w:val="false"/>
                  <w:color w:val="000080"/>
                  <w:sz w:val="20"/>
                  <w:u w:val="single"/>
                </w:rPr>
                <w:t>11</w:t>
              </w:r>
            </w:hyperlink>
            <w:hyperlink r:id="rId40">
              <w:r>
                <w:rPr>
                  <w:rStyle w:val="InternetLink"/>
                  <w:rFonts w:ascii="Times New Roman;serif" w:hAnsi="Times New Roman;serif"/>
                  <w:b w:val="false"/>
                  <w:color w:val="000080"/>
                  <w:sz w:val="20"/>
                  <w:u w:val="single"/>
                </w:rPr>
                <w:t>, 202</w:t>
              </w:r>
            </w:hyperlink>
            <w:hyperlink r:id="rId41">
              <w:r>
                <w:rPr>
                  <w:rStyle w:val="InternetLink"/>
                  <w:rFonts w:ascii="Times New Roman;serif" w:hAnsi="Times New Roman;serif"/>
                  <w:b w:val="false"/>
                  <w:color w:val="000080"/>
                  <w:sz w:val="20"/>
                  <w:u w:val="single"/>
                </w:rPr>
                <w:t>5</w:t>
              </w:r>
            </w:hyperlink>
            <w:hyperlink r:id="rId42">
              <w:r>
                <w:rPr>
                  <w:rStyle w:val="InternetLink"/>
                  <w:rFonts w:ascii="Times New Roman;serif" w:hAnsi="Times New Roman;serif"/>
                  <w:b w:val="false"/>
                  <w:color w:val="000080"/>
                  <w:sz w:val="20"/>
                  <w:u w:val="single"/>
                </w:rPr>
                <w:t>).</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erif" w:hAnsi="Times New Roman;serif"/>
                  <w:b w:val="false"/>
                  <w:color w:val="000080"/>
                  <w:sz w:val="20"/>
                  <w:u w:val="single"/>
                </w:rPr>
                <w:t xml:space="preserve">Form of Employment Agreement between the Company and </w:t>
              </w:r>
            </w:hyperlink>
            <w:hyperlink r:id="rId44">
              <w:r>
                <w:rPr>
                  <w:rStyle w:val="InternetLink"/>
                  <w:rFonts w:ascii="Times New Roman;serif" w:hAnsi="Times New Roman;serif"/>
                  <w:b w:val="false"/>
                  <w:color w:val="000080"/>
                  <w:sz w:val="20"/>
                  <w:u w:val="single"/>
                </w:rPr>
                <w:t xml:space="preserve">Steven H. Stein (effective as of March 2, 2015), </w:t>
              </w:r>
            </w:hyperlink>
            <w:hyperlink r:id="rId45">
              <w:r>
                <w:rPr>
                  <w:rStyle w:val="InternetLink"/>
                  <w:rFonts w:ascii="Times New Roman;serif" w:hAnsi="Times New Roman;serif"/>
                  <w:b w:val="false"/>
                  <w:color w:val="000080"/>
                  <w:sz w:val="20"/>
                  <w:u w:val="single"/>
                </w:rPr>
                <w:t>Pablo J. Cagnoni (effective as of June 7, 2023)</w:t>
              </w:r>
            </w:hyperlink>
            <w:hyperlink r:id="rId46">
              <w:r>
                <w:rPr>
                  <w:rStyle w:val="InternetLink"/>
                  <w:rFonts w:ascii="Times New Roman;serif" w:hAnsi="Times New Roman;serif"/>
                  <w:b w:val="false"/>
                  <w:color w:val="000080"/>
                  <w:sz w:val="20"/>
                  <w:u w:val="single"/>
                </w:rPr>
                <w:t>, Matteo Trotta (effective as of March 25, 2024), Lee Heeson (effective as of October 1, 2024)</w:t>
              </w:r>
            </w:hyperlink>
            <w:hyperlink r:id="rId47">
              <w:r>
                <w:rPr>
                  <w:rStyle w:val="InternetLink"/>
                  <w:rFonts w:ascii="Times New Roman;serif" w:hAnsi="Times New Roman;serif"/>
                  <w:b w:val="false"/>
                  <w:color w:val="000080"/>
                  <w:sz w:val="20"/>
                  <w:u w:val="single"/>
                </w:rPr>
                <w:t>,</w:t>
              </w:r>
            </w:hyperlink>
            <w:hyperlink r:id="rId48">
              <w:r>
                <w:rPr>
                  <w:rStyle w:val="InternetLink"/>
                  <w:rFonts w:ascii="Times New Roman;serif" w:hAnsi="Times New Roman;serif"/>
                  <w:b w:val="false"/>
                  <w:color w:val="000080"/>
                  <w:sz w:val="20"/>
                  <w:u w:val="single"/>
                </w:rPr>
                <w:t xml:space="preserve"> </w:t>
              </w:r>
            </w:hyperlink>
            <w:hyperlink r:id="rId49">
              <w:r>
                <w:rPr>
                  <w:rStyle w:val="InternetLink"/>
                  <w:rFonts w:ascii="Times New Roman;serif" w:hAnsi="Times New Roman;serif"/>
                  <w:b w:val="false"/>
                  <w:color w:val="000080"/>
                  <w:sz w:val="20"/>
                  <w:u w:val="single"/>
                </w:rPr>
                <w:t>Mohamed Issa (effective as of January 6, 2025)</w:t>
              </w:r>
            </w:hyperlink>
            <w:hyperlink r:id="rId50">
              <w:r>
                <w:rPr>
                  <w:rStyle w:val="InternetLink"/>
                  <w:rFonts w:ascii="Times New Roman;serif" w:hAnsi="Times New Roman;serif"/>
                  <w:b w:val="false"/>
                  <w:color w:val="000080"/>
                  <w:sz w:val="20"/>
                  <w:u w:val="single"/>
                </w:rPr>
                <w:t xml:space="preserve">, </w:t>
              </w:r>
            </w:hyperlink>
            <w:hyperlink r:id="rId51">
              <w:r>
                <w:rPr>
                  <w:rStyle w:val="InternetLink"/>
                  <w:rFonts w:ascii="Times New Roman;serif" w:hAnsi="Times New Roman;serif"/>
                  <w:b w:val="false"/>
                  <w:color w:val="000080"/>
                  <w:sz w:val="20"/>
                  <w:u w:val="single"/>
                </w:rPr>
                <w:t>Patrick A</w:t>
              </w:r>
            </w:hyperlink>
            <w:hyperlink r:id="rId52">
              <w:r>
                <w:rPr>
                  <w:rStyle w:val="InternetLink"/>
                  <w:rFonts w:ascii="Times New Roman;serif" w:hAnsi="Times New Roman;serif"/>
                  <w:b w:val="false"/>
                  <w:color w:val="000080"/>
                  <w:sz w:val="20"/>
                  <w:u w:val="single"/>
                </w:rPr>
                <w:t>.</w:t>
              </w:r>
            </w:hyperlink>
            <w:hyperlink r:id="rId53">
              <w:r>
                <w:rPr>
                  <w:rStyle w:val="InternetLink"/>
                  <w:rFonts w:ascii="Times New Roman;serif" w:hAnsi="Times New Roman;serif"/>
                  <w:b w:val="false"/>
                  <w:color w:val="000080"/>
                  <w:sz w:val="20"/>
                  <w:u w:val="single"/>
                </w:rPr>
                <w:t xml:space="preserve"> Maye</w:t>
              </w:r>
            </w:hyperlink>
            <w:hyperlink r:id="rId54">
              <w:r>
                <w:rPr>
                  <w:rStyle w:val="InternetLink"/>
                  <w:rFonts w:ascii="Times New Roman;serif" w:hAnsi="Times New Roman;serif"/>
                  <w:b w:val="false"/>
                  <w:color w:val="000080"/>
                  <w:sz w:val="20"/>
                  <w:u w:val="single"/>
                </w:rPr>
                <w:t>s (</w:t>
              </w:r>
            </w:hyperlink>
            <w:hyperlink r:id="rId55">
              <w:r>
                <w:rPr>
                  <w:rStyle w:val="InternetLink"/>
                  <w:rFonts w:ascii="Times New Roman;serif" w:hAnsi="Times New Roman;serif"/>
                  <w:b w:val="false"/>
                  <w:color w:val="000080"/>
                  <w:sz w:val="20"/>
                  <w:u w:val="single"/>
                </w:rPr>
                <w:t xml:space="preserve">effective as of July 21, 2025), </w:t>
              </w:r>
            </w:hyperlink>
            <w:hyperlink r:id="rId56">
              <w:r>
                <w:rPr>
                  <w:rStyle w:val="InternetLink"/>
                  <w:rFonts w:ascii="Times New Roman;serif" w:hAnsi="Times New Roman;serif"/>
                  <w:b w:val="false"/>
                  <w:color w:val="000080"/>
                  <w:sz w:val="20"/>
                  <w:u w:val="single"/>
                </w:rPr>
                <w:t xml:space="preserve">Ramitpal K. Basi (effective </w:t>
              </w:r>
            </w:hyperlink>
            <w:hyperlink r:id="rId57">
              <w:r>
                <w:rPr>
                  <w:rStyle w:val="InternetLink"/>
                  <w:rFonts w:ascii="Times New Roman;serif" w:hAnsi="Times New Roman;serif"/>
                  <w:b w:val="false"/>
                  <w:color w:val="000080"/>
                  <w:sz w:val="20"/>
                  <w:u w:val="single"/>
                </w:rPr>
                <w:t xml:space="preserve">as of </w:t>
              </w:r>
            </w:hyperlink>
            <w:hyperlink r:id="rId58">
              <w:r>
                <w:rPr>
                  <w:rStyle w:val="InternetLink"/>
                  <w:rFonts w:ascii="Times New Roman;serif" w:hAnsi="Times New Roman;serif"/>
                  <w:b w:val="false"/>
                  <w:color w:val="000080"/>
                  <w:sz w:val="20"/>
                  <w:u w:val="single"/>
                </w:rPr>
                <w:t>August 25, 2025)</w:t>
              </w:r>
            </w:hyperlink>
            <w:hyperlink r:id="rId59">
              <w:r>
                <w:rPr>
                  <w:rStyle w:val="InternetLink"/>
                  <w:rFonts w:ascii="Times New Roman;serif" w:hAnsi="Times New Roman;serif"/>
                  <w:b w:val="false"/>
                  <w:color w:val="000080"/>
                  <w:sz w:val="20"/>
                  <w:u w:val="single"/>
                </w:rPr>
                <w:t>,</w:t>
              </w:r>
            </w:hyperlink>
            <w:hyperlink r:id="rId60">
              <w:r>
                <w:rPr>
                  <w:rStyle w:val="InternetLink"/>
                  <w:rFonts w:ascii="Times New Roman;serif" w:hAnsi="Times New Roman;serif"/>
                  <w:b w:val="false"/>
                  <w:color w:val="000080"/>
                  <w:sz w:val="20"/>
                  <w:u w:val="single"/>
                </w:rPr>
                <w:t xml:space="preserve"> </w:t>
              </w:r>
            </w:hyperlink>
            <w:hyperlink r:id="rId61">
              <w:r>
                <w:rPr>
                  <w:rStyle w:val="InternetLink"/>
                  <w:rFonts w:ascii="Times New Roman;serif" w:hAnsi="Times New Roman;serif"/>
                  <w:b w:val="false"/>
                  <w:color w:val="000080"/>
                  <w:sz w:val="20"/>
                  <w:u w:val="single"/>
                </w:rPr>
                <w:t>David H</w:t>
              </w:r>
            </w:hyperlink>
            <w:hyperlink r:id="rId62">
              <w:r>
                <w:rPr>
                  <w:rStyle w:val="InternetLink"/>
                  <w:rFonts w:ascii="Times New Roman;serif" w:hAnsi="Times New Roman;serif"/>
                  <w:b w:val="false"/>
                  <w:color w:val="000080"/>
                  <w:sz w:val="20"/>
                  <w:u w:val="single"/>
                </w:rPr>
                <w:t>. Gar</w:t>
              </w:r>
            </w:hyperlink>
            <w:hyperlink r:id="rId63">
              <w:r>
                <w:rPr>
                  <w:rStyle w:val="InternetLink"/>
                  <w:rFonts w:ascii="Times New Roman;serif" w:hAnsi="Times New Roman;serif"/>
                  <w:b w:val="false"/>
                  <w:color w:val="000080"/>
                  <w:sz w:val="20"/>
                  <w:u w:val="single"/>
                </w:rPr>
                <w:t xml:space="preserve">dner (effective </w:t>
              </w:r>
            </w:hyperlink>
            <w:hyperlink r:id="rId64">
              <w:r>
                <w:rPr>
                  <w:rStyle w:val="InternetLink"/>
                  <w:rFonts w:ascii="Times New Roman;serif" w:hAnsi="Times New Roman;serif"/>
                  <w:b w:val="false"/>
                  <w:color w:val="000080"/>
                  <w:sz w:val="20"/>
                  <w:u w:val="single"/>
                </w:rPr>
                <w:t xml:space="preserve">as of </w:t>
              </w:r>
            </w:hyperlink>
            <w:hyperlink r:id="rId65">
              <w:r>
                <w:rPr>
                  <w:rStyle w:val="InternetLink"/>
                  <w:rFonts w:ascii="Times New Roman;serif" w:hAnsi="Times New Roman;serif"/>
                  <w:b w:val="false"/>
                  <w:color w:val="000080"/>
                  <w:sz w:val="20"/>
                  <w:u w:val="single"/>
                </w:rPr>
                <w:t>September 22, 2025)</w:t>
              </w:r>
            </w:hyperlink>
            <w:hyperlink r:id="rId66">
              <w:r>
                <w:rPr>
                  <w:rStyle w:val="InternetLink"/>
                  <w:rFonts w:ascii="Times New Roman;serif" w:hAnsi="Times New Roman;serif"/>
                  <w:b w:val="false"/>
                  <w:color w:val="000080"/>
                  <w:sz w:val="20"/>
                  <w:u w:val="single"/>
                </w:rPr>
                <w:t xml:space="preserve"> </w:t>
              </w:r>
            </w:hyperlink>
            <w:hyperlink r:id="rId67">
              <w:r>
                <w:rPr>
                  <w:rStyle w:val="InternetLink"/>
                  <w:rFonts w:ascii="Times New Roman;serif" w:hAnsi="Times New Roman;serif"/>
                  <w:b w:val="false"/>
                  <w:color w:val="000080"/>
                  <w:sz w:val="20"/>
                  <w:u w:val="single"/>
                </w:rPr>
                <w:t xml:space="preserve">and Richard Hoffman (effective as of December </w:t>
              </w:r>
            </w:hyperlink>
            <w:hyperlink r:id="rId68">
              <w:r>
                <w:rPr>
                  <w:rStyle w:val="InternetLink"/>
                  <w:rFonts w:ascii="Times New Roman;serif" w:hAnsi="Times New Roman;serif"/>
                  <w:b w:val="false"/>
                  <w:color w:val="000080"/>
                  <w:sz w:val="20"/>
                  <w:u w:val="single"/>
                </w:rPr>
                <w:t>1</w:t>
              </w:r>
            </w:hyperlink>
            <w:hyperlink r:id="rId69">
              <w:r>
                <w:rPr>
                  <w:rStyle w:val="InternetLink"/>
                  <w:rFonts w:ascii="Times New Roman;serif" w:hAnsi="Times New Roman;serif"/>
                  <w:b w:val="false"/>
                  <w:color w:val="000080"/>
                  <w:sz w:val="20"/>
                  <w:u w:val="single"/>
                </w:rPr>
                <w:t xml:space="preserve">, 2025) </w:t>
              </w:r>
            </w:hyperlink>
            <w:hyperlink r:id="rId70">
              <w:r>
                <w:rPr>
                  <w:rStyle w:val="InternetLink"/>
                  <w:rFonts w:ascii="Times New Roman;serif" w:hAnsi="Times New Roman;serif"/>
                  <w:b w:val="false"/>
                  <w:color w:val="000080"/>
                  <w:sz w:val="20"/>
                  <w:u w:val="single"/>
                </w:rPr>
                <w:t>(incorporated by reference to Exhibit 10.14 to the Company’s Annual Report on Form 10-K for the year ended December 31, 2012).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1">
              <w:r>
                <w:rPr>
                  <w:rStyle w:val="InternetLink"/>
                  <w:rFonts w:ascii="Times New Roman;serif" w:hAnsi="Times New Roman;serif"/>
                  <w:b w:val="false"/>
                  <w:color w:val="0000FF"/>
                  <w:sz w:val="20"/>
                  <w:u w:val="single"/>
                </w:rPr>
                <w:t xml:space="preserve">Offer of Employment Letter, dated April 21, 2023, from the Company to Pablo J. Cagnoni (incorporated by reference to Exhibit 10.1 to the Company’s Quarterly Report on Form 10-Q for the quarter ended June 30, 2023). </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2">
              <w:r>
                <w:rPr>
                  <w:rStyle w:val="InternetLink"/>
                  <w:rFonts w:ascii="Times New Roman;serif" w:hAnsi="Times New Roman;serif"/>
                  <w:b w:val="false"/>
                  <w:color w:val="000080"/>
                  <w:sz w:val="20"/>
                  <w:u w:val="single"/>
                </w:rPr>
                <w:t>Transition Agreement between the Company and Hervé Hoppenot</w:t>
              </w:r>
            </w:hyperlink>
            <w:hyperlink r:id="rId73">
              <w:r>
                <w:rPr>
                  <w:rStyle w:val="InternetLink"/>
                  <w:rFonts w:ascii="Times New Roman;serif" w:hAnsi="Times New Roman;serif"/>
                  <w:b w:val="false"/>
                  <w:color w:val="000080"/>
                  <w:sz w:val="20"/>
                  <w:u w:val="single"/>
                </w:rPr>
                <w:t xml:space="preserve">, dated as of June 26, 2025 </w:t>
              </w:r>
            </w:hyperlink>
            <w:hyperlink r:id="rId74">
              <w:r>
                <w:rPr>
                  <w:rStyle w:val="InternetLink"/>
                  <w:rFonts w:ascii="Times New Roman;serif" w:hAnsi="Times New Roman;serif"/>
                  <w:b w:val="false"/>
                  <w:color w:val="000080"/>
                  <w:sz w:val="20"/>
                  <w:u w:val="single"/>
                </w:rPr>
                <w:t xml:space="preserve">(incorporated by reference to Exhibit 10.1 to the Company’s </w:t>
              </w:r>
            </w:hyperlink>
            <w:hyperlink r:id="rId75">
              <w:r>
                <w:rPr>
                  <w:rStyle w:val="InternetLink"/>
                  <w:rFonts w:ascii="Times New Roman;serif" w:hAnsi="Times New Roman;serif"/>
                  <w:b w:val="false"/>
                  <w:color w:val="000080"/>
                  <w:sz w:val="20"/>
                  <w:u w:val="single"/>
                </w:rPr>
                <w:t>Current</w:t>
              </w:r>
            </w:hyperlink>
            <w:hyperlink r:id="rId76">
              <w:r>
                <w:rPr>
                  <w:rStyle w:val="InternetLink"/>
                  <w:rFonts w:ascii="Times New Roman;serif" w:hAnsi="Times New Roman;serif"/>
                  <w:b w:val="false"/>
                  <w:color w:val="000080"/>
                  <w:sz w:val="20"/>
                  <w:u w:val="single"/>
                </w:rPr>
                <w:t xml:space="preserve"> Report on Form </w:t>
              </w:r>
            </w:hyperlink>
            <w:hyperlink r:id="rId77">
              <w:r>
                <w:rPr>
                  <w:rStyle w:val="InternetLink"/>
                  <w:rFonts w:ascii="Times New Roman;serif" w:hAnsi="Times New Roman;serif"/>
                  <w:b w:val="false"/>
                  <w:color w:val="000080"/>
                  <w:sz w:val="20"/>
                  <w:u w:val="single"/>
                </w:rPr>
                <w:t>8</w:t>
              </w:r>
            </w:hyperlink>
            <w:hyperlink r:id="rId78">
              <w:r>
                <w:rPr>
                  <w:rStyle w:val="InternetLink"/>
                  <w:rFonts w:ascii="Times New Roman;serif" w:hAnsi="Times New Roman;serif"/>
                  <w:b w:val="false"/>
                  <w:color w:val="000080"/>
                  <w:sz w:val="20"/>
                  <w:u w:val="single"/>
                </w:rPr>
                <w:t>-</w:t>
              </w:r>
            </w:hyperlink>
            <w:hyperlink r:id="rId79">
              <w:r>
                <w:rPr>
                  <w:rStyle w:val="InternetLink"/>
                  <w:rFonts w:ascii="Times New Roman;serif" w:hAnsi="Times New Roman;serif"/>
                  <w:b w:val="false"/>
                  <w:color w:val="000080"/>
                  <w:sz w:val="20"/>
                  <w:u w:val="single"/>
                </w:rPr>
                <w:t>K</w:t>
              </w:r>
            </w:hyperlink>
            <w:hyperlink r:id="rId80">
              <w:r>
                <w:rPr>
                  <w:rStyle w:val="InternetLink"/>
                  <w:rFonts w:ascii="Times New Roman;serif" w:hAnsi="Times New Roman;serif"/>
                  <w:b w:val="false"/>
                  <w:color w:val="000080"/>
                  <w:sz w:val="20"/>
                  <w:u w:val="single"/>
                </w:rPr>
                <w:t xml:space="preserve"> </w:t>
              </w:r>
            </w:hyperlink>
            <w:hyperlink r:id="rId81">
              <w:r>
                <w:rPr>
                  <w:rStyle w:val="InternetLink"/>
                  <w:rFonts w:ascii="Times New Roman;serif" w:hAnsi="Times New Roman;serif"/>
                  <w:b w:val="false"/>
                  <w:color w:val="000080"/>
                  <w:sz w:val="20"/>
                  <w:u w:val="single"/>
                </w:rPr>
                <w:t>filed</w:t>
              </w:r>
            </w:hyperlink>
            <w:hyperlink r:id="rId82">
              <w:r>
                <w:rPr>
                  <w:rStyle w:val="InternetLink"/>
                  <w:rFonts w:ascii="Times New Roman;serif" w:hAnsi="Times New Roman;serif"/>
                  <w:b w:val="false"/>
                  <w:color w:val="000080"/>
                  <w:sz w:val="20"/>
                  <w:u w:val="single"/>
                </w:rPr>
                <w:t xml:space="preserve"> June </w:t>
              </w:r>
            </w:hyperlink>
            <w:hyperlink r:id="rId83">
              <w:r>
                <w:rPr>
                  <w:rStyle w:val="InternetLink"/>
                  <w:rFonts w:ascii="Times New Roman;serif" w:hAnsi="Times New Roman;serif"/>
                  <w:b w:val="false"/>
                  <w:color w:val="000080"/>
                  <w:sz w:val="20"/>
                  <w:u w:val="single"/>
                </w:rPr>
                <w:t>27</w:t>
              </w:r>
            </w:hyperlink>
            <w:hyperlink r:id="rId84">
              <w:r>
                <w:rPr>
                  <w:rStyle w:val="InternetLink"/>
                  <w:rFonts w:ascii="Times New Roman;serif" w:hAnsi="Times New Roman;serif"/>
                  <w:b w:val="false"/>
                  <w:color w:val="000080"/>
                  <w:sz w:val="20"/>
                  <w:u w:val="single"/>
                </w:rPr>
                <w:t>, 202</w:t>
              </w:r>
            </w:hyperlink>
            <w:hyperlink r:id="rId85">
              <w:r>
                <w:rPr>
                  <w:rStyle w:val="InternetLink"/>
                  <w:rFonts w:ascii="Times New Roman;serif" w:hAnsi="Times New Roman;serif"/>
                  <w:b w:val="false"/>
                  <w:color w:val="000080"/>
                  <w:sz w:val="20"/>
                  <w:u w:val="single"/>
                </w:rPr>
                <w:t>5</w:t>
              </w:r>
            </w:hyperlink>
            <w:hyperlink r:id="rId86">
              <w:r>
                <w:rPr>
                  <w:rStyle w:val="InternetLink"/>
                  <w:rFonts w:ascii="Times New Roman;serif" w:hAnsi="Times New Roman;serif"/>
                  <w:b w:val="false"/>
                  <w:color w:val="000080"/>
                  <w:sz w:val="20"/>
                  <w:u w:val="single"/>
                </w:rPr>
                <w:t xml:space="preserve">). </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7">
              <w:r>
                <w:rPr>
                  <w:rStyle w:val="InternetLink"/>
                  <w:rFonts w:ascii="Times New Roman;serif" w:hAnsi="Times New Roman;serif"/>
                  <w:b w:val="false"/>
                  <w:color w:val="0000FF"/>
                  <w:sz w:val="20"/>
                  <w:u w:val="single"/>
                </w:rPr>
                <w:t xml:space="preserve">Offer of Employment Letter, dated June 23, 2025, from the Company to William J. Meury (incorporated by reference to Exhibit 10.2 to the Company’s Current Report on Form 8-K filed June 27, 2025). </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8">
              <w:r>
                <w:rPr>
                  <w:rStyle w:val="InternetLink"/>
                  <w:rFonts w:ascii="Times New Roman;serif" w:hAnsi="Times New Roman;serif"/>
                  <w:b w:val="false"/>
                  <w:color w:val="0000FF"/>
                  <w:sz w:val="20"/>
                  <w:u w:val="single"/>
                </w:rPr>
                <w:t xml:space="preserve">Employment Agreement between the Company and William J. Meury, dated as of June 26, 2025 (incorporated by reference to Exhibit 10.3 to the Company’s Current Report on Form 8-K filed June 27, 2025). </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9">
              <w:r>
                <w:rPr>
                  <w:rStyle w:val="InternetLink"/>
                  <w:rFonts w:ascii="Times New Roman;serif" w:hAnsi="Times New Roman;serif"/>
                  <w:b w:val="false"/>
                  <w:color w:val="000080"/>
                  <w:sz w:val="20"/>
                  <w:u w:val="single"/>
                </w:rPr>
                <w:t>I</w:t>
              </w:r>
            </w:hyperlink>
            <w:hyperlink r:id="rId90">
              <w:r>
                <w:rPr>
                  <w:rStyle w:val="InternetLink"/>
                  <w:rFonts w:ascii="Times New Roman;serif" w:hAnsi="Times New Roman;serif"/>
                  <w:b w:val="false"/>
                  <w:color w:val="000080"/>
                  <w:sz w:val="20"/>
                  <w:u w:val="single"/>
                </w:rPr>
                <w:t>n</w:t>
              </w:r>
            </w:hyperlink>
            <w:hyperlink r:id="rId91">
              <w:r>
                <w:rPr>
                  <w:rStyle w:val="InternetLink"/>
                  <w:rFonts w:ascii="Times New Roman;serif" w:hAnsi="Times New Roman;serif"/>
                  <w:b w:val="false"/>
                  <w:color w:val="000080"/>
                  <w:sz w:val="20"/>
                  <w:u w:val="single"/>
                </w:rPr>
                <w:t>cyte</w:t>
              </w:r>
            </w:hyperlink>
            <w:hyperlink r:id="rId92">
              <w:r>
                <w:rPr>
                  <w:rStyle w:val="InternetLink"/>
                  <w:rFonts w:ascii="Times New Roman;serif" w:hAnsi="Times New Roman;serif"/>
                  <w:b w:val="false"/>
                  <w:color w:val="000080"/>
                  <w:sz w:val="20"/>
                  <w:u w:val="single"/>
                </w:rPr>
                <w:t xml:space="preserve"> Corporation Executive Severance Plan </w:t>
              </w:r>
            </w:hyperlink>
            <w:hyperlink r:id="rId93">
              <w:r>
                <w:rPr>
                  <w:rStyle w:val="InternetLink"/>
                  <w:rFonts w:ascii="Times New Roman;serif" w:hAnsi="Times New Roman;serif"/>
                  <w:b w:val="false"/>
                  <w:color w:val="000080"/>
                  <w:sz w:val="20"/>
                  <w:u w:val="single"/>
                </w:rPr>
                <w:t>(incorporated by reference to Exhibit 10.</w:t>
              </w:r>
            </w:hyperlink>
            <w:hyperlink r:id="rId94">
              <w:r>
                <w:rPr>
                  <w:rStyle w:val="InternetLink"/>
                  <w:rFonts w:ascii="Times New Roman;serif" w:hAnsi="Times New Roman;serif"/>
                  <w:b w:val="false"/>
                  <w:color w:val="000080"/>
                  <w:sz w:val="20"/>
                  <w:u w:val="single"/>
                </w:rPr>
                <w:t>4</w:t>
              </w:r>
            </w:hyperlink>
            <w:hyperlink r:id="rId95">
              <w:r>
                <w:rPr>
                  <w:rStyle w:val="InternetLink"/>
                  <w:rFonts w:ascii="Times New Roman;serif" w:hAnsi="Times New Roman;serif"/>
                  <w:b w:val="false"/>
                  <w:color w:val="000080"/>
                  <w:sz w:val="20"/>
                  <w:u w:val="single"/>
                </w:rPr>
                <w:t xml:space="preserve"> to the Company’s Quarterly Report on Form 10-Q for the quarter ended </w:t>
              </w:r>
            </w:hyperlink>
            <w:hyperlink r:id="rId96">
              <w:r>
                <w:rPr>
                  <w:rStyle w:val="InternetLink"/>
                  <w:rFonts w:ascii="Times New Roman;serif" w:hAnsi="Times New Roman;serif"/>
                  <w:b w:val="false"/>
                  <w:color w:val="000080"/>
                  <w:sz w:val="20"/>
                  <w:u w:val="single"/>
                </w:rPr>
                <w:t>September</w:t>
              </w:r>
            </w:hyperlink>
            <w:hyperlink r:id="rId97">
              <w:r>
                <w:rPr>
                  <w:rStyle w:val="InternetLink"/>
                  <w:rFonts w:ascii="Times New Roman;serif" w:hAnsi="Times New Roman;serif"/>
                  <w:b w:val="false"/>
                  <w:color w:val="000080"/>
                  <w:sz w:val="20"/>
                  <w:u w:val="single"/>
                </w:rPr>
                <w:t xml:space="preserve"> 30, 202</w:t>
              </w:r>
            </w:hyperlink>
            <w:hyperlink r:id="rId98">
              <w:r>
                <w:rPr>
                  <w:rStyle w:val="InternetLink"/>
                  <w:rFonts w:ascii="Times New Roman;serif" w:hAnsi="Times New Roman;serif"/>
                  <w:b w:val="false"/>
                  <w:color w:val="000080"/>
                  <w:sz w:val="20"/>
                  <w:u w:val="single"/>
                </w:rPr>
                <w:t>5</w:t>
              </w:r>
            </w:hyperlink>
            <w:hyperlink r:id="rId99">
              <w:r>
                <w:rPr>
                  <w:rStyle w:val="InternetLink"/>
                  <w:rFonts w:ascii="Times New Roman;serif" w:hAnsi="Times New Roman;serif"/>
                  <w:b w:val="false"/>
                  <w:color w:val="000080"/>
                  <w:sz w:val="20"/>
                  <w:u w:val="single"/>
                </w:rPr>
                <w:t>).</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0">
              <w:r>
                <w:rPr>
                  <w:rStyle w:val="InternetLink"/>
                  <w:rFonts w:ascii="Times New Roman;serif" w:hAnsi="Times New Roman;serif"/>
                  <w:b w:val="false"/>
                  <w:color w:val="0000EE"/>
                  <w:sz w:val="20"/>
                  <w:u w:val="single"/>
                </w:rPr>
                <w:t>Collaboration and License Agreement entered into as of November 24, 2009, by and between the Company and Novartis International Pharmaceutical Ltd. (incorporated by reference to Exhibit 10.1 to the Company’s Quarterly Report on Form 10-Q for the quarter ended September 30, 2019).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1">
              <w:r>
                <w:rPr>
                  <w:rStyle w:val="InternetLink"/>
                  <w:rFonts w:ascii="Times New Roman;serif" w:hAnsi="Times New Roman;serif"/>
                  <w:b w:val="false"/>
                  <w:color w:val="0000EE"/>
                  <w:sz w:val="20"/>
                  <w:u w:val="single"/>
                </w:rPr>
                <w:t>Amendment, dated as of April 5, 2016, to Collaboration and License Agreement entered into as of November 24, 2009, by and between the Company and Novartis International Pharmaceutical Ltd. (incorporated by reference to Exhibit 10.1.1 to the Company’s Quarterly Report on Form 10-Q for the quarter ended September 30, 2019).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2">
              <w:r>
                <w:rPr>
                  <w:rStyle w:val="InternetLink"/>
                  <w:rFonts w:ascii="Times New Roman;serif" w:hAnsi="Times New Roman;serif"/>
                  <w:b w:val="false"/>
                  <w:color w:val="0000EE"/>
                  <w:sz w:val="20"/>
                  <w:u w:val="single"/>
                </w:rPr>
                <w:t>Amendment, dated as of March 20, 2020, to the Collaboration and License Agreement entered into as of November 24, 2009, by and between the Company and Novartis International Pharmaceutical Ltd. (incorporated by reference to Exhibit 10.2 to the Company’s Quarterly Report on Form 10-Q for the quarter ended March 31, 2020).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erif" w:hAnsi="Times New Roman;serif"/>
                  <w:b w:val="false"/>
                  <w:color w:val="0000FF"/>
                  <w:sz w:val="20"/>
                  <w:u w:val="single"/>
                </w:rPr>
                <w:t>Extension, dated as of March 12, 2025, to the Amendment, dated as of March 20, 2020, to the Collaboration and License Agreement entered into as of November 24, 2009, by and between the Company and Novartis International Pharmaceutical Ltd. (incorporated by reference to Exhibit 10.1 to the Company’s Quarterly Report on Form 10-Q for the quarter ended March 31, 2025).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4">
              <w:r>
                <w:rPr>
                  <w:rStyle w:val="InternetLink"/>
                  <w:rFonts w:ascii="Times New Roman;serif" w:hAnsi="Times New Roman;serif"/>
                  <w:b w:val="false"/>
                  <w:color w:val="0000EE"/>
                  <w:sz w:val="20"/>
                  <w:u w:val="single"/>
                </w:rPr>
                <w:t>License, Development and Commercialization Agreement, entered into as of December 18, 2009, by and between the Company and Eli Lilly and Company (incorporated by reference to Exhibit 10.2 to the Company’s Quarterly Report on Form 10-Q for the quarter ended September 30, 2019).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5">
              <w:r>
                <w:rPr>
                  <w:rStyle w:val="InternetLink"/>
                  <w:rFonts w:ascii="Times New Roman;serif" w:hAnsi="Times New Roman;serif"/>
                  <w:b w:val="false"/>
                  <w:color w:val="0000EE"/>
                  <w:sz w:val="20"/>
                  <w:u w:val="single"/>
                </w:rPr>
                <w:t>Amendment, dated June 22, 2010, to License, Development and Commercialization Agreement entered into as of December 18, 2009, by and between the Company and Eli Lilly and Company (incorporated by reference to Exhibit 10.2.1 to the Company’s Quarterly Report on Form 10-Q for the quarter ended September 30, 2019).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6">
              <w:r>
                <w:rPr>
                  <w:rStyle w:val="InternetLink"/>
                  <w:rFonts w:ascii="Times New Roman;serif" w:hAnsi="Times New Roman;serif"/>
                  <w:b w:val="false"/>
                  <w:color w:val="0000EE"/>
                  <w:sz w:val="20"/>
                  <w:u w:val="single"/>
                </w:rPr>
                <w:t>Third Amendment, entered into effective March 31, 2016, to License, Development and Commercialization Agreement entered into as of December 18, 2009, by and between the Company and Eli Lilly and Company (incorporated by reference to Exhibit 10.2.2 to the Company’s Quarterly Report on Form 10-Q for the quarter ended September 30, 2019).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7">
              <w:r>
                <w:rPr>
                  <w:rStyle w:val="InternetLink"/>
                  <w:rFonts w:ascii="Times New Roman;serif" w:hAnsi="Times New Roman;serif"/>
                  <w:b w:val="false"/>
                  <w:color w:val="0000EE"/>
                  <w:sz w:val="20"/>
                  <w:u w:val="single"/>
                </w:rPr>
                <w:t>Fourth Amendment, entered into effective December 13, 2016, to License, Development and Commercialization Agreement entered into as of December 18, 2009, by and between the Company and Eli Lilly and Company (incorporated by reference to Exhibit 10.21.4 to Amendment No. 2 on Form 10-K/A to the Company’s Annual Report on Form 10-K for the year ended December 31, 2016).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76" w:before="0" w:after="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85"/>
        <w:gridCol w:w="252"/>
        <w:gridCol w:w="255"/>
        <w:gridCol w:w="109"/>
        <w:gridCol w:w="109"/>
        <w:gridCol w:w="109"/>
        <w:gridCol w:w="2708"/>
        <w:gridCol w:w="2708"/>
        <w:gridCol w:w="3670"/>
      </w:tblGrid>
      <w:tr>
        <w:trPr/>
        <w:tc>
          <w:tcPr>
            <w:tcW w:w="2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8">
              <w:r>
                <w:rPr>
                  <w:rStyle w:val="InternetLink"/>
                  <w:rFonts w:ascii="Times New Roman;serif" w:hAnsi="Times New Roman;serif"/>
                  <w:b w:val="false"/>
                  <w:color w:val="0000EE"/>
                  <w:sz w:val="20"/>
                  <w:u w:val="single"/>
                </w:rPr>
                <w:t>Letter Agreement, dated May 13, 2020, between the Company and Eli Lilly and Company, together with related Letter of Understanding, dated March 5, 2020, between the Company and Eli Lilly and Company, each relating to License, Development and Commercialization Agreement entered into as of December 18, 2009 by and between the Company and Eli Lilly and Company (incorporated by reference to Exhibit 10.1 to the Company’s Quarterly Report on Form 10-Q for the quarter ended June 30, 2020).</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245-lilly2025loux.htm">
              <w:r>
                <w:rPr>
                  <w:rStyle w:val="InternetLink"/>
                  <w:rFonts w:ascii="Times New Roman;serif" w:hAnsi="Times New Roman;serif"/>
                  <w:b w:val="false"/>
                  <w:color w:val="0000FF"/>
                  <w:sz w:val="20"/>
                  <w:u w:val="single"/>
                </w:rPr>
                <w:t xml:space="preserve">Letter of Understanding, dated October 24, 2025, between the Company and Eli Lilly and Company, relating to the License, Development and Commercialization Agreement entered into as of December 18, 2009 by and between the Company and Eli Lilly and Company. </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25-bbxrrafeb2026.htm">
              <w:r>
                <w:rPr>
                  <w:rStyle w:val="InternetLink"/>
                  <w:rFonts w:ascii="Times New Roman;serif" w:hAnsi="Times New Roman;serif"/>
                  <w:b w:val="false"/>
                  <w:color w:val="000080"/>
                  <w:sz w:val="20"/>
                  <w:u w:val="single"/>
                </w:rPr>
                <w:t xml:space="preserve">Registration Rights Agreement, dated as of February </w:t>
              </w:r>
            </w:hyperlink>
            <w:hyperlink w:anchor="exhibit1025-bbxrrafeb2026.htm">
              <w:r>
                <w:rPr>
                  <w:rStyle w:val="InternetLink"/>
                  <w:rFonts w:ascii="Times New Roman;serif" w:hAnsi="Times New Roman;serif"/>
                  <w:b w:val="false"/>
                  <w:color w:val="000080"/>
                  <w:sz w:val="20"/>
                  <w:u w:val="single"/>
                </w:rPr>
                <w:t>6</w:t>
              </w:r>
            </w:hyperlink>
            <w:hyperlink w:anchor="exhibit1025-bbxrrafeb2026.htm">
              <w:r>
                <w:rPr>
                  <w:rStyle w:val="InternetLink"/>
                  <w:rFonts w:ascii="Times New Roman;serif" w:hAnsi="Times New Roman;serif"/>
                  <w:b w:val="false"/>
                  <w:color w:val="000080"/>
                  <w:sz w:val="20"/>
                  <w:u w:val="single"/>
                </w:rPr>
                <w:t>, 20</w:t>
              </w:r>
            </w:hyperlink>
            <w:hyperlink w:anchor="exhibit1025-bbxrrafeb2026.htm">
              <w:r>
                <w:rPr>
                  <w:rStyle w:val="InternetLink"/>
                  <w:rFonts w:ascii="Times New Roman;serif" w:hAnsi="Times New Roman;serif"/>
                  <w:b w:val="false"/>
                  <w:color w:val="000080"/>
                  <w:sz w:val="20"/>
                  <w:u w:val="single"/>
                </w:rPr>
                <w:t>2</w:t>
              </w:r>
            </w:hyperlink>
            <w:hyperlink w:anchor="exhibit1025-bbxrrafeb2026.htm">
              <w:r>
                <w:rPr>
                  <w:rStyle w:val="InternetLink"/>
                  <w:rFonts w:ascii="Times New Roman;serif" w:hAnsi="Times New Roman;serif"/>
                  <w:b w:val="false"/>
                  <w:color w:val="000080"/>
                  <w:sz w:val="20"/>
                  <w:u w:val="single"/>
                </w:rPr>
                <w:t>6, between the Company and 667, L.P.</w:t>
              </w:r>
            </w:hyperlink>
            <w:hyperlink w:anchor="exhibit1025-bbxrrafeb2026.htm">
              <w:r>
                <w:rPr>
                  <w:rStyle w:val="InternetLink"/>
                  <w:rFonts w:ascii="Times New Roman;serif" w:hAnsi="Times New Roman;serif"/>
                  <w:b w:val="false"/>
                  <w:color w:val="000080"/>
                  <w:sz w:val="20"/>
                  <w:u w:val="single"/>
                </w:rPr>
                <w:t xml:space="preserve"> and</w:t>
              </w:r>
            </w:hyperlink>
            <w:hyperlink w:anchor="exhibit1025-bbxrrafeb2026.htm">
              <w:r>
                <w:rPr>
                  <w:rStyle w:val="InternetLink"/>
                  <w:rFonts w:ascii="Times New Roman;serif" w:hAnsi="Times New Roman;serif"/>
                  <w:b w:val="false"/>
                  <w:color w:val="000080"/>
                  <w:sz w:val="20"/>
                  <w:u w:val="single"/>
                </w:rPr>
                <w:t xml:space="preserve"> Baker Brothers Life Sciences, L.P.</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9">
              <w:r>
                <w:rPr>
                  <w:rStyle w:val="InternetLink"/>
                  <w:rFonts w:ascii="Times New Roman;serif" w:hAnsi="Times New Roman;serif"/>
                  <w:b w:val="false"/>
                  <w:color w:val="0000EE"/>
                  <w:sz w:val="20"/>
                  <w:u w:val="single"/>
                </w:rPr>
                <w:t>Revolving Credit and Guaranty Agreement, dated as of August 18, 2021, among the Company, the guarantors party thereto, the lenders party thereto, and JPMorgan Chase Bank, N.A., as Administrative Agent (incorporated by reference to Exhibit 10.1 to the Company’s Quarterly Report on Form 10-Q for the quarter ended September 30, 2021).</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0">
              <w:r>
                <w:rPr>
                  <w:rStyle w:val="InternetLink"/>
                  <w:rFonts w:ascii="Times New Roman;serif" w:hAnsi="Times New Roman;serif"/>
                  <w:b w:val="false"/>
                  <w:color w:val="0000FF"/>
                  <w:sz w:val="20"/>
                  <w:u w:val="single"/>
                </w:rPr>
                <w:t>Amendment No. 1, dated as of May 10, 2023, to Revolving Credit and Guaranty Agreement dated as of August 18, 2021, among the Company, the guarantors party thereto, the lenders party thereto, and JPMorgan Chase Bank, N.A., as Administrative Agent. (incorporated by reference to Exhibit 10.3 to the Company’s Quarterly Report on Form 10-Q for the quarter ended June 30, 2023).</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1">
              <w:r>
                <w:rPr>
                  <w:rStyle w:val="InternetLink"/>
                  <w:rFonts w:ascii="Times New Roman;serif" w:hAnsi="Times New Roman;serif"/>
                  <w:b w:val="false"/>
                  <w:color w:val="0000FF"/>
                  <w:sz w:val="20"/>
                  <w:u w:val="single"/>
                </w:rPr>
                <w:t>Amendment No. 2, dated as of June 28, 2024, to Revolving Credit and Guaranty Agreement dated as of August 18, 2021, among the Company, the guarantors party thereto, the lenders party thereto, and JPMorgan Chase Bank, N.A., as Administrative Agent (incorporated by reference to Exhibit 10.1 to the Company’s Quarterly Report on Form 10-Q for the quarter ended June 30, 2024).</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2">
              <w:r>
                <w:rPr>
                  <w:rStyle w:val="InternetLink"/>
                  <w:rFonts w:ascii="Times New Roman;serif" w:hAnsi="Times New Roman;serif"/>
                  <w:b w:val="false"/>
                  <w:color w:val="0000FF"/>
                  <w:sz w:val="20"/>
                  <w:u w:val="single"/>
                </w:rPr>
                <w:t>Policy on insider trading (incorporated by reference to Exhibit 19.1 to the Company’s Annual Report on Form 10-K for the year ended December 31, 2024).</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11-12312025.htm">
              <w:r>
                <w:rPr>
                  <w:rStyle w:val="InternetLink"/>
                  <w:rFonts w:ascii="Times New Roman;serif" w:hAnsi="Times New Roman;serif"/>
                  <w:b w:val="false"/>
                  <w:color w:val="0000FF"/>
                  <w:sz w:val="20"/>
                  <w:u w:val="single"/>
                </w:rPr>
                <w:t>Subsidiaries of the Company.</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31-12312025.htm">
              <w:r>
                <w:rPr>
                  <w:rStyle w:val="InternetLink"/>
                  <w:rFonts w:ascii="Times New Roman;serif" w:hAnsi="Times New Roman;serif"/>
                  <w:b w:val="false"/>
                  <w:color w:val="0000EE"/>
                  <w:sz w:val="20"/>
                  <w:u w:val="single"/>
                </w:rPr>
                <w:t>Consent of Ernst &amp; Young LLP, Independent Registered Public Accounting Firm.</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the signature page to this Annual Report on Form 10-K).</w:t>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12312025.htm">
              <w:r>
                <w:rPr>
                  <w:rStyle w:val="InternetLink"/>
                  <w:rFonts w:ascii="Times New Roman;serif" w:hAnsi="Times New Roman;serif"/>
                  <w:b w:val="false"/>
                  <w:color w:val="0000EE"/>
                  <w:sz w:val="20"/>
                  <w:u w:val="single"/>
                </w:rPr>
                <w:t>Rule 13a 14(a) Certification of the Chief Executive Officer.</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12312025.htm">
              <w:r>
                <w:rPr>
                  <w:rStyle w:val="InternetLink"/>
                  <w:rFonts w:ascii="Times New Roman;serif" w:hAnsi="Times New Roman;serif"/>
                  <w:b w:val="false"/>
                  <w:color w:val="000080"/>
                  <w:sz w:val="20"/>
                  <w:u w:val="single"/>
                </w:rPr>
                <w:t xml:space="preserve">Rule 13a 14(a) Certification of the </w:t>
              </w:r>
            </w:hyperlink>
            <w:hyperlink w:anchor="exhibit312-12312025.htm">
              <w:r>
                <w:rPr>
                  <w:rStyle w:val="InternetLink"/>
                  <w:rFonts w:ascii="Times New Roman;serif" w:hAnsi="Times New Roman;serif"/>
                  <w:b w:val="false"/>
                  <w:color w:val="000080"/>
                  <w:sz w:val="20"/>
                  <w:u w:val="single"/>
                </w:rPr>
                <w:t>Principal</w:t>
              </w:r>
            </w:hyperlink>
            <w:hyperlink w:anchor="exhibit312-12312025.htm">
              <w:r>
                <w:rPr>
                  <w:rStyle w:val="InternetLink"/>
                  <w:rFonts w:ascii="Times New Roman;serif" w:hAnsi="Times New Roman;serif"/>
                  <w:b w:val="false"/>
                  <w:color w:val="000080"/>
                  <w:sz w:val="20"/>
                  <w:u w:val="single"/>
                </w:rPr>
                <w:t xml:space="preserve"> Financial Officer.</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12312025.htm">
              <w:r>
                <w:rPr>
                  <w:rStyle w:val="InternetLink"/>
                  <w:rFonts w:ascii="Times New Roman;serif" w:hAnsi="Times New Roman;serif"/>
                  <w:b w:val="false"/>
                  <w:color w:val="0000EE"/>
                  <w:sz w:val="20"/>
                  <w:u w:val="single"/>
                </w:rPr>
                <w:t>Statement of the Chief Executive Officer under Section 906 of the Sarbanes Oxley Act of 2002 (18 U.S.C Section 1350).</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2-12312025.htm">
              <w:r>
                <w:rPr>
                  <w:rStyle w:val="InternetLink"/>
                  <w:rFonts w:ascii="Times New Roman;serif" w:hAnsi="Times New Roman;serif"/>
                  <w:b w:val="false"/>
                  <w:color w:val="000080"/>
                  <w:sz w:val="20"/>
                  <w:u w:val="single"/>
                </w:rPr>
                <w:t xml:space="preserve">Statement of the </w:t>
              </w:r>
            </w:hyperlink>
            <w:hyperlink w:anchor="exhibit322-12312025.htm">
              <w:r>
                <w:rPr>
                  <w:rStyle w:val="InternetLink"/>
                  <w:rFonts w:ascii="Times New Roman;serif" w:hAnsi="Times New Roman;serif"/>
                  <w:b w:val="false"/>
                  <w:color w:val="000080"/>
                  <w:sz w:val="20"/>
                  <w:u w:val="single"/>
                </w:rPr>
                <w:t>Principal</w:t>
              </w:r>
            </w:hyperlink>
            <w:hyperlink w:anchor="exhibit322-12312025.htm">
              <w:r>
                <w:rPr>
                  <w:rStyle w:val="InternetLink"/>
                  <w:rFonts w:ascii="Times New Roman;serif" w:hAnsi="Times New Roman;serif"/>
                  <w:b w:val="false"/>
                  <w:color w:val="000080"/>
                  <w:sz w:val="20"/>
                  <w:u w:val="single"/>
                </w:rPr>
                <w:t xml:space="preserve"> Financial Officer under Section 906 of the Sarbanes Oxley Act of 2002 (18 U.S.C Section 1350).</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3">
              <w:r>
                <w:rPr>
                  <w:rStyle w:val="InternetLink"/>
                  <w:rFonts w:ascii="Times New Roman;serif" w:hAnsi="Times New Roman;serif"/>
                  <w:b w:val="false"/>
                  <w:color w:val="0000EE"/>
                  <w:sz w:val="20"/>
                  <w:u w:val="single"/>
                </w:rPr>
                <w:t>Incyte Corporation Policy for Recoupment of Erroneously Awarded Compensation (incorporated by reference to Exhibit 97.1 to the Company’s Amended Annual Report on Form 10-K/A for the year ended December 31, 2023 filed February 16, 2024).</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 the instance document does not appear in the Interactive Data File because its XBRL tags are embedded within the Inline XBRL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Definition Linkbase Document</w:t>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76" w:before="0" w:after="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5"/>
        <w:gridCol w:w="110"/>
        <w:gridCol w:w="110"/>
        <w:gridCol w:w="2969"/>
        <w:gridCol w:w="2907"/>
        <w:gridCol w:w="398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398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Confidential treatment has been granted with respect to certain portions of these agreements.</w:t>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Portions of this exhibit have been omitted pursuant to Item 601(b)(10)(iv) of Regulation S-K.</w:t>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or arrangement.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Copies of above exhibits not contained herein are available to any stockholder upon written request to: Investor Relations, Incyte Corporation, 1801 Augustine Cut-Off, Wilmington, DE 19803.</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(c)    Financial Statements and Schedules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 is made to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16. </w:t>
      </w:r>
      <w:r>
        <w:rPr>
          <w:rFonts w:ascii="Times New Roman;serif" w:hAnsi="Times New Roman;serif"/>
          <w:b/>
          <w:i/>
          <w:color w:val="000000"/>
          <w:sz w:val="20"/>
        </w:rPr>
        <w:t>Form 10-K Summary.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8391" w:type="dxa"/>
        <w:jc w:val="left"/>
        <w:tblInd w:w="0" w:type="dxa"/>
        <w:tblLayout w:type="fixed"/>
        <w:tblCellMar>
          <w:top w:w="28" w:type="dxa"/>
          <w:left w:w="28" w:type="dxa"/>
          <w:bottom w:w="28" w:type="dxa"/>
          <w:right w:w="28" w:type="dxa"/>
        </w:tblCellMar>
      </w:tblPr>
      <w:tblGrid>
        <w:gridCol w:w="792"/>
        <w:gridCol w:w="696"/>
        <w:gridCol w:w="702"/>
        <w:gridCol w:w="352"/>
        <w:gridCol w:w="352"/>
        <w:gridCol w:w="352"/>
        <w:gridCol w:w="1502"/>
        <w:gridCol w:w="1502"/>
        <w:gridCol w:w="2141"/>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INCYTE CORPORATION</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February 10, 2026</w:t>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MEURY</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Meury</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February 10, 2026</w:t>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TRAY</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Thomas Tray</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76" w:before="432" w:after="600"/>
        <w:jc w:val="left"/>
        <w:rPr/>
      </w:pPr>
      <w:hyperlink w:anchor="id3ab262c4cbb44b5a5597cb827b9b97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William Meury, Thomas Tray, and Richard Hoffman, and each of them, his or her true and lawful attorneys-in-fact, each with full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10"/>
        <w:gridCol w:w="621"/>
        <w:gridCol w:w="604"/>
        <w:gridCol w:w="109"/>
        <w:gridCol w:w="109"/>
        <w:gridCol w:w="109"/>
        <w:gridCol w:w="2068"/>
        <w:gridCol w:w="2022"/>
        <w:gridCol w:w="2048"/>
        <w:gridCol w:w="109"/>
        <w:gridCol w:w="109"/>
        <w:gridCol w:w="109"/>
        <w:gridCol w:w="401"/>
        <w:gridCol w:w="401"/>
        <w:gridCol w:w="576"/>
      </w:tblGrid>
      <w:tr>
        <w:trPr/>
        <w:tc>
          <w:tcPr>
            <w:tcW w:w="8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WILLIAM J. MEURY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J. Meury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THOMAS TRAY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Thomas Tray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JULIAN C. BAKER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Julian C. Baker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JEAN-JACQUES BIENAIMÉ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Jean-Jacques Bienaimé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OTIS W. BRAWLEY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Otis W. Brawley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PAUL J. CLANCY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Paul J. Clancy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JACQUALYN A. FOUSE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Jacqualyn A. Fouse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EDMUND P. HARRIGAN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Edmund P. Harrigan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KATHERINE A. 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Katherine A. 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16"/>
              </w:rPr>
              <w:t>SUSANNE SCHAFFERT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10, 2026</w:t>
            </w:r>
          </w:p>
        </w:tc>
      </w:tr>
      <w:tr>
        <w:trPr/>
        <w:tc>
          <w:tcPr>
            <w:tcW w:w="2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Susanne Schaffert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79" w:after="283"/>
        <w:jc w:val="left"/>
        <w:rPr>
          <w:color w:val="000000"/>
        </w:rPr>
      </w:pPr>
      <w:r>
        <w:rPr>
          <w:color w:val="000000"/>
        </w:rPr>
        <w:t>    </w:t>
      </w:r>
      <w:r>
        <w:rPr>
          <w:rFonts w:ascii="sans-serif" w:hAnsi="sans-serif"/>
          <w:b/>
          <w:color w:val="000000"/>
          <w:sz w:val="20"/>
        </w:rPr>
        <w:t>Exhibit 10.24.5</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179" w:after="283"/>
        <w:jc w:val="left"/>
        <w:rPr>
          <w:rFonts w:ascii="sans-serif" w:hAnsi="sans-serif"/>
          <w:b w:val="false"/>
          <w:color w:val="000000"/>
          <w:sz w:val="20"/>
        </w:rPr>
      </w:pPr>
      <w:r>
        <w:rPr>
          <w:rFonts w:ascii="sans-serif" w:hAnsi="sans-serif"/>
          <w:b w:val="false"/>
          <w:color w:val="000000"/>
          <w:sz w:val="20"/>
        </w:rPr>
        <w:t>Certain identified information, marked by [***], has been excluded from the exhibit because it is both (i) not material and (ii) is the type of information that the Company treats as private or confidential.</w:t>
      </w:r>
    </w:p>
    <w:p>
      <w:pPr>
        <w:pStyle w:val="TextBody"/>
        <w:bidi w:val="0"/>
        <w:spacing w:before="179" w:after="240"/>
        <w:jc w:val="left"/>
        <w:rPr/>
      </w:pPr>
      <w:r>
        <w:rPr/>
        <w:drawing>
          <wp:inline distT="0" distB="0" distL="0" distR="0">
            <wp:extent cx="1485900" cy="1009650"/>
            <wp:effectExtent l="0" t="0" r="0" b="0"/>
            <wp:docPr id="1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 descr=""/>
                    <pic:cNvPicPr>
                      <a:picLocks noChangeAspect="1" noChangeArrowheads="1"/>
                    </pic:cNvPicPr>
                  </pic:nvPicPr>
                  <pic:blipFill>
                    <a:blip r:embed="rId114"/>
                    <a:stretch>
                      <a:fillRect/>
                    </a:stretch>
                  </pic:blipFill>
                  <pic:spPr bwMode="auto">
                    <a:xfrm>
                      <a:off x="0" y="0"/>
                      <a:ext cx="1485900" cy="1009650"/>
                    </a:xfrm>
                    <a:prstGeom prst="rect">
                      <a:avLst/>
                    </a:prstGeom>
                  </pic:spPr>
                </pic:pic>
              </a:graphicData>
            </a:graphic>
          </wp:inline>
        </w:drawing>
      </w:r>
    </w:p>
    <w:p>
      <w:pPr>
        <w:pStyle w:val="TextBody"/>
        <w:bidi w:val="0"/>
        <w:spacing w:before="179" w:after="283"/>
        <w:jc w:val="left"/>
        <w:rPr/>
      </w:pPr>
      <w:r>
        <w:rPr/>
      </w:r>
    </w:p>
    <w:p>
      <w:pPr>
        <w:pStyle w:val="TextBody"/>
        <w:bidi w:val="0"/>
        <w:spacing w:before="179" w:after="283"/>
        <w:jc w:val="left"/>
        <w:rPr/>
      </w:pPr>
      <w:r>
        <w:rPr/>
      </w:r>
    </w:p>
    <w:p>
      <w:pPr>
        <w:pStyle w:val="TextBody"/>
        <w:bidi w:val="0"/>
        <w:spacing w:lineRule="auto" w:line="288" w:before="0" w:after="0"/>
        <w:jc w:val="left"/>
        <w:rPr/>
      </w:pPr>
      <w:r>
        <w:rPr>
          <w:color w:val="000000"/>
        </w:rPr>
        <w:t xml:space="preserve">     </w:t>
      </w:r>
      <w:r>
        <w:rPr>
          <w:rFonts w:ascii="Arial;sans-serif" w:hAnsi="Arial;sans-serif"/>
          <w:b/>
          <w:color w:val="0000C2"/>
          <w:sz w:val="16"/>
        </w:rPr>
        <w:t>Incyte Corporation</w:t>
      </w:r>
    </w:p>
    <w:p>
      <w:pPr>
        <w:pStyle w:val="TextBody"/>
        <w:bidi w:val="0"/>
        <w:spacing w:lineRule="auto" w:line="288" w:before="1" w:after="283"/>
        <w:jc w:val="left"/>
        <w:rPr>
          <w:color w:val="0000C2"/>
        </w:rPr>
      </w:pPr>
      <w:r>
        <w:rPr>
          <w:color w:val="0000C2"/>
        </w:rPr>
        <w:t>    </w:t>
      </w:r>
      <w:r>
        <w:rPr>
          <w:rFonts w:ascii="Arial;sans-serif" w:hAnsi="Arial;sans-serif"/>
          <w:b w:val="false"/>
          <w:color w:val="0000C2"/>
          <w:sz w:val="16"/>
        </w:rPr>
        <w:t>1801 Augustine Cut-Off</w:t>
      </w:r>
    </w:p>
    <w:p>
      <w:pPr>
        <w:pStyle w:val="TextBody"/>
        <w:bidi w:val="0"/>
        <w:spacing w:lineRule="atLeast" w:line="183" w:before="1" w:after="283"/>
        <w:jc w:val="left"/>
        <w:rPr>
          <w:color w:val="0000C2"/>
        </w:rPr>
      </w:pPr>
      <w:r>
        <w:rPr>
          <w:color w:val="0000C2"/>
        </w:rPr>
        <w:t>    </w:t>
      </w:r>
      <w:r>
        <w:rPr>
          <w:rFonts w:ascii="Arial;sans-serif" w:hAnsi="Arial;sans-serif"/>
          <w:b w:val="false"/>
          <w:color w:val="0000C2"/>
          <w:sz w:val="16"/>
        </w:rPr>
        <w:t>Wilmington, DE 19803</w:t>
      </w:r>
    </w:p>
    <w:p>
      <w:pPr>
        <w:pStyle w:val="TextBody"/>
        <w:bidi w:val="0"/>
        <w:spacing w:lineRule="atLeast" w:line="183" w:before="0" w:after="0"/>
        <w:jc w:val="left"/>
        <w:rPr>
          <w:color w:val="0000C2"/>
        </w:rPr>
      </w:pPr>
      <w:r>
        <w:rPr>
          <w:color w:val="0000C2"/>
        </w:rPr>
        <w:t>    </w:t>
      </w:r>
      <w:r>
        <w:rPr>
          <w:rFonts w:ascii="Arial;sans-serif" w:hAnsi="Arial;sans-serif"/>
          <w:b w:val="false"/>
          <w:color w:val="0000C2"/>
          <w:sz w:val="16"/>
        </w:rPr>
        <w:t>Tel 302.498.6700</w:t>
      </w:r>
    </w:p>
    <w:p>
      <w:pPr>
        <w:pStyle w:val="TextBody"/>
        <w:bidi w:val="0"/>
        <w:spacing w:lineRule="atLeast" w:line="183" w:before="0" w:after="0"/>
        <w:jc w:val="left"/>
        <w:rPr/>
      </w:pPr>
      <w:r>
        <w:rPr>
          <w:color w:val="0000C2"/>
        </w:rPr>
        <w:t>    </w:t>
      </w:r>
      <w:r>
        <w:rPr>
          <w:rFonts w:ascii="Arial;sans-serif" w:hAnsi="Arial;sans-serif"/>
          <w:b w:val="false"/>
          <w:color w:val="0000C2"/>
          <w:sz w:val="16"/>
        </w:rPr>
        <w:t xml:space="preserve">Web </w:t>
      </w:r>
      <w:r>
        <w:rPr>
          <w:rFonts w:ascii="Arial;sans-serif" w:hAnsi="Arial;sans-serif"/>
          <w:b w:val="false"/>
          <w:color w:val="0000C9"/>
          <w:sz w:val="16"/>
        </w:rPr>
        <w:t>www.incyte.com</w:t>
      </w:r>
    </w:p>
    <w:p>
      <w:pPr>
        <w:pStyle w:val="TextBody"/>
        <w:bidi w:val="0"/>
        <w:spacing w:before="0" w:after="0"/>
        <w:jc w:val="left"/>
        <w:rPr/>
      </w:pPr>
      <w:r>
        <w:rPr/>
      </w:r>
    </w:p>
    <w:p>
      <w:pPr>
        <w:pStyle w:val="TextBody"/>
        <w:bidi w:val="0"/>
        <w:spacing w:lineRule="auto" w:line="684" w:before="0" w:after="0"/>
        <w:jc w:val="left"/>
        <w:rPr>
          <w:rFonts w:ascii="sans-serif" w:hAnsi="sans-serif"/>
          <w:b w:val="false"/>
          <w:color w:val="000000"/>
          <w:sz w:val="24"/>
        </w:rPr>
      </w:pPr>
      <w:r>
        <w:rPr>
          <w:rFonts w:ascii="sans-serif" w:hAnsi="sans-serif"/>
          <w:b w:val="false"/>
          <w:color w:val="000000"/>
          <w:sz w:val="24"/>
        </w:rPr>
        <w:t>October 24, 2025</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Jeremy Huckstep</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Eli Lilly and Company</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Lilly Corporate Center</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Indianapolis, IN 46285</w:t>
      </w:r>
    </w:p>
    <w:p>
      <w:pPr>
        <w:pStyle w:val="TextBody"/>
        <w:bidi w:val="0"/>
        <w:spacing w:lineRule="auto" w:line="288" w:before="0" w:after="0"/>
        <w:jc w:val="both"/>
        <w:rPr/>
      </w:pPr>
      <w:r>
        <w:rPr>
          <w:rFonts w:ascii="sans-serif" w:hAnsi="sans-serif"/>
          <w:b w:val="false"/>
          <w:color w:val="000000"/>
          <w:sz w:val="24"/>
        </w:rPr>
        <w:t>RE: Letter of Understanding concerning addition of Type 1 Diabetes Mellitus indication as a Field, revision of royalty rate, upfront and quarterly payments, and Market and Sales Support minimum removal (this “</w:t>
      </w:r>
      <w:r>
        <w:rPr>
          <w:rFonts w:ascii="sans-serif" w:hAnsi="sans-serif"/>
          <w:b w:val="false"/>
          <w:color w:val="000000"/>
          <w:sz w:val="24"/>
          <w:u w:val="single"/>
        </w:rPr>
        <w:t>Letter of Understanding</w:t>
      </w:r>
      <w:r>
        <w:rPr>
          <w:color w:val="000000"/>
        </w:rPr>
        <w:t>”</w:t>
      </w:r>
      <w:r>
        <w:rPr>
          <w:rFonts w:ascii="sans-serif" w:hAnsi="sans-serif"/>
          <w:b w:val="false"/>
          <w:color w:val="000000"/>
          <w:sz w:val="24"/>
        </w:rPr>
        <w:t>)</w:t>
      </w:r>
    </w:p>
    <w:p>
      <w:pPr>
        <w:pStyle w:val="TextBody"/>
        <w:bidi w:val="0"/>
        <w:spacing w:lineRule="auto" w:line="288" w:before="292" w:after="283"/>
        <w:jc w:val="both"/>
        <w:rPr>
          <w:rFonts w:ascii="sans-serif" w:hAnsi="sans-serif"/>
          <w:b w:val="false"/>
          <w:color w:val="000000"/>
          <w:sz w:val="24"/>
        </w:rPr>
      </w:pPr>
      <w:r>
        <w:rPr>
          <w:rFonts w:ascii="sans-serif" w:hAnsi="sans-serif"/>
          <w:b w:val="false"/>
          <w:color w:val="000000"/>
          <w:sz w:val="24"/>
        </w:rPr>
        <w:t>Dear Jeremy:</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4"/>
        </w:rPr>
        <w:t>Unless otherwise defined herein, all capitalized terms appearing in this Letter of Understanding shall have the meanings set forth in the License, Development and Commercialization Agreement by and between Incyte Corporation (“</w:t>
      </w:r>
      <w:r>
        <w:rPr>
          <w:rFonts w:ascii="sans-serif" w:hAnsi="sans-serif"/>
          <w:b w:val="false"/>
          <w:color w:val="000000"/>
          <w:sz w:val="24"/>
          <w:u w:val="single"/>
        </w:rPr>
        <w:t>Incyte</w:t>
      </w:r>
      <w:r>
        <w:rPr>
          <w:color w:val="000000"/>
        </w:rPr>
        <w:t>”</w:t>
      </w:r>
      <w:r>
        <w:rPr>
          <w:rFonts w:ascii="sans-serif" w:hAnsi="sans-serif"/>
          <w:b w:val="false"/>
          <w:color w:val="000000"/>
          <w:sz w:val="24"/>
        </w:rPr>
        <w:t>) and Eli Lilly and Company (“</w:t>
      </w:r>
      <w:r>
        <w:rPr>
          <w:rFonts w:ascii="sans-serif" w:hAnsi="sans-serif"/>
          <w:b w:val="false"/>
          <w:color w:val="000000"/>
          <w:sz w:val="24"/>
          <w:u w:val="single"/>
        </w:rPr>
        <w:t>Lilly</w:t>
      </w:r>
      <w:r>
        <w:rPr>
          <w:color w:val="000000"/>
        </w:rPr>
        <w:t>”</w:t>
      </w:r>
      <w:r>
        <w:rPr>
          <w:rFonts w:ascii="sans-serif" w:hAnsi="sans-serif"/>
          <w:b w:val="false"/>
          <w:color w:val="000000"/>
          <w:sz w:val="24"/>
        </w:rPr>
        <w:t>) effective December 18, 2009, as amended June 22, 2010, August 1, 2011, March 31, 2016 and December 13, 2016 and subject to the Letters of Understanding dated August 6, 2015, March 5, 2020, May 13, 2020, June 23, 2020 and May 7, 2021 (collectively, the “</w:t>
      </w:r>
      <w:r>
        <w:rPr>
          <w:rFonts w:ascii="sans-serif" w:hAnsi="sans-serif"/>
          <w:b w:val="false"/>
          <w:color w:val="000000"/>
          <w:sz w:val="24"/>
          <w:u w:val="single"/>
        </w:rPr>
        <w:t>Agreement</w:t>
      </w:r>
      <w:r>
        <w:rPr>
          <w:color w:val="000000"/>
        </w:rPr>
        <w:t>”</w:t>
      </w:r>
      <w:r>
        <w:rPr>
          <w:rFonts w:ascii="sans-serif" w:hAnsi="sans-serif"/>
          <w:b w:val="false"/>
          <w:color w:val="000000"/>
          <w:sz w:val="24"/>
        </w:rPr>
        <w:t>).</w:t>
      </w:r>
    </w:p>
    <w:p>
      <w:pPr>
        <w:pStyle w:val="TextBody"/>
        <w:bidi w:val="0"/>
        <w:spacing w:lineRule="auto" w:line="288" w:before="292" w:after="283"/>
        <w:jc w:val="left"/>
        <w:rPr/>
      </w:pPr>
      <w:r>
        <w:rPr>
          <w:rFonts w:ascii="sans-serif" w:hAnsi="sans-serif"/>
          <w:b w:val="false"/>
          <w:color w:val="000000"/>
          <w:sz w:val="24"/>
        </w:rPr>
        <w:t>WHEREAS, Incyte and Lilly (the “</w:t>
      </w:r>
      <w:r>
        <w:rPr>
          <w:rFonts w:ascii="sans-serif" w:hAnsi="sans-serif"/>
          <w:b w:val="false"/>
          <w:color w:val="000000"/>
          <w:sz w:val="24"/>
          <w:u w:val="single"/>
        </w:rPr>
        <w:t>Parties</w:t>
      </w:r>
      <w:r>
        <w:rPr>
          <w:color w:val="000000"/>
        </w:rPr>
        <w:t>”</w:t>
      </w:r>
      <w:r>
        <w:rPr>
          <w:rFonts w:ascii="sans-serif" w:hAnsi="sans-serif"/>
          <w:b w:val="false"/>
          <w:color w:val="000000"/>
          <w:sz w:val="24"/>
        </w:rPr>
        <w:t>) entered into the Agreement;</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4"/>
        </w:rPr>
        <w:t xml:space="preserve">WHEREAS, Lilly has requested relief from Incyte from the minimum combined Marketing and Sales Support amount for each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set forth in Section 5.1(a) of the Agreement of “the lesser of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or </w:t>
      </w:r>
      <w:r>
        <w:rPr>
          <w:rFonts w:ascii="sans-serif" w:hAnsi="sans-serif"/>
          <w:b w:val="false"/>
          <w:color w:val="111111"/>
          <w:sz w:val="24"/>
        </w:rPr>
        <w:t>[***]</w:t>
      </w:r>
      <w:r>
        <w:rPr>
          <w:color w:val="000000"/>
        </w:rPr>
        <w:t xml:space="preserve"> </w:t>
      </w:r>
      <w:r>
        <w:rPr>
          <w:rFonts w:ascii="sans-serif" w:hAnsi="sans-serif"/>
          <w:b w:val="false"/>
          <w:color w:val="000000"/>
          <w:sz w:val="24"/>
        </w:rPr>
        <w:t>of total sales of such Licensed Product in such Calendar [Year]”, and Incyte has agreed to provide such relief;</w:t>
      </w:r>
    </w:p>
    <w:p>
      <w:pPr>
        <w:pStyle w:val="TextBody"/>
        <w:bidi w:val="0"/>
        <w:spacing w:lineRule="auto" w:line="288" w:before="292" w:after="283"/>
        <w:jc w:val="both"/>
        <w:rPr>
          <w:rFonts w:ascii="sans-serif" w:hAnsi="sans-serif"/>
          <w:b w:val="false"/>
          <w:color w:val="000000"/>
          <w:sz w:val="24"/>
        </w:rPr>
      </w:pPr>
      <w:r>
        <w:rPr>
          <w:rFonts w:ascii="sans-serif" w:hAnsi="sans-serif"/>
          <w:b w:val="false"/>
          <w:color w:val="000000"/>
          <w:sz w:val="24"/>
        </w:rPr>
        <w:t>WHEREAS, Lilly has requested to add Type 1 Diabetes Mellitus as an Additional Field in accordance with Section 2.4 of the Agreement, and Incyte has agreed to expand the Field to include this Additional Field;</w:t>
      </w:r>
    </w:p>
    <w:p>
      <w:pPr>
        <w:pStyle w:val="TextBody"/>
        <w:bidi w:val="0"/>
        <w:spacing w:before="1" w:after="283"/>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WHEREAS, Lilly has requested, and Incyte has agreed, to exclude Type 1 Diabetes Mellitus from milestone payments payable by Lilly under Section 7.2(a) of the Agreement; and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9" w:after="283"/>
        <w:jc w:val="both"/>
        <w:rPr/>
      </w:pPr>
      <w:r>
        <w:rPr>
          <w:rFonts w:ascii="sans-serif" w:hAnsi="sans-serif"/>
          <w:b w:val="false"/>
          <w:color w:val="000000"/>
          <w:sz w:val="24"/>
        </w:rPr>
        <w:t xml:space="preserve">WHEREAS, Incyte and Lilly have agreed to simplify the royalty rates set forth in the Agreement (but excluding the COVID-19 Field-Specific Incremental Royalties, which additional royalties will remain at </w:t>
      </w:r>
      <w:r>
        <w:rPr>
          <w:rFonts w:ascii="sans-serif" w:hAnsi="sans-serif"/>
          <w:b w:val="false"/>
          <w:color w:val="111111"/>
          <w:sz w:val="24"/>
        </w:rPr>
        <w:t>[***]</w:t>
      </w:r>
      <w:r>
        <w:rPr>
          <w:color w:val="000000"/>
        </w:rPr>
        <w:t xml:space="preserve"> </w:t>
      </w:r>
      <w:r>
        <w:rPr>
          <w:rFonts w:ascii="sans-serif" w:hAnsi="sans-serif"/>
          <w:b w:val="false"/>
          <w:color w:val="000000"/>
          <w:sz w:val="24"/>
        </w:rPr>
        <w:t>as set forth in the Letter of Understanding dated May 13, 2020).</w:t>
      </w:r>
    </w:p>
    <w:p>
      <w:pPr>
        <w:pStyle w:val="TextBody"/>
        <w:bidi w:val="0"/>
        <w:spacing w:lineRule="auto" w:line="288" w:before="292" w:after="283"/>
        <w:jc w:val="both"/>
        <w:rPr/>
      </w:pPr>
      <w:r>
        <w:rPr>
          <w:rFonts w:ascii="sans-serif" w:hAnsi="sans-serif"/>
          <w:b w:val="false"/>
          <w:color w:val="000000"/>
          <w:sz w:val="24"/>
        </w:rPr>
        <w:t>NOW THEREFORE, the Parties hereby agree as follows, effective (except as otherwise set forth below) as of the date of last signature below (the “</w:t>
      </w:r>
      <w:r>
        <w:rPr>
          <w:rFonts w:ascii="sans-serif" w:hAnsi="sans-serif"/>
          <w:b w:val="false"/>
          <w:color w:val="000000"/>
          <w:sz w:val="24"/>
          <w:u w:val="single"/>
        </w:rPr>
        <w:t>LOU Effective Date</w:t>
      </w:r>
      <w:r>
        <w:rPr>
          <w:color w:val="000000"/>
        </w:rPr>
        <w:t>”</w:t>
      </w:r>
      <w:r>
        <w:rPr>
          <w:rFonts w:ascii="sans-serif" w:hAnsi="sans-serif"/>
          <w:b w:val="false"/>
          <w:color w:val="000000"/>
          <w:sz w:val="24"/>
        </w:rPr>
        <w:t>):</w:t>
      </w:r>
    </w:p>
    <w:p>
      <w:pPr>
        <w:pStyle w:val="TextBody"/>
        <w:bidi w:val="0"/>
        <w:spacing w:before="24" w:after="283"/>
        <w:jc w:val="left"/>
        <w:rPr/>
      </w:pPr>
      <w:r>
        <w:rPr/>
      </w:r>
    </w:p>
    <w:p>
      <w:pPr>
        <w:pStyle w:val="TextBody"/>
        <w:bidi w:val="0"/>
        <w:spacing w:lineRule="auto" w:line="288" w:before="0" w:after="0"/>
        <w:ind w:left="0" w:right="0" w:hanging="359"/>
        <w:jc w:val="left"/>
        <w:rPr/>
      </w:pPr>
      <w:r>
        <w:rPr>
          <w:rFonts w:ascii="sans-serif" w:hAnsi="sans-serif"/>
          <w:b w:val="false"/>
          <w:color w:val="000000"/>
          <w:sz w:val="24"/>
        </w:rPr>
        <w:t>1)</w:t>
      </w:r>
      <w:r>
        <w:rPr>
          <w:rFonts w:ascii="sans-serif" w:hAnsi="sans-serif"/>
          <w:b/>
          <w:color w:val="000000"/>
          <w:sz w:val="24"/>
          <w:u w:val="single"/>
        </w:rPr>
        <w:t>Up-Front Payments Due to Incyte</w:t>
      </w:r>
      <w:r>
        <w:rPr>
          <w:rFonts w:ascii="sans-serif" w:hAnsi="sans-serif"/>
          <w:b w:val="false"/>
          <w:color w:val="000000"/>
          <w:sz w:val="24"/>
        </w:rPr>
        <w:t>.</w:t>
      </w:r>
    </w:p>
    <w:p>
      <w:pPr>
        <w:pStyle w:val="TextBody"/>
        <w:bidi w:val="0"/>
        <w:spacing w:before="47" w:after="283"/>
        <w:jc w:val="left"/>
        <w:rPr/>
      </w:pPr>
      <w:r>
        <w:rPr/>
      </w:r>
    </w:p>
    <w:p>
      <w:pPr>
        <w:pStyle w:val="TextBody"/>
        <w:bidi w:val="0"/>
        <w:spacing w:lineRule="auto" w:line="300" w:before="0" w:after="0"/>
        <w:ind w:left="0" w:right="0" w:hanging="360"/>
        <w:jc w:val="both"/>
        <w:rPr/>
      </w:pPr>
      <w:r>
        <w:rPr>
          <w:rFonts w:ascii="sans-serif" w:hAnsi="sans-serif"/>
          <w:b w:val="false"/>
          <w:color w:val="000000"/>
          <w:sz w:val="24"/>
        </w:rPr>
        <w:t xml:space="preserve">a.Within </w:t>
      </w:r>
      <w:r>
        <w:rPr>
          <w:rFonts w:ascii="sans-serif" w:hAnsi="sans-serif"/>
          <w:b w:val="false"/>
          <w:color w:val="111111"/>
          <w:sz w:val="24"/>
        </w:rPr>
        <w:t>[***]</w:t>
      </w:r>
      <w:r>
        <w:rPr>
          <w:rFonts w:ascii="sans-serif" w:hAnsi="sans-serif"/>
          <w:b w:val="false"/>
          <w:color w:val="000000"/>
          <w:sz w:val="24"/>
        </w:rPr>
        <w:t>, Lilly shall pay to Incyte a one-time, non-creditable, non-refundable payment of One Hundred Million U.S. Dollars (US$100,000,000).</w:t>
      </w:r>
    </w:p>
    <w:p>
      <w:pPr>
        <w:pStyle w:val="TextBody"/>
        <w:bidi w:val="0"/>
        <w:spacing w:before="23" w:after="283"/>
        <w:jc w:val="left"/>
        <w:rPr/>
      </w:pPr>
      <w:r>
        <w:rPr/>
      </w:r>
    </w:p>
    <w:p>
      <w:pPr>
        <w:pStyle w:val="TextBody"/>
        <w:bidi w:val="0"/>
        <w:spacing w:lineRule="auto" w:line="300" w:before="0" w:after="0"/>
        <w:ind w:left="0" w:right="0" w:hanging="360"/>
        <w:jc w:val="both"/>
        <w:rPr/>
      </w:pPr>
      <w:r>
        <w:rPr>
          <w:rFonts w:ascii="sans-serif" w:hAnsi="sans-serif"/>
          <w:b w:val="false"/>
          <w:color w:val="000000"/>
          <w:sz w:val="24"/>
        </w:rPr>
        <w:t xml:space="preserve">b.Within </w:t>
      </w:r>
      <w:r>
        <w:rPr>
          <w:rFonts w:ascii="sans-serif" w:hAnsi="sans-serif"/>
          <w:b w:val="false"/>
          <w:color w:val="111111"/>
          <w:sz w:val="24"/>
        </w:rPr>
        <w:t>[***]</w:t>
      </w:r>
      <w:r>
        <w:rPr>
          <w:rFonts w:ascii="sans-serif" w:hAnsi="sans-serif"/>
          <w:b w:val="false"/>
          <w:color w:val="000000"/>
          <w:sz w:val="24"/>
        </w:rPr>
        <w:t xml:space="preserve">, Lilly shall pay to Incyte a one-time, non-creditable, non-refundable payment of the amount, if any, by which (i) the aggregate royalties payable or paid by Lilly to Incyte pursuant to Section 7.3 of the Agreement with respect to the [***] are less than (ii) </w:t>
      </w:r>
      <w:r>
        <w:rPr>
          <w:rFonts w:ascii="sans-serif" w:hAnsi="sans-serif"/>
          <w:b w:val="false"/>
          <w:color w:val="111111"/>
          <w:sz w:val="24"/>
        </w:rPr>
        <w:t>[***]</w:t>
      </w:r>
      <w:r>
        <w:rPr>
          <w:rFonts w:ascii="sans-serif" w:hAnsi="sans-serif"/>
          <w:b w:val="false"/>
          <w:color w:val="000000"/>
          <w:sz w:val="24"/>
        </w:rPr>
        <w:t>.</w:t>
      </w:r>
    </w:p>
    <w:p>
      <w:pPr>
        <w:pStyle w:val="TextBody"/>
        <w:bidi w:val="0"/>
        <w:spacing w:lineRule="auto" w:line="300" w:before="290" w:after="283"/>
        <w:jc w:val="both"/>
        <w:rPr>
          <w:rFonts w:ascii="sans-serif" w:hAnsi="sans-serif"/>
          <w:b w:val="false"/>
          <w:color w:val="000000"/>
          <w:sz w:val="24"/>
        </w:rPr>
      </w:pPr>
      <w:r>
        <w:rPr>
          <w:rFonts w:ascii="sans-serif" w:hAnsi="sans-serif"/>
          <w:b w:val="false"/>
          <w:color w:val="000000"/>
          <w:sz w:val="24"/>
        </w:rPr>
        <w:t>Pursuant to section 7.7 of the Agreement, Lilly hereby provides notice that effective as of [***], all payments due from Lilly to Incyte under the Agreement, including under this Letter of Agreement, shall be made by [***]. Lilly further certifies that [***].</w:t>
      </w:r>
    </w:p>
    <w:p>
      <w:pPr>
        <w:pStyle w:val="TextBody"/>
        <w:bidi w:val="0"/>
        <w:spacing w:before="182" w:after="283"/>
        <w:jc w:val="left"/>
        <w:rPr/>
      </w:pPr>
      <w:r>
        <w:rPr/>
      </w:r>
    </w:p>
    <w:p>
      <w:pPr>
        <w:pStyle w:val="TextBody"/>
        <w:bidi w:val="0"/>
        <w:spacing w:lineRule="auto" w:line="288" w:before="24" w:after="283"/>
        <w:ind w:left="0" w:right="0" w:hanging="359"/>
        <w:jc w:val="both"/>
        <w:rPr/>
      </w:pPr>
      <w:r>
        <w:rPr>
          <w:rFonts w:ascii="sans-serif" w:hAnsi="sans-serif"/>
          <w:b w:val="false"/>
          <w:color w:val="000000"/>
          <w:sz w:val="24"/>
        </w:rPr>
        <w:t>2)</w:t>
      </w:r>
      <w:r>
        <w:rPr>
          <w:rFonts w:ascii="sans-serif" w:hAnsi="sans-serif"/>
          <w:b/>
          <w:color w:val="000000"/>
          <w:sz w:val="24"/>
          <w:u w:val="single"/>
        </w:rPr>
        <w:t>Addition of Type 1 Diabetes Mellitus Definition</w:t>
      </w:r>
      <w:r>
        <w:rPr>
          <w:rFonts w:ascii="sans-serif" w:hAnsi="sans-serif"/>
          <w:b w:val="false"/>
          <w:color w:val="000000"/>
          <w:sz w:val="24"/>
        </w:rPr>
        <w:t>. A new definition is added as Section 1.77A of the Agreement as follows:</w:t>
      </w:r>
    </w:p>
    <w:p>
      <w:pPr>
        <w:pStyle w:val="TextBody"/>
        <w:bidi w:val="0"/>
        <w:spacing w:before="45" w:after="283"/>
        <w:jc w:val="left"/>
        <w:rPr/>
      </w:pPr>
      <w:r>
        <w:rPr/>
      </w:r>
    </w:p>
    <w:p>
      <w:pPr>
        <w:pStyle w:val="TextBody"/>
        <w:bidi w:val="0"/>
        <w:spacing w:lineRule="auto" w:line="300" w:before="0" w:after="0"/>
        <w:jc w:val="both"/>
        <w:rPr/>
      </w:pPr>
      <w:r>
        <w:rPr>
          <w:color w:val="000000"/>
        </w:rPr>
        <w:t>“</w:t>
      </w:r>
      <w:r>
        <w:rPr>
          <w:rFonts w:ascii="sans-serif" w:hAnsi="sans-serif"/>
          <w:b w:val="false"/>
          <w:color w:val="000000"/>
          <w:sz w:val="24"/>
          <w:u w:val="single"/>
        </w:rPr>
        <w:t>Type 1 Diabetes Mellitus</w:t>
      </w:r>
      <w:r>
        <w:rPr>
          <w:color w:val="000000"/>
        </w:rPr>
        <w:t xml:space="preserve">” </w:t>
      </w:r>
      <w:r>
        <w:rPr>
          <w:rFonts w:ascii="sans-serif" w:hAnsi="sans-serif"/>
          <w:b w:val="false"/>
          <w:color w:val="000000"/>
          <w:sz w:val="24"/>
        </w:rPr>
        <w:t>means the chronic autoimmune disease with both genetic and environmental contributions that results over time in an immune-mediated loss of functional pancreatic β-cell mass, leading to symptomatic diabetes and lifelong insulin dependence, known as Type 1 diabetes mellitus as defined in Subsection E10 of International Classification of Diseases, Tenth Revision, Clinical Modification (ICD-10-CM). For clarity, Type 1 Diabetes Mellitus is a continuum that progresses sequentially and includes (a) susceptibility (pre-Stage 1), (b) the presence of β-cell autoimmunity (Stage 1), (c) early dysglycemia (Stage 2) and (d) symptomatic disease (Stage 3).</w:t>
      </w:r>
    </w:p>
    <w:p>
      <w:pPr>
        <w:pStyle w:val="TextBody"/>
        <w:bidi w:val="0"/>
        <w:spacing w:before="23" w:after="283"/>
        <w:jc w:val="left"/>
        <w:rPr/>
      </w:pPr>
      <w:r>
        <w:rPr/>
      </w:r>
    </w:p>
    <w:p>
      <w:pPr>
        <w:pStyle w:val="TextBody"/>
        <w:bidi w:val="0"/>
        <w:spacing w:lineRule="auto" w:line="288" w:before="0" w:after="0"/>
        <w:ind w:left="0" w:right="0" w:hanging="359"/>
        <w:jc w:val="left"/>
        <w:rPr/>
      </w:pPr>
      <w:r>
        <w:rPr>
          <w:rFonts w:ascii="sans-serif" w:hAnsi="sans-serif"/>
          <w:b w:val="false"/>
          <w:color w:val="000000"/>
          <w:sz w:val="24"/>
        </w:rPr>
        <w:t>3)</w:t>
      </w:r>
      <w:r>
        <w:rPr>
          <w:rFonts w:ascii="sans-serif" w:hAnsi="sans-serif"/>
          <w:b/>
          <w:color w:val="000000"/>
          <w:sz w:val="24"/>
          <w:u w:val="single"/>
        </w:rPr>
        <w:t>Treatment of Type 1 Diabetes Mellitus as an Additional Field</w:t>
      </w:r>
      <w:r>
        <w:rPr>
          <w:rFonts w:ascii="sans-serif" w:hAnsi="sans-serif"/>
          <w:b w:val="false"/>
          <w:color w:val="000000"/>
          <w:sz w:val="24"/>
        </w:rPr>
        <w:t>.</w:t>
      </w:r>
    </w:p>
    <w:p>
      <w:pPr>
        <w:pStyle w:val="TextBody"/>
        <w:bidi w:val="0"/>
        <w:spacing w:before="45" w:after="283"/>
        <w:jc w:val="left"/>
        <w:rPr/>
      </w:pPr>
      <w:r>
        <w:rPr/>
      </w:r>
    </w:p>
    <w:p>
      <w:pPr>
        <w:pStyle w:val="TextBody"/>
        <w:bidi w:val="0"/>
        <w:spacing w:lineRule="auto" w:line="300"/>
        <w:ind w:left="0" w:right="0" w:hanging="360"/>
        <w:jc w:val="both"/>
        <w:rPr>
          <w:rFonts w:ascii="sans-serif" w:hAnsi="sans-serif"/>
          <w:b w:val="false"/>
          <w:color w:val="000000"/>
          <w:sz w:val="24"/>
        </w:rPr>
      </w:pPr>
      <w:r>
        <w:rPr>
          <w:rFonts w:ascii="sans-serif" w:hAnsi="sans-serif"/>
          <w:b w:val="false"/>
          <w:color w:val="000000"/>
          <w:sz w:val="24"/>
        </w:rPr>
        <w:t>a.Type 1 Diabetes Mellitus shall be deemed to be an “Additional Field” in accordance with Section 2.4 of the Agreement, and Section 1.22 of the Agreement is hereby amended and restated in its entirety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2" w:after="283"/>
        <w:jc w:val="left"/>
        <w:rPr/>
      </w:pPr>
      <w:r>
        <w:rPr/>
      </w:r>
    </w:p>
    <w:p>
      <w:pPr>
        <w:pStyle w:val="TextBody"/>
        <w:bidi w:val="0"/>
        <w:spacing w:lineRule="auto" w:line="300" w:before="1" w:after="283"/>
        <w:jc w:val="both"/>
        <w:rPr/>
      </w:pPr>
      <w:r>
        <w:rPr>
          <w:color w:val="000000"/>
        </w:rPr>
        <w:t>“</w:t>
      </w:r>
      <w:r>
        <w:rPr>
          <w:rFonts w:ascii="sans-serif" w:hAnsi="sans-serif"/>
          <w:b w:val="false"/>
          <w:color w:val="000000"/>
          <w:sz w:val="24"/>
          <w:u w:val="single"/>
        </w:rPr>
        <w:t>Field</w:t>
      </w:r>
      <w:r>
        <w:rPr>
          <w:color w:val="000000"/>
        </w:rPr>
        <w:t xml:space="preserve">” </w:t>
      </w:r>
      <w:r>
        <w:rPr>
          <w:rFonts w:ascii="sans-serif" w:hAnsi="sans-serif"/>
          <w:b w:val="false"/>
          <w:color w:val="000000"/>
          <w:sz w:val="24"/>
        </w:rPr>
        <w:t xml:space="preserve">means the treatment, control, management, mitigation, prevention or cure of </w:t>
      </w:r>
      <w:r>
        <w:rPr>
          <w:rFonts w:ascii="sans-serif" w:hAnsi="sans-serif"/>
          <w:b/>
          <w:color w:val="000000"/>
          <w:sz w:val="24"/>
        </w:rPr>
        <w:t xml:space="preserve">(a) </w:t>
      </w:r>
      <w:r>
        <w:rPr>
          <w:rFonts w:ascii="sans-serif" w:hAnsi="sans-serif"/>
          <w:b w:val="false"/>
          <w:color w:val="000000"/>
          <w:sz w:val="24"/>
        </w:rPr>
        <w:t xml:space="preserve">any and all Inflammatory Disease Indications </w:t>
      </w:r>
      <w:r>
        <w:rPr>
          <w:rFonts w:ascii="sans-serif" w:hAnsi="sans-serif"/>
          <w:b/>
          <w:color w:val="000000"/>
          <w:sz w:val="24"/>
        </w:rPr>
        <w:t xml:space="preserve">or (b) Type 1 Diabetes Mellitus, in either case ((a) or (b)), </w:t>
      </w:r>
      <w:r>
        <w:rPr>
          <w:rFonts w:ascii="sans-serif" w:hAnsi="sans-serif"/>
          <w:b w:val="false"/>
          <w:color w:val="000000"/>
          <w:sz w:val="24"/>
        </w:rPr>
        <w:t>in humans and animals in any formulation or dosage form, process or delivery method, but not including the Topical Field.</w:t>
      </w:r>
    </w:p>
    <w:p>
      <w:pPr>
        <w:pStyle w:val="TextBody"/>
        <w:bidi w:val="0"/>
        <w:spacing w:lineRule="auto" w:line="300" w:before="292" w:after="283"/>
        <w:ind w:left="0" w:right="0" w:hanging="360"/>
        <w:jc w:val="both"/>
        <w:rPr/>
      </w:pPr>
      <w:r>
        <w:rPr>
          <w:rFonts w:ascii="sans-serif" w:hAnsi="sans-serif"/>
          <w:b w:val="false"/>
          <w:color w:val="000000"/>
          <w:sz w:val="24"/>
        </w:rPr>
        <w:t>4)</w:t>
      </w:r>
      <w:r>
        <w:rPr>
          <w:rFonts w:ascii="sans-serif" w:hAnsi="sans-serif"/>
          <w:b/>
          <w:color w:val="000000"/>
          <w:sz w:val="24"/>
          <w:u w:val="single"/>
        </w:rPr>
        <w:t>Non-applicability of Section 2.4 (Field Expansion) Milestone Provisions to Type 1 Diabetes Mellitus; No Other Development and Regulatory Milestone Payments Due for Type 1 Diabetes Mellitus</w:t>
      </w:r>
      <w:r>
        <w:rPr>
          <w:rFonts w:ascii="sans-serif" w:hAnsi="sans-serif"/>
          <w:b w:val="false"/>
          <w:color w:val="000000"/>
          <w:sz w:val="24"/>
        </w:rPr>
        <w:t>. The final sentence of Section 2.4 of the Agreement is hereby amended and restated in its entirety as follows (language struck through is hereby removed and only left in this Letter of Understanding to show the deletion):</w:t>
      </w:r>
    </w:p>
    <w:p>
      <w:pPr>
        <w:pStyle w:val="TextBody"/>
        <w:bidi w:val="0"/>
        <w:spacing w:before="23" w:after="283"/>
        <w:jc w:val="left"/>
        <w:rPr/>
      </w:pPr>
      <w:r>
        <w:rPr/>
      </w:r>
    </w:p>
    <w:p>
      <w:pPr>
        <w:pStyle w:val="TextBody"/>
        <w:bidi w:val="0"/>
        <w:spacing w:lineRule="auto" w:line="300" w:before="0" w:after="0"/>
        <w:jc w:val="both"/>
        <w:rPr/>
      </w:pPr>
      <w:r>
        <w:rPr>
          <w:color w:val="000000"/>
        </w:rPr>
        <w:t>“</w:t>
      </w:r>
      <w:r>
        <w:rPr>
          <w:rFonts w:ascii="sans-serif" w:hAnsi="sans-serif"/>
          <w:b w:val="false"/>
          <w:color w:val="000000"/>
          <w:sz w:val="24"/>
        </w:rPr>
        <w:t xml:space="preserve">The milestone payments set forth in Section 7.2(a)(i) shall apply as follows for the Lead Compound and in Section 7.2(a)(ii) for a Licensed Back-Up Compound when Developed for such Additional Field: (a) subject to clause (c),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payments shall apply for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means an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in </w:t>
      </w:r>
      <w:r>
        <w:rPr>
          <w:rFonts w:ascii="sans-serif" w:hAnsi="sans-serif"/>
          <w:b w:val="false"/>
          <w:color w:val="111111"/>
          <w:sz w:val="24"/>
        </w:rPr>
        <w:t>[***]</w:t>
      </w:r>
      <w:r>
        <w:rPr>
          <w:rFonts w:ascii="sans-serif" w:hAnsi="sans-serif"/>
          <w:b w:val="false"/>
          <w:color w:val="000000"/>
          <w:sz w:val="24"/>
        </w:rPr>
        <w:t xml:space="preserve">; </w:t>
      </w:r>
      <w:r>
        <w:rPr>
          <w:rFonts w:ascii="sans-serif" w:hAnsi="sans-serif"/>
          <w:b w:val="false"/>
          <w:strike/>
          <w:color w:val="000000"/>
          <w:sz w:val="24"/>
        </w:rPr>
        <w:t>and</w:t>
      </w:r>
      <w:r>
        <w:rPr>
          <w:color w:val="000000"/>
        </w:rPr>
        <w:t xml:space="preserve"> </w:t>
      </w:r>
      <w:r>
        <w:rPr>
          <w:rFonts w:ascii="sans-serif" w:hAnsi="sans-serif"/>
          <w:b w:val="false"/>
          <w:color w:val="000000"/>
          <w:sz w:val="24"/>
        </w:rPr>
        <w:t xml:space="preserve">(b) subject to clause (c),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payments shall apply for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means an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in </w:t>
      </w:r>
      <w:r>
        <w:rPr>
          <w:rFonts w:ascii="sans-serif" w:hAnsi="sans-serif"/>
          <w:b w:val="false"/>
          <w:color w:val="111111"/>
          <w:sz w:val="24"/>
        </w:rPr>
        <w:t>[***]</w:t>
      </w:r>
      <w:r>
        <w:rPr>
          <w:rFonts w:ascii="sans-serif" w:hAnsi="sans-serif"/>
          <w:b w:val="false"/>
          <w:color w:val="000000"/>
          <w:sz w:val="24"/>
        </w:rPr>
        <w:t xml:space="preserve">; and (c) notwithstanding the foregoing clause (a) or clause (b), in no event shall Type 1 Diabetes Mellitus be deemed </w:t>
      </w:r>
      <w:r>
        <w:rPr>
          <w:rFonts w:ascii="sans-serif" w:hAnsi="sans-serif"/>
          <w:b w:val="false"/>
          <w:color w:val="111111"/>
          <w:sz w:val="24"/>
        </w:rPr>
        <w:t>[***]</w:t>
      </w:r>
      <w:r>
        <w:rPr>
          <w:color w:val="000000"/>
        </w:rPr>
        <w:t xml:space="preserve"> </w:t>
      </w:r>
      <w:r>
        <w:rPr>
          <w:rFonts w:ascii="sans-serif" w:hAnsi="sans-serif"/>
          <w:b w:val="false"/>
          <w:color w:val="000000"/>
          <w:sz w:val="24"/>
        </w:rPr>
        <w:t>and no milestones set forth in Section 7.2(a) shall apply to, and Lilly shall have no obligation to pay Incyte any milestone payments set forth in Section 7.2(a) for, Type 1 Diabetes Mellitus. For clarity, Net Sales of Licensed Products for Type 1 Diabetes Mellitus shall be included in Net Sales of Licensed Products for purposes of determining the achievement of the milestone events set forth in Section 7.2(b) and for purposes of determining royalties payable in Section 7.3.”</w:t>
      </w:r>
    </w:p>
    <w:p>
      <w:pPr>
        <w:pStyle w:val="TextBody"/>
        <w:bidi w:val="0"/>
        <w:spacing w:before="19" w:after="283"/>
        <w:jc w:val="left"/>
        <w:rPr/>
      </w:pPr>
      <w:r>
        <w:rPr/>
      </w:r>
    </w:p>
    <w:p>
      <w:pPr>
        <w:pStyle w:val="TextBody"/>
        <w:bidi w:val="0"/>
        <w:spacing w:lineRule="auto" w:line="288" w:before="0" w:after="0"/>
        <w:ind w:left="0" w:right="0" w:hanging="359"/>
        <w:jc w:val="left"/>
        <w:rPr/>
      </w:pPr>
      <w:r>
        <w:rPr>
          <w:rFonts w:ascii="sans-serif" w:hAnsi="sans-serif"/>
          <w:b w:val="false"/>
          <w:color w:val="000000"/>
          <w:sz w:val="24"/>
        </w:rPr>
        <w:t>5)</w:t>
      </w:r>
      <w:r>
        <w:rPr>
          <w:rFonts w:ascii="sans-serif" w:hAnsi="sans-serif"/>
          <w:b/>
          <w:color w:val="000000"/>
          <w:sz w:val="24"/>
          <w:u w:val="single"/>
        </w:rPr>
        <w:t>Adjustment of Royalty Rates</w:t>
      </w:r>
      <w:r>
        <w:rPr>
          <w:rFonts w:ascii="sans-serif" w:hAnsi="sans-serif"/>
          <w:b w:val="false"/>
          <w:color w:val="000000"/>
          <w:sz w:val="24"/>
        </w:rPr>
        <w:t>.</w:t>
      </w:r>
    </w:p>
    <w:p>
      <w:pPr>
        <w:pStyle w:val="TextBody"/>
        <w:bidi w:val="0"/>
        <w:spacing w:before="0" w:after="0"/>
        <w:ind w:left="0" w:right="0" w:hanging="359"/>
        <w:jc w:val="left"/>
        <w:rPr/>
      </w:pPr>
      <w:r>
        <w:rPr/>
      </w:r>
    </w:p>
    <w:p>
      <w:pPr>
        <w:pStyle w:val="TextBody"/>
        <w:bidi w:val="0"/>
        <w:spacing w:lineRule="auto" w:line="297" w:before="36" w:after="283"/>
        <w:ind w:left="0" w:right="0" w:hanging="360"/>
        <w:jc w:val="left"/>
        <w:rPr>
          <w:rFonts w:ascii="sans-serif" w:hAnsi="sans-serif"/>
          <w:b w:val="false"/>
          <w:color w:val="000000"/>
          <w:sz w:val="24"/>
        </w:rPr>
      </w:pPr>
      <w:r>
        <w:rPr>
          <w:rFonts w:ascii="sans-serif" w:hAnsi="sans-serif"/>
          <w:b w:val="false"/>
          <w:color w:val="000000"/>
          <w:sz w:val="24"/>
        </w:rPr>
        <w:t>a.Section 7.3(a) of the Agreement is hereby amended and restated in its entirety as follows:</w:t>
      </w:r>
    </w:p>
    <w:p>
      <w:pPr>
        <w:pStyle w:val="TextBody"/>
        <w:bidi w:val="0"/>
        <w:spacing w:before="28" w:after="283"/>
        <w:jc w:val="left"/>
        <w:rPr/>
      </w:pPr>
      <w:r>
        <w:rPr/>
      </w:r>
    </w:p>
    <w:p>
      <w:pPr>
        <w:pStyle w:val="TextBody"/>
        <w:bidi w:val="0"/>
        <w:spacing w:lineRule="auto" w:line="300" w:before="0" w:after="0"/>
        <w:jc w:val="both"/>
        <w:rPr/>
      </w:pPr>
      <w:r>
        <w:rPr>
          <w:color w:val="000000"/>
        </w:rPr>
        <w:t>“</w:t>
      </w:r>
      <w:r>
        <w:rPr>
          <w:rFonts w:ascii="sans-serif" w:hAnsi="sans-serif"/>
          <w:b w:val="false"/>
          <w:color w:val="000000"/>
          <w:sz w:val="24"/>
        </w:rPr>
        <w:t xml:space="preserve">(a) </w:t>
      </w:r>
      <w:r>
        <w:rPr>
          <w:rFonts w:ascii="sans-serif" w:hAnsi="sans-serif"/>
          <w:b w:val="false"/>
          <w:color w:val="000000"/>
          <w:sz w:val="24"/>
          <w:u w:val="single"/>
        </w:rPr>
        <w:t>Royalty Payments and Mechanics</w:t>
      </w:r>
      <w:r>
        <w:rPr>
          <w:rFonts w:ascii="sans-serif" w:hAnsi="sans-serif"/>
          <w:b w:val="false"/>
          <w:color w:val="000000"/>
          <w:sz w:val="24"/>
        </w:rPr>
        <w:t xml:space="preserve">. Subject to Section 7.3(b), Section 7.3(c) and Section 7.3(e), with respect to each Calendar Quarter during the period beginning with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through the earlier of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and </w:t>
      </w:r>
      <w:r>
        <w:rPr>
          <w:rFonts w:ascii="sans-serif" w:hAnsi="sans-serif"/>
          <w:b w:val="false"/>
          <w:color w:val="111111"/>
          <w:sz w:val="24"/>
        </w:rPr>
        <w:t>[***]</w:t>
      </w:r>
      <w:r>
        <w:rPr>
          <w:color w:val="000000"/>
        </w:rPr>
        <w:t xml:space="preserve"> </w:t>
      </w:r>
      <w:r>
        <w:rPr>
          <w:rFonts w:ascii="sans-serif" w:hAnsi="sans-serif"/>
          <w:b w:val="false"/>
          <w:color w:val="000000"/>
          <w:sz w:val="24"/>
        </w:rPr>
        <w:t>(such period, “</w:t>
      </w:r>
      <w:r>
        <w:rPr>
          <w:rFonts w:ascii="sans-serif" w:hAnsi="sans-serif"/>
          <w:b w:val="false"/>
          <w:color w:val="000000"/>
          <w:sz w:val="24"/>
          <w:u w:val="single"/>
        </w:rPr>
        <w:t>Minimum Royalty Term</w:t>
      </w:r>
      <w:r>
        <w:rPr>
          <w:color w:val="000000"/>
        </w:rPr>
        <w:t>”</w:t>
      </w:r>
      <w:r>
        <w:rPr>
          <w:rFonts w:ascii="sans-serif" w:hAnsi="sans-serif"/>
          <w:b w:val="false"/>
          <w:color w:val="000000"/>
          <w:sz w:val="24"/>
        </w:rPr>
        <w:t xml:space="preserve">) Lilly shall pay to Incyte within </w:t>
      </w:r>
      <w:r>
        <w:rPr>
          <w:rFonts w:ascii="sans-serif" w:hAnsi="sans-serif"/>
          <w:b w:val="false"/>
          <w:color w:val="111111"/>
          <w:sz w:val="24"/>
        </w:rPr>
        <w:t xml:space="preserve">[***] </w:t>
      </w:r>
      <w:r>
        <w:rPr>
          <w:rFonts w:ascii="sans-serif" w:hAnsi="sans-serif"/>
          <w:b w:val="false"/>
          <w:color w:val="000000"/>
          <w:sz w:val="24"/>
        </w:rPr>
        <w:t>after the end of each such Calendar Quarter a royalty in an amount based upon worldwide Net Sales of all Licensed Products in such Calendar Quarter (“</w:t>
      </w:r>
      <w:r>
        <w:rPr>
          <w:rFonts w:ascii="sans-serif" w:hAnsi="sans-serif"/>
          <w:b w:val="false"/>
          <w:color w:val="000000"/>
          <w:sz w:val="24"/>
          <w:u w:val="single"/>
        </w:rPr>
        <w:t>Quarterly Royalty Payment</w:t>
      </w:r>
      <w:r>
        <w:rPr>
          <w:color w:val="000000"/>
        </w:rPr>
        <w:t>”</w:t>
      </w:r>
      <w:r>
        <w:rPr>
          <w:rFonts w:ascii="sans-serif" w:hAnsi="sans-serif"/>
          <w:b w:val="false"/>
          <w:color w:val="000000"/>
          <w:sz w:val="24"/>
        </w:rPr>
        <w:t>) as follows:</w:t>
      </w:r>
    </w:p>
    <w:p>
      <w:pPr>
        <w:pStyle w:val="TextBody"/>
        <w:bidi w:val="0"/>
        <w:spacing w:before="167" w:after="1"/>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24"/>
        <w:gridCol w:w="2305"/>
        <w:gridCol w:w="2314"/>
        <w:gridCol w:w="866"/>
        <w:gridCol w:w="866"/>
        <w:gridCol w:w="1230"/>
      </w:tblGrid>
      <w:tr>
        <w:trPr/>
        <w:tc>
          <w:tcPr>
            <w:tcW w:w="2624"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72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92" w:before="0" w:after="0"/>
              <w:jc w:val="center"/>
              <w:rPr>
                <w:rFonts w:ascii="sans-serif" w:hAnsi="sans-serif"/>
                <w:b/>
                <w:color w:val="000000"/>
                <w:sz w:val="24"/>
                <w:u w:val="single"/>
              </w:rPr>
            </w:pPr>
            <w:r>
              <w:rPr>
                <w:rFonts w:ascii="sans-serif" w:hAnsi="sans-serif"/>
                <w:b/>
                <w:color w:val="000000"/>
                <w:sz w:val="24"/>
                <w:u w:val="single"/>
              </w:rPr>
              <w:t>Worldwide Quarterly Net Sales</w:t>
            </w:r>
          </w:p>
        </w:tc>
        <w:tc>
          <w:tcPr>
            <w:tcW w:w="29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92" w:before="0" w:after="0"/>
              <w:jc w:val="center"/>
              <w:rPr>
                <w:rFonts w:ascii="sans-serif" w:hAnsi="sans-serif"/>
                <w:b/>
                <w:color w:val="000000"/>
                <w:sz w:val="24"/>
                <w:u w:val="single"/>
              </w:rPr>
            </w:pPr>
            <w:r>
              <w:rPr>
                <w:rFonts w:ascii="sans-serif" w:hAnsi="sans-serif"/>
                <w:b/>
                <w:color w:val="000000"/>
                <w:sz w:val="24"/>
                <w:u w:val="single"/>
              </w:rPr>
              <w:t>Quarterly Royalty Payment</w:t>
            </w:r>
          </w:p>
        </w:tc>
      </w:tr>
      <w:tr>
        <w:trPr/>
        <w:tc>
          <w:tcPr>
            <w:tcW w:w="72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19" w:after="283"/>
              <w:jc w:val="left"/>
              <w:rPr/>
            </w:pPr>
            <w:r>
              <w:rPr>
                <w:rFonts w:ascii="sans-serif" w:hAnsi="sans-serif"/>
                <w:b w:val="false"/>
                <w:color w:val="000000"/>
                <w:sz w:val="24"/>
              </w:rPr>
              <w:t xml:space="preserve">On the portion of Quarterly Net Sales less than or equal to </w:t>
            </w:r>
            <w:r>
              <w:rPr>
                <w:rFonts w:ascii="sans-serif" w:hAnsi="sans-serif"/>
                <w:b w:val="false"/>
                <w:color w:val="111111"/>
                <w:sz w:val="24"/>
              </w:rPr>
              <w:t>[***]</w:t>
            </w:r>
          </w:p>
        </w:tc>
        <w:tc>
          <w:tcPr>
            <w:tcW w:w="29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19" w:after="283"/>
              <w:jc w:val="center"/>
              <w:rPr>
                <w:rFonts w:ascii="sans-serif" w:hAnsi="sans-serif"/>
                <w:b w:val="false"/>
                <w:color w:val="111111"/>
                <w:sz w:val="24"/>
              </w:rPr>
            </w:pPr>
            <w:r>
              <w:rPr>
                <w:rFonts w:ascii="sans-serif" w:hAnsi="sans-serif"/>
                <w:b w:val="false"/>
                <w:color w:val="111111"/>
                <w:sz w:val="24"/>
              </w:rPr>
              <w:t>[***]</w:t>
            </w:r>
          </w:p>
        </w:tc>
      </w:tr>
      <w:tr>
        <w:trPr/>
        <w:tc>
          <w:tcPr>
            <w:tcW w:w="72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1" w:after="283"/>
              <w:jc w:val="left"/>
              <w:rPr/>
            </w:pPr>
            <w:r>
              <w:rPr>
                <w:rFonts w:ascii="sans-serif" w:hAnsi="sans-serif"/>
                <w:b w:val="false"/>
                <w:color w:val="000000"/>
                <w:sz w:val="24"/>
              </w:rPr>
              <w:t xml:space="preserve">On any portion of Quarterly Net Sales greater than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and less than or equal to </w:t>
            </w:r>
            <w:r>
              <w:rPr>
                <w:rFonts w:ascii="sans-serif" w:hAnsi="sans-serif"/>
                <w:b w:val="false"/>
                <w:color w:val="111111"/>
                <w:sz w:val="24"/>
              </w:rPr>
              <w:t>[***]</w:t>
            </w:r>
          </w:p>
        </w:tc>
        <w:tc>
          <w:tcPr>
            <w:tcW w:w="29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1" w:after="283"/>
              <w:jc w:val="center"/>
              <w:rPr>
                <w:rFonts w:ascii="sans-serif" w:hAnsi="sans-serif"/>
                <w:b w:val="false"/>
                <w:color w:val="111111"/>
                <w:sz w:val="24"/>
              </w:rPr>
            </w:pPr>
            <w:r>
              <w:rPr>
                <w:rFonts w:ascii="sans-serif" w:hAnsi="sans-serif"/>
                <w:b w:val="false"/>
                <w:color w:val="111111"/>
                <w:sz w:val="24"/>
              </w:rPr>
              <w:t>[***]</w:t>
            </w:r>
          </w:p>
        </w:tc>
      </w:tr>
      <w:tr>
        <w:trPr/>
        <w:tc>
          <w:tcPr>
            <w:tcW w:w="72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19" w:after="283"/>
              <w:jc w:val="left"/>
              <w:rPr/>
            </w:pPr>
            <w:r>
              <w:rPr>
                <w:rFonts w:ascii="sans-serif" w:hAnsi="sans-serif"/>
                <w:b w:val="false"/>
                <w:color w:val="000000"/>
                <w:sz w:val="24"/>
              </w:rPr>
              <w:t xml:space="preserve">On any portion of Quarterly Net Sales greater than </w:t>
            </w:r>
            <w:r>
              <w:rPr>
                <w:rFonts w:ascii="sans-serif" w:hAnsi="sans-serif"/>
                <w:b w:val="false"/>
                <w:color w:val="111111"/>
                <w:sz w:val="24"/>
              </w:rPr>
              <w:t>[***]</w:t>
            </w:r>
          </w:p>
        </w:tc>
        <w:tc>
          <w:tcPr>
            <w:tcW w:w="296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19" w:after="283"/>
              <w:jc w:val="center"/>
              <w:rPr>
                <w:rFonts w:ascii="sans-serif" w:hAnsi="sans-serif"/>
                <w:b w:val="false"/>
                <w:color w:val="111111"/>
                <w:sz w:val="24"/>
              </w:rPr>
            </w:pPr>
            <w:r>
              <w:rPr>
                <w:rFonts w:ascii="sans-serif" w:hAnsi="sans-serif"/>
                <w:b w:val="false"/>
                <w:color w:val="111111"/>
                <w:sz w:val="24"/>
              </w:rPr>
              <w:t>[***]</w:t>
            </w:r>
          </w:p>
        </w:tc>
      </w:tr>
    </w:tbl>
    <w:p>
      <w:pPr>
        <w:pStyle w:val="TextBody"/>
        <w:bidi w:val="0"/>
        <w:spacing w:before="184" w:after="283"/>
        <w:jc w:val="left"/>
        <w:rPr/>
      </w:pPr>
      <w:r>
        <w:rPr/>
      </w:r>
    </w:p>
    <w:p>
      <w:pPr>
        <w:pStyle w:val="TextBody"/>
        <w:bidi w:val="0"/>
        <w:spacing w:lineRule="auto" w:line="300" w:before="1" w:after="283"/>
        <w:ind w:left="0" w:right="0" w:firstLine="720"/>
        <w:jc w:val="both"/>
        <w:rPr/>
      </w:pPr>
      <w:r>
        <w:rPr>
          <w:rFonts w:ascii="sans-serif" w:hAnsi="sans-serif"/>
          <w:b w:val="false"/>
          <w:color w:val="000000"/>
          <w:sz w:val="24"/>
        </w:rPr>
        <w:t xml:space="preserve">Subject to Section 7.3(b), Section 7.3(c) and Section 7.3(e), after the date of expiration of the Minimum Royalty Term until the end of the applicable Royalty Term (or, if earlier, the end of the Term), on a Licensed Product-by-Licensed Product basis, Lilly shall pay to Incyte within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after the end of each Calendar Quarter a royalty in an amount equal to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of the worldwide Net Sales of all Licensed Products in such Calendar Quarter, in lieu of the Quarterly Royalty Payments set forth in the table above. For clarity, following the expiration of the Minimum Royalty Term, all royalties shall be calculated solely at the rate of </w:t>
      </w:r>
      <w:r>
        <w:rPr>
          <w:rFonts w:ascii="sans-serif" w:hAnsi="sans-serif"/>
          <w:b w:val="false"/>
          <w:color w:val="111111"/>
          <w:sz w:val="24"/>
        </w:rPr>
        <w:t>[***]</w:t>
      </w:r>
      <w:r>
        <w:rPr>
          <w:color w:val="000000"/>
        </w:rPr>
        <w:t xml:space="preserve"> </w:t>
      </w:r>
      <w:r>
        <w:rPr>
          <w:rFonts w:ascii="sans-serif" w:hAnsi="sans-serif"/>
          <w:b w:val="false"/>
          <w:color w:val="000000"/>
          <w:sz w:val="24"/>
        </w:rPr>
        <w:t>of worldwide Net Sales, with no minimum or maximum limit on the amount payable.”</w:t>
      </w:r>
    </w:p>
    <w:p>
      <w:pPr>
        <w:pStyle w:val="TextBody"/>
        <w:bidi w:val="0"/>
        <w:spacing w:before="20" w:after="283"/>
        <w:jc w:val="left"/>
        <w:rPr/>
      </w:pPr>
      <w:r>
        <w:rPr/>
      </w:r>
    </w:p>
    <w:p>
      <w:pPr>
        <w:pStyle w:val="TextBody"/>
        <w:bidi w:val="0"/>
        <w:spacing w:lineRule="auto" w:line="297" w:before="0" w:after="0"/>
        <w:ind w:left="0" w:right="0" w:hanging="360"/>
        <w:jc w:val="left"/>
        <w:rPr>
          <w:rFonts w:ascii="sans-serif" w:hAnsi="sans-serif"/>
          <w:b w:val="false"/>
          <w:color w:val="000000"/>
          <w:sz w:val="24"/>
        </w:rPr>
      </w:pPr>
      <w:r>
        <w:rPr>
          <w:rFonts w:ascii="sans-serif" w:hAnsi="sans-serif"/>
          <w:b w:val="false"/>
          <w:color w:val="000000"/>
          <w:sz w:val="24"/>
        </w:rPr>
        <w:t>b.Section 7.3(c) of the Agreement is hereby amended and restated in its entirety as follows:</w:t>
      </w:r>
    </w:p>
    <w:p>
      <w:pPr>
        <w:pStyle w:val="TextBody"/>
        <w:bidi w:val="0"/>
        <w:spacing w:before="28" w:after="283"/>
        <w:jc w:val="left"/>
        <w:rPr/>
      </w:pPr>
      <w:r>
        <w:rPr/>
      </w:r>
    </w:p>
    <w:p>
      <w:pPr>
        <w:pStyle w:val="TextBody"/>
        <w:bidi w:val="0"/>
        <w:spacing w:lineRule="auto" w:line="300" w:before="0" w:after="0"/>
        <w:ind w:left="0" w:right="0" w:firstLine="720"/>
        <w:jc w:val="both"/>
        <w:rPr>
          <w:color w:val="000000"/>
        </w:rPr>
      </w:pPr>
      <w:r>
        <w:rPr>
          <w:color w:val="000000"/>
        </w:rPr>
        <w:t>“</w:t>
      </w:r>
      <w:r>
        <w:rPr>
          <w:rFonts w:ascii="sans-serif" w:hAnsi="sans-serif"/>
          <w:b w:val="false"/>
          <w:color w:val="000000"/>
          <w:sz w:val="24"/>
        </w:rPr>
        <w:t>(c) In the event that Generic Competition exists with respect to Licensed Product(s) in the Field in one (1) or more countries within the Territory during any Calendar Quarter during the applicable Royalty Term(s) for such country(ies), the following shall apply:</w:t>
      </w:r>
    </w:p>
    <w:p>
      <w:pPr>
        <w:pStyle w:val="TextBody"/>
        <w:bidi w:val="0"/>
        <w:spacing w:before="22" w:after="283"/>
        <w:jc w:val="left"/>
        <w:rPr/>
      </w:pPr>
      <w:r>
        <w:rPr/>
      </w:r>
    </w:p>
    <w:p>
      <w:pPr>
        <w:pStyle w:val="TextBody"/>
        <w:bidi w:val="0"/>
        <w:spacing w:lineRule="auto" w:line="300" w:before="0" w:after="0"/>
        <w:ind w:left="0" w:right="0" w:hanging="720"/>
        <w:jc w:val="both"/>
        <w:rPr/>
      </w:pPr>
      <w:r>
        <w:rPr>
          <w:rFonts w:ascii="sans-serif" w:hAnsi="sans-serif"/>
          <w:b w:val="false"/>
          <w:color w:val="000000"/>
          <w:sz w:val="24"/>
        </w:rPr>
        <w:t>(i)</w:t>
      </w:r>
      <w:r>
        <w:rPr>
          <w:rFonts w:ascii="sans-serif" w:hAnsi="sans-serif"/>
          <w:b w:val="false"/>
          <w:color w:val="30333E"/>
          <w:sz w:val="24"/>
        </w:rPr>
        <w:t xml:space="preserve">During the Minimum Royalty Term, if worldwide quarterly Net Sales exceed </w:t>
      </w:r>
      <w:r>
        <w:rPr>
          <w:rFonts w:ascii="sans-serif" w:hAnsi="sans-serif"/>
          <w:b w:val="false"/>
          <w:color w:val="111111"/>
          <w:sz w:val="24"/>
        </w:rPr>
        <w:t>[***]</w:t>
      </w:r>
      <w:r>
        <w:rPr>
          <w:color w:val="30333E"/>
        </w:rPr>
        <w:t xml:space="preserve"> </w:t>
      </w:r>
      <w:r>
        <w:rPr>
          <w:rFonts w:ascii="sans-serif" w:hAnsi="sans-serif"/>
          <w:b w:val="false"/>
          <w:color w:val="30333E"/>
          <w:sz w:val="24"/>
        </w:rPr>
        <w:t>in such Calendar Quarter (such excess Net Sales, the “</w:t>
      </w:r>
      <w:r>
        <w:rPr>
          <w:rFonts w:ascii="sans-serif" w:hAnsi="sans-serif"/>
          <w:b/>
          <w:color w:val="30333E"/>
          <w:sz w:val="24"/>
        </w:rPr>
        <w:t>Excess Net Sales</w:t>
      </w:r>
      <w:r>
        <w:rPr>
          <w:color w:val="30333E"/>
        </w:rPr>
        <w:t>”</w:t>
      </w:r>
      <w:r>
        <w:rPr>
          <w:rFonts w:ascii="sans-serif" w:hAnsi="sans-serif"/>
          <w:b w:val="false"/>
          <w:color w:val="30333E"/>
          <w:sz w:val="24"/>
        </w:rPr>
        <w:t xml:space="preserve">), the royalty rate of </w:t>
      </w:r>
      <w:r>
        <w:rPr>
          <w:rFonts w:ascii="sans-serif" w:hAnsi="sans-serif"/>
          <w:b w:val="false"/>
          <w:color w:val="111111"/>
          <w:sz w:val="24"/>
        </w:rPr>
        <w:t>[***]</w:t>
      </w:r>
      <w:r>
        <w:rPr>
          <w:color w:val="30333E"/>
        </w:rPr>
        <w:t xml:space="preserve"> </w:t>
      </w:r>
      <w:r>
        <w:rPr>
          <w:rFonts w:ascii="sans-serif" w:hAnsi="sans-serif"/>
          <w:b w:val="false"/>
          <w:color w:val="30333E"/>
          <w:sz w:val="24"/>
        </w:rPr>
        <w:t xml:space="preserve">set forth in Section 7.3(a) for the Quarterly Royalty Payment shall be reduced to </w:t>
      </w:r>
      <w:r>
        <w:rPr>
          <w:rFonts w:ascii="sans-serif" w:hAnsi="sans-serif"/>
          <w:b w:val="false"/>
          <w:color w:val="111111"/>
          <w:sz w:val="24"/>
        </w:rPr>
        <w:t>[***]</w:t>
      </w:r>
      <w:r>
        <w:rPr>
          <w:color w:val="30333E"/>
        </w:rPr>
        <w:t xml:space="preserve"> </w:t>
      </w:r>
      <w:r>
        <w:rPr>
          <w:rFonts w:ascii="sans-serif" w:hAnsi="sans-serif"/>
          <w:b w:val="false"/>
          <w:color w:val="30333E"/>
          <w:sz w:val="24"/>
        </w:rPr>
        <w:t>on Excess Net Sales for such Calendar Quarter up to an amount equal to the aggregate Net Sales of Licensed Products in such countries with Generic Competition in such Calendar Quarter.</w:t>
      </w:r>
    </w:p>
    <w:p>
      <w:pPr>
        <w:pStyle w:val="TextBody"/>
        <w:bidi w:val="0"/>
        <w:spacing w:before="2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0"/>
        <w:ind w:left="0" w:right="0" w:hanging="720"/>
        <w:jc w:val="both"/>
        <w:rPr/>
      </w:pPr>
      <w:r>
        <w:rPr>
          <w:rFonts w:ascii="sans-serif" w:hAnsi="sans-serif"/>
          <w:b w:val="false"/>
          <w:color w:val="000000"/>
          <w:sz w:val="24"/>
        </w:rPr>
        <w:t>(ii)</w:t>
      </w:r>
      <w:r>
        <w:rPr>
          <w:rFonts w:ascii="sans-serif" w:hAnsi="sans-serif"/>
          <w:b w:val="false"/>
          <w:color w:val="30333E"/>
          <w:sz w:val="24"/>
        </w:rPr>
        <w:t xml:space="preserve">After the expiration of the Minimum Royalty Term, irrespective of the level of worldwide quarterly Net Sales, the royalty rate applicable to Net Sales of Licensed Products in countries with Generic Competition shall be reduced to </w:t>
      </w:r>
      <w:r>
        <w:rPr>
          <w:rFonts w:ascii="sans-serif" w:hAnsi="sans-serif"/>
          <w:b w:val="false"/>
          <w:color w:val="111111"/>
          <w:sz w:val="24"/>
        </w:rPr>
        <w:t>[***]</w:t>
      </w:r>
      <w:r>
        <w:rPr>
          <w:color w:val="30333E"/>
        </w:rPr>
        <w:t xml:space="preserve"> </w:t>
      </w:r>
      <w:r>
        <w:rPr>
          <w:rFonts w:ascii="sans-serif" w:hAnsi="sans-serif"/>
          <w:b w:val="false"/>
          <w:color w:val="30333E"/>
          <w:sz w:val="24"/>
        </w:rPr>
        <w:t>for such Net Sales.</w:t>
      </w:r>
    </w:p>
    <w:p>
      <w:pPr>
        <w:pStyle w:val="TextBody"/>
        <w:bidi w:val="0"/>
        <w:spacing w:before="21" w:after="283"/>
        <w:jc w:val="left"/>
        <w:rPr/>
      </w:pPr>
      <w:r>
        <w:rPr/>
      </w:r>
    </w:p>
    <w:p>
      <w:pPr>
        <w:pStyle w:val="TextBody"/>
        <w:bidi w:val="0"/>
        <w:spacing w:lineRule="auto" w:line="300" w:before="0" w:after="0"/>
        <w:ind w:left="0" w:right="0" w:firstLine="720"/>
        <w:jc w:val="both"/>
        <w:rPr>
          <w:rFonts w:ascii="sans-serif" w:hAnsi="sans-serif"/>
          <w:b w:val="false"/>
          <w:color w:val="30333E"/>
          <w:sz w:val="24"/>
        </w:rPr>
      </w:pPr>
      <w:r>
        <w:rPr>
          <w:rFonts w:ascii="sans-serif" w:hAnsi="sans-serif"/>
          <w:b w:val="false"/>
          <w:color w:val="30333E"/>
          <w:sz w:val="24"/>
        </w:rPr>
        <w:t>The foregoing reductions shall apply solely to Net Sales in each affected country in which Generic Competition exists (or existed if the reductions are retroactively applied) and shall be retroactively applied for the relevant Calendar Quarter.</w:t>
      </w:r>
    </w:p>
    <w:p>
      <w:pPr>
        <w:pStyle w:val="TextBody"/>
        <w:bidi w:val="0"/>
        <w:spacing w:before="23" w:after="283"/>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By way of example:</w:t>
      </w:r>
    </w:p>
    <w:p>
      <w:pPr>
        <w:pStyle w:val="TextBody"/>
        <w:bidi w:val="0"/>
        <w:spacing w:before="45" w:after="283"/>
        <w:jc w:val="left"/>
        <w:rPr/>
      </w:pPr>
      <w:r>
        <w:rPr/>
      </w:r>
    </w:p>
    <w:p>
      <w:pPr>
        <w:pStyle w:val="TextBody"/>
        <w:bidi w:val="0"/>
        <w:spacing w:lineRule="auto" w:line="300" w:before="0" w:after="0"/>
        <w:ind w:left="0" w:right="0" w:hanging="720"/>
        <w:jc w:val="both"/>
        <w:rPr/>
      </w:pPr>
      <w:r>
        <w:rPr>
          <w:rFonts w:ascii="sans-serif" w:hAnsi="sans-serif"/>
          <w:b w:val="false"/>
          <w:color w:val="000000"/>
          <w:sz w:val="24"/>
        </w:rPr>
        <w:t xml:space="preserve">(i)If in a Calendar Quarter during the Minimum Royalty Term, worldwide quarterly Net Sales are </w:t>
      </w:r>
      <w:r>
        <w:rPr>
          <w:rFonts w:ascii="sans-serif" w:hAnsi="sans-serif"/>
          <w:b w:val="false"/>
          <w:color w:val="111111"/>
          <w:sz w:val="24"/>
        </w:rPr>
        <w:t>[***]</w:t>
      </w:r>
      <w:r>
        <w:rPr>
          <w:rFonts w:ascii="sans-serif" w:hAnsi="sans-serif"/>
          <w:b w:val="false"/>
          <w:color w:val="000000"/>
          <w:sz w:val="24"/>
        </w:rPr>
        <w:t xml:space="preserve">, Generic Competition exists in Japan, and Net Sales in Japan are </w:t>
      </w:r>
      <w:r>
        <w:rPr>
          <w:rFonts w:ascii="sans-serif" w:hAnsi="sans-serif"/>
          <w:b w:val="false"/>
          <w:color w:val="111111"/>
          <w:sz w:val="24"/>
        </w:rPr>
        <w:t>[***]</w:t>
      </w:r>
      <w:r>
        <w:rPr>
          <w:rFonts w:ascii="sans-serif" w:hAnsi="sans-serif"/>
          <w:b w:val="false"/>
          <w:color w:val="000000"/>
          <w:sz w:val="24"/>
        </w:rPr>
        <w:t xml:space="preserve">, then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of such Net Sales in Japan shall be subject to the reduction of royalties from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to </w:t>
      </w:r>
      <w:r>
        <w:rPr>
          <w:rFonts w:ascii="sans-serif" w:hAnsi="sans-serif"/>
          <w:b w:val="false"/>
          <w:color w:val="111111"/>
          <w:sz w:val="24"/>
        </w:rPr>
        <w:t>[***]</w:t>
      </w:r>
      <w:r>
        <w:rPr>
          <w:rFonts w:ascii="sans-serif" w:hAnsi="sans-serif"/>
          <w:b w:val="false"/>
          <w:color w:val="000000"/>
          <w:sz w:val="24"/>
        </w:rPr>
        <w:t>; and</w:t>
      </w:r>
    </w:p>
    <w:p>
      <w:pPr>
        <w:pStyle w:val="TextBody"/>
        <w:bidi w:val="0"/>
        <w:spacing w:before="21" w:after="283"/>
        <w:jc w:val="left"/>
        <w:rPr/>
      </w:pPr>
      <w:r>
        <w:rPr/>
      </w:r>
    </w:p>
    <w:p>
      <w:pPr>
        <w:pStyle w:val="TextBody"/>
        <w:bidi w:val="0"/>
        <w:spacing w:lineRule="auto" w:line="300" w:before="0" w:after="0"/>
        <w:ind w:left="0" w:right="0" w:hanging="720"/>
        <w:jc w:val="both"/>
        <w:rPr/>
      </w:pPr>
      <w:r>
        <w:rPr>
          <w:rFonts w:ascii="sans-serif" w:hAnsi="sans-serif"/>
          <w:b w:val="false"/>
          <w:color w:val="000000"/>
          <w:sz w:val="24"/>
        </w:rPr>
        <w:t xml:space="preserve">(ii)If in a Calendar Quarter after the expiration of the Minimum Royalty Term, regardless of the level of worldwide Quarterly Net Sales, Generic Competition exists in Japan, and Net Sales in Japan are </w:t>
      </w:r>
      <w:r>
        <w:rPr>
          <w:rFonts w:ascii="sans-serif" w:hAnsi="sans-serif"/>
          <w:b w:val="false"/>
          <w:color w:val="111111"/>
          <w:sz w:val="24"/>
        </w:rPr>
        <w:t>[***]</w:t>
      </w:r>
      <w:r>
        <w:rPr>
          <w:rFonts w:ascii="sans-serif" w:hAnsi="sans-serif"/>
          <w:b w:val="false"/>
          <w:color w:val="000000"/>
          <w:sz w:val="24"/>
        </w:rPr>
        <w:t xml:space="preserve">, then all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of such Net Sales in Japan shall be subject to the reduction of royalties from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to </w:t>
      </w:r>
      <w:r>
        <w:rPr>
          <w:rFonts w:ascii="sans-serif" w:hAnsi="sans-serif"/>
          <w:b w:val="false"/>
          <w:color w:val="111111"/>
          <w:sz w:val="24"/>
        </w:rPr>
        <w:t>[***]</w:t>
      </w:r>
      <w:r>
        <w:rPr>
          <w:rFonts w:ascii="sans-serif" w:hAnsi="sans-serif"/>
          <w:b w:val="false"/>
          <w:color w:val="000000"/>
          <w:sz w:val="24"/>
        </w:rPr>
        <w:t>.”</w:t>
      </w:r>
    </w:p>
    <w:p>
      <w:pPr>
        <w:pStyle w:val="TextBody"/>
        <w:bidi w:val="0"/>
        <w:spacing w:before="23" w:after="283"/>
        <w:jc w:val="left"/>
        <w:rPr/>
      </w:pPr>
      <w:r>
        <w:rPr/>
      </w:r>
    </w:p>
    <w:p>
      <w:pPr>
        <w:pStyle w:val="TextBody"/>
        <w:bidi w:val="0"/>
        <w:spacing w:lineRule="auto" w:line="288" w:before="1" w:after="283"/>
        <w:ind w:left="0" w:right="0" w:hanging="359"/>
        <w:jc w:val="left"/>
        <w:rPr/>
      </w:pPr>
      <w:r>
        <w:rPr>
          <w:rFonts w:ascii="sans-serif" w:hAnsi="sans-serif"/>
          <w:b w:val="false"/>
          <w:color w:val="000000"/>
          <w:sz w:val="24"/>
        </w:rPr>
        <w:t>c.Section 7.3(d) of the Agreement is hereby deleted in its entirety</w:t>
      </w:r>
      <w:r>
        <w:rPr>
          <w:rFonts w:ascii="sans-serif" w:hAnsi="sans-serif"/>
          <w:b/>
          <w:color w:val="000000"/>
          <w:sz w:val="24"/>
        </w:rPr>
        <w:t>.</w:t>
      </w:r>
    </w:p>
    <w:p>
      <w:pPr>
        <w:pStyle w:val="TextBody"/>
        <w:bidi w:val="0"/>
        <w:spacing w:before="45" w:after="283"/>
        <w:jc w:val="left"/>
        <w:rPr/>
      </w:pPr>
      <w:r>
        <w:rPr/>
      </w:r>
    </w:p>
    <w:p>
      <w:pPr>
        <w:pStyle w:val="TextBody"/>
        <w:bidi w:val="0"/>
        <w:spacing w:lineRule="auto" w:line="288" w:before="0" w:after="0"/>
        <w:ind w:left="0" w:right="0" w:hanging="359"/>
        <w:jc w:val="left"/>
        <w:rPr/>
      </w:pPr>
      <w:r>
        <w:rPr>
          <w:rFonts w:ascii="sans-serif" w:hAnsi="sans-serif"/>
          <w:b w:val="false"/>
          <w:color w:val="000000"/>
          <w:sz w:val="24"/>
        </w:rPr>
        <w:t>6)</w:t>
      </w:r>
      <w:r>
        <w:rPr>
          <w:rFonts w:ascii="sans-serif" w:hAnsi="sans-serif"/>
          <w:b/>
          <w:color w:val="000000"/>
          <w:sz w:val="24"/>
          <w:u w:val="single"/>
        </w:rPr>
        <w:t>Removal of Lilly’s minimum combined Marketing and Sales Support</w:t>
      </w:r>
      <w:r>
        <w:rPr>
          <w:rFonts w:ascii="sans-serif" w:hAnsi="sans-serif"/>
          <w:b w:val="false"/>
          <w:color w:val="000000"/>
          <w:sz w:val="24"/>
        </w:rPr>
        <w:t>.</w:t>
      </w:r>
    </w:p>
    <w:p>
      <w:pPr>
        <w:pStyle w:val="TextBody"/>
        <w:bidi w:val="0"/>
        <w:spacing w:before="0" w:after="0"/>
        <w:ind w:left="0" w:right="0" w:hanging="359"/>
        <w:jc w:val="left"/>
        <w:rPr/>
      </w:pPr>
      <w:r>
        <w:rPr/>
      </w:r>
    </w:p>
    <w:p>
      <w:pPr>
        <w:pStyle w:val="TextBody"/>
        <w:bidi w:val="0"/>
        <w:spacing w:lineRule="auto" w:line="300" w:before="36" w:after="283"/>
        <w:ind w:left="0" w:right="0" w:hanging="360"/>
        <w:jc w:val="both"/>
        <w:rPr>
          <w:rFonts w:ascii="sans-serif" w:hAnsi="sans-serif"/>
          <w:b w:val="false"/>
          <w:color w:val="000000"/>
          <w:sz w:val="24"/>
        </w:rPr>
      </w:pPr>
      <w:r>
        <w:rPr>
          <w:rFonts w:ascii="sans-serif" w:hAnsi="sans-serif"/>
          <w:b w:val="false"/>
          <w:color w:val="000000"/>
          <w:sz w:val="24"/>
        </w:rPr>
        <w:t>a.The second sentence of Section 5.1(a) of the Agreement is hereby amended and restated in its entirety as follows (language struck through is hereby removed and only left in this Letter of Understanding to show the deletion):</w:t>
      </w:r>
    </w:p>
    <w:p>
      <w:pPr>
        <w:pStyle w:val="TextBody"/>
        <w:bidi w:val="0"/>
        <w:spacing w:before="22" w:after="283"/>
        <w:jc w:val="left"/>
        <w:rPr/>
      </w:pPr>
      <w:r>
        <w:rPr/>
      </w:r>
    </w:p>
    <w:p>
      <w:pPr>
        <w:pStyle w:val="TextBody"/>
        <w:bidi w:val="0"/>
        <w:spacing w:lineRule="auto" w:line="300" w:before="1" w:after="283"/>
        <w:jc w:val="both"/>
        <w:rPr/>
      </w:pPr>
      <w:r>
        <w:rPr>
          <w:color w:val="000000"/>
        </w:rPr>
        <w:t>“</w:t>
      </w:r>
      <w:r>
        <w:rPr>
          <w:rFonts w:ascii="sans-serif" w:hAnsi="sans-serif"/>
          <w:b w:val="false"/>
          <w:color w:val="000000"/>
          <w:sz w:val="24"/>
        </w:rPr>
        <w:t xml:space="preserve">Notwithstanding the foregoing, Lilly shall (i) Commercialize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after receipt of the relevant Regulatory Approval; (ii) Commercialize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in at least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after receipt of the relevant Regulatory Approval; (iii) </w:t>
      </w:r>
      <w:r>
        <w:rPr>
          <w:rFonts w:ascii="sans-serif" w:hAnsi="sans-serif"/>
          <w:b/>
          <w:color w:val="000000"/>
          <w:sz w:val="24"/>
        </w:rPr>
        <w:t>[RESERVED]</w:t>
      </w:r>
      <w:r>
        <w:rPr>
          <w:rFonts w:ascii="sans-serif" w:hAnsi="sans-serif"/>
          <w:b w:val="false"/>
          <w:strike/>
          <w:color w:val="000000"/>
          <w:sz w:val="24"/>
        </w:rPr>
        <w:t>maintain minimum combined</w:t>
      </w:r>
      <w:r>
        <w:rPr>
          <w:color w:val="000000"/>
        </w:rPr>
        <w:t xml:space="preserve"> </w:t>
      </w:r>
      <w:r>
        <w:rPr>
          <w:rFonts w:ascii="sans-serif" w:hAnsi="sans-serif"/>
          <w:b w:val="false"/>
          <w:strike/>
          <w:color w:val="000000"/>
          <w:sz w:val="24"/>
        </w:rPr>
        <w:t xml:space="preserve">Marketing and Sales Support (aggregated for all markets) per each </w:t>
      </w:r>
      <w:r>
        <w:rPr>
          <w:rFonts w:ascii="sans-serif" w:hAnsi="sans-serif"/>
          <w:b w:val="false"/>
          <w:color w:val="111111"/>
          <w:sz w:val="24"/>
        </w:rPr>
        <w:t>[***]</w:t>
      </w:r>
      <w:r>
        <w:rPr>
          <w:strike/>
          <w:color w:val="000000"/>
        </w:rPr>
        <w:t xml:space="preserve"> </w:t>
      </w:r>
      <w:r>
        <w:rPr>
          <w:rFonts w:ascii="sans-serif" w:hAnsi="sans-serif"/>
          <w:b w:val="false"/>
          <w:strike/>
          <w:color w:val="000000"/>
          <w:sz w:val="24"/>
        </w:rPr>
        <w:t>period following First Commercial Sale for such Licensed Product of the</w:t>
      </w:r>
      <w:r>
        <w:rPr>
          <w:color w:val="000000"/>
        </w:rPr>
        <w:t xml:space="preserve"> </w:t>
      </w:r>
      <w:r>
        <w:rPr>
          <w:rFonts w:ascii="sans-serif" w:hAnsi="sans-serif"/>
          <w:b w:val="false"/>
          <w:strike/>
          <w:color w:val="000000"/>
          <w:sz w:val="24"/>
        </w:rPr>
        <w:t xml:space="preserve">lesser of </w:t>
      </w:r>
      <w:r>
        <w:rPr>
          <w:rFonts w:ascii="sans-serif" w:hAnsi="sans-serif"/>
          <w:b w:val="false"/>
          <w:color w:val="111111"/>
          <w:sz w:val="24"/>
        </w:rPr>
        <w:t>[***]</w:t>
      </w:r>
      <w:r>
        <w:rPr>
          <w:strike/>
          <w:color w:val="000000"/>
        </w:rPr>
        <w:t xml:space="preserve"> </w:t>
      </w:r>
      <w:r>
        <w:rPr>
          <w:rFonts w:ascii="sans-serif" w:hAnsi="sans-serif"/>
          <w:b w:val="false"/>
          <w:strike/>
          <w:color w:val="000000"/>
          <w:sz w:val="24"/>
        </w:rPr>
        <w:t xml:space="preserve">or </w:t>
      </w:r>
      <w:r>
        <w:rPr>
          <w:rFonts w:ascii="sans-serif" w:hAnsi="sans-serif"/>
          <w:b w:val="false"/>
          <w:color w:val="111111"/>
          <w:sz w:val="24"/>
        </w:rPr>
        <w:t>[***]</w:t>
      </w:r>
      <w:r>
        <w:rPr>
          <w:strike/>
          <w:color w:val="000000"/>
        </w:rPr>
        <w:t xml:space="preserve"> </w:t>
      </w:r>
      <w:r>
        <w:rPr>
          <w:rFonts w:ascii="sans-serif" w:hAnsi="sans-serif"/>
          <w:b w:val="false"/>
          <w:strike/>
          <w:color w:val="000000"/>
          <w:sz w:val="24"/>
        </w:rPr>
        <w:t>of total sales of such Licensed Product in such Calendar</w:t>
      </w:r>
      <w:r>
        <w:rPr>
          <w:rFonts w:ascii="sans-serif" w:hAnsi="sans-serif"/>
          <w:b w:val="false"/>
          <w:color w:val="000000"/>
          <w:sz w:val="24"/>
        </w:rPr>
        <w:t xml:space="preserve">; and (iv) reach or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1" w:after="283"/>
        <w:jc w:val="both"/>
        <w:rPr/>
      </w:pPr>
      <w:r>
        <w:rPr>
          <w:rFonts w:ascii="sans-serif" w:hAnsi="sans-serif"/>
          <w:b w:val="false"/>
          <w:color w:val="000000"/>
          <w:sz w:val="24"/>
        </w:rPr>
        <w:t xml:space="preserve">contact, the top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of highest prescribing rheumatologists or other appropriate specialist in the United States and the Major EU Countries on average </w:t>
      </w:r>
      <w:r>
        <w:rPr>
          <w:rFonts w:ascii="sans-serif" w:hAnsi="sans-serif"/>
          <w:b w:val="false"/>
          <w:color w:val="111111"/>
          <w:sz w:val="24"/>
        </w:rPr>
        <w:t>[***]</w:t>
      </w:r>
      <w:r>
        <w:rPr>
          <w:color w:val="000000"/>
        </w:rPr>
        <w:t xml:space="preserve"> </w:t>
      </w:r>
      <w:r>
        <w:rPr>
          <w:rFonts w:ascii="sans-serif" w:hAnsi="sans-serif"/>
          <w:b w:val="false"/>
          <w:color w:val="000000"/>
          <w:sz w:val="24"/>
        </w:rPr>
        <w:t xml:space="preserve">times or more per Calendar Year, beginning in the second full Calendar Year following First Commercial Sale, </w:t>
      </w:r>
      <w:r>
        <w:rPr>
          <w:rFonts w:ascii="sans-serif" w:hAnsi="sans-serif"/>
          <w:b w:val="false"/>
          <w:color w:val="000000"/>
          <w:sz w:val="24"/>
          <w:u w:val="single"/>
        </w:rPr>
        <w:t>provided</w:t>
      </w:r>
      <w:r>
        <w:rPr>
          <w:color w:val="000000"/>
        </w:rPr>
        <w:t xml:space="preserve"> </w:t>
      </w:r>
      <w:r>
        <w:rPr>
          <w:rFonts w:ascii="sans-serif" w:hAnsi="sans-serif"/>
          <w:b w:val="false"/>
          <w:color w:val="000000"/>
          <w:sz w:val="24"/>
          <w:u w:val="single"/>
        </w:rPr>
        <w:t>that</w:t>
      </w:r>
      <w:r>
        <w:rPr>
          <w:color w:val="000000"/>
        </w:rPr>
        <w:t xml:space="preserve"> </w:t>
      </w:r>
      <w:r>
        <w:rPr>
          <w:rFonts w:ascii="sans-serif" w:hAnsi="sans-serif"/>
          <w:b w:val="false"/>
          <w:color w:val="000000"/>
          <w:sz w:val="24"/>
        </w:rPr>
        <w:t>there are no significant constraints on such Commercialization or contacts imposed by a Regulatory Authority in the respective jurisdictions.”</w:t>
      </w:r>
    </w:p>
    <w:p>
      <w:pPr>
        <w:pStyle w:val="TextBody"/>
        <w:bidi w:val="0"/>
        <w:spacing w:lineRule="auto" w:line="288" w:before="289" w:after="283"/>
        <w:ind w:left="0" w:right="0" w:hanging="359"/>
        <w:jc w:val="left"/>
        <w:rPr/>
      </w:pPr>
      <w:r>
        <w:rPr>
          <w:rFonts w:ascii="sans-serif" w:hAnsi="sans-serif"/>
          <w:b w:val="false"/>
          <w:color w:val="000000"/>
          <w:sz w:val="24"/>
        </w:rPr>
        <w:t>7)</w:t>
      </w:r>
      <w:r>
        <w:rPr>
          <w:rFonts w:ascii="sans-serif" w:hAnsi="sans-serif"/>
          <w:b/>
          <w:color w:val="000000"/>
          <w:sz w:val="24"/>
          <w:u w:val="single"/>
        </w:rPr>
        <w:t>No Conflict</w:t>
      </w:r>
      <w:r>
        <w:rPr>
          <w:rFonts w:ascii="sans-serif" w:hAnsi="sans-serif"/>
          <w:b w:val="false"/>
          <w:color w:val="000000"/>
          <w:sz w:val="24"/>
        </w:rPr>
        <w:t>.</w:t>
      </w:r>
    </w:p>
    <w:p>
      <w:pPr>
        <w:pStyle w:val="TextBody"/>
        <w:bidi w:val="0"/>
        <w:spacing w:lineRule="auto" w:line="288" w:before="292" w:after="283"/>
        <w:ind w:left="0" w:right="0" w:hanging="360"/>
        <w:jc w:val="left"/>
        <w:rPr>
          <w:rFonts w:ascii="sans-serif" w:hAnsi="sans-serif"/>
          <w:b w:val="false"/>
          <w:color w:val="000000"/>
          <w:sz w:val="24"/>
        </w:rPr>
      </w:pPr>
      <w:r>
        <w:rPr>
          <w:rFonts w:ascii="sans-serif" w:hAnsi="sans-serif"/>
          <w:b w:val="false"/>
          <w:color w:val="000000"/>
          <w:sz w:val="24"/>
        </w:rPr>
        <w:t>a.Each Party represents and warrants to the other Party that the execution and delivery of this Letter of Understanding and the performance of such Party’s obligations hereunder (i) do not conflict with or violate such Party’s corporate charter and bylaws or any requirement of applicable Laws and (ii) do not and shall not conflict with, violate or breach or constitute a default or require any consent under, any material oral or written contractual obligation of such Party.</w:t>
      </w:r>
    </w:p>
    <w:p>
      <w:pPr>
        <w:pStyle w:val="TextBody"/>
        <w:bidi w:val="0"/>
        <w:spacing w:lineRule="auto" w:line="288" w:before="292" w:after="283"/>
        <w:ind w:left="0" w:right="0" w:hanging="360"/>
        <w:jc w:val="both"/>
        <w:rPr>
          <w:rFonts w:ascii="sans-serif" w:hAnsi="sans-serif"/>
          <w:b w:val="false"/>
          <w:color w:val="000000"/>
          <w:sz w:val="24"/>
        </w:rPr>
      </w:pPr>
      <w:r>
        <w:rPr>
          <w:rFonts w:ascii="sans-serif" w:hAnsi="sans-serif"/>
          <w:b w:val="false"/>
          <w:color w:val="000000"/>
          <w:sz w:val="24"/>
        </w:rPr>
        <w:t>b.Incyte further represents and warrants that, as of the LOU Effective Date, neither it nor any of its Affiliates has granted to any Third Party any right, license, consent or privilege, in each case, that relate to any Licensed Compounds or Incyte IP with respect to Type 1 Diabetes Mellitus, or otherwise has undertaken any action, either directly or indirectly, that would conflict with the rights granted to Lilly or interfere with any obligations of Lilly set forth in the Agreement or this Letter of Understanding.</w:t>
      </w:r>
    </w:p>
    <w:p>
      <w:pPr>
        <w:pStyle w:val="TextBody"/>
        <w:bidi w:val="0"/>
        <w:spacing w:before="1" w:after="283"/>
        <w:jc w:val="left"/>
        <w:rPr/>
      </w:pPr>
      <w:r>
        <w:rPr/>
      </w:r>
    </w:p>
    <w:p>
      <w:pPr>
        <w:pStyle w:val="TextBody"/>
        <w:bidi w:val="0"/>
        <w:spacing w:lineRule="auto" w:line="288" w:before="39" w:after="283"/>
        <w:ind w:left="0" w:right="0" w:hanging="360"/>
        <w:jc w:val="both"/>
        <w:rPr>
          <w:rFonts w:ascii="sans-serif" w:hAnsi="sans-serif"/>
          <w:b w:val="false"/>
          <w:color w:val="000000"/>
          <w:sz w:val="24"/>
        </w:rPr>
      </w:pPr>
      <w:r>
        <w:rPr>
          <w:rFonts w:ascii="sans-serif" w:hAnsi="sans-serif"/>
          <w:b w:val="false"/>
          <w:color w:val="000000"/>
          <w:sz w:val="24"/>
        </w:rPr>
        <w:t>c.Each Party further agrees that it shall not during the term of the Agreement grant any right, license, consent or privilege to any Third Party or otherwise undertake any action, either directly or indirectly, that would conflict with the rights granted to the other Party or interfere with any obligations of such Party set forth in the Agreement or this Letter of Understanding.</w:t>
      </w:r>
    </w:p>
    <w:p>
      <w:pPr>
        <w:pStyle w:val="TextBody"/>
        <w:bidi w:val="0"/>
        <w:spacing w:lineRule="auto" w:line="288" w:before="293" w:after="283"/>
        <w:ind w:left="0" w:right="0" w:hanging="360"/>
        <w:jc w:val="both"/>
        <w:rPr/>
      </w:pPr>
      <w:r>
        <w:rPr>
          <w:rFonts w:ascii="sans-serif" w:hAnsi="sans-serif"/>
          <w:b w:val="false"/>
          <w:color w:val="000000"/>
          <w:sz w:val="24"/>
        </w:rPr>
        <w:t>8)</w:t>
      </w:r>
      <w:r>
        <w:rPr>
          <w:rFonts w:ascii="sans-serif" w:hAnsi="sans-serif"/>
          <w:b/>
          <w:color w:val="000000"/>
          <w:sz w:val="24"/>
          <w:u w:val="single"/>
        </w:rPr>
        <w:t>No Waiver</w:t>
      </w:r>
      <w:r>
        <w:rPr>
          <w:rFonts w:ascii="sans-serif" w:hAnsi="sans-serif"/>
          <w:b w:val="false"/>
          <w:color w:val="000000"/>
          <w:sz w:val="24"/>
        </w:rPr>
        <w:t>. Except as expressly set forth herein, nothing herein shall be deemed to be a waiver by either Party of any of its rights under the Agreement.</w:t>
      </w:r>
    </w:p>
    <w:p>
      <w:pPr>
        <w:pStyle w:val="TextBody"/>
        <w:bidi w:val="0"/>
        <w:spacing w:lineRule="auto" w:line="288" w:before="292" w:after="283"/>
        <w:ind w:left="0" w:right="0" w:hanging="360"/>
        <w:jc w:val="both"/>
        <w:rPr/>
      </w:pPr>
      <w:r>
        <w:rPr>
          <w:rFonts w:ascii="sans-serif" w:hAnsi="sans-serif"/>
          <w:b w:val="false"/>
          <w:color w:val="000000"/>
          <w:sz w:val="24"/>
        </w:rPr>
        <w:t>9)</w:t>
      </w:r>
      <w:r>
        <w:rPr>
          <w:rFonts w:ascii="sans-serif" w:hAnsi="sans-serif"/>
          <w:b/>
          <w:color w:val="000000"/>
          <w:sz w:val="24"/>
          <w:u w:val="single"/>
        </w:rPr>
        <w:t>Construction</w:t>
      </w:r>
      <w:r>
        <w:rPr>
          <w:rFonts w:ascii="sans-serif" w:hAnsi="sans-serif"/>
          <w:b w:val="false"/>
          <w:color w:val="000000"/>
          <w:sz w:val="24"/>
        </w:rPr>
        <w:t xml:space="preserve">. For purposes of the Agreement, including this Letter of Understanding, (a) the term “non-creditable” means, with respect to each Party, that such Party shall not have the right to credit any payments that are due and payable or have been previously paid to the other Party under the Agreement, including under this Letter of Understanding, against subsequent payments of another type that are owed or payable by such Party to the other Party and (b) the term “non-refundable” shall not preclude a Party from recovering amounts overpaid or erroneously paid to the other Party. Further, any construction of a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92" w:after="283"/>
        <w:jc w:val="both"/>
        <w:rPr>
          <w:rFonts w:ascii="sans-serif" w:hAnsi="sans-serif"/>
          <w:b w:val="false"/>
          <w:color w:val="000000"/>
          <w:sz w:val="24"/>
        </w:rPr>
      </w:pPr>
      <w:r>
        <w:rPr>
          <w:rFonts w:ascii="sans-serif" w:hAnsi="sans-serif"/>
          <w:b w:val="false"/>
          <w:color w:val="000000"/>
          <w:sz w:val="24"/>
        </w:rPr>
        <w:t>payment as “non-refundable” or “non-creditable” shall not prohibit, limit or restrict a Party’s right to indemnification under the Agreement, including under this Letter of Understanding, or to otherwise obtain or recover damages or other remedies from the other Party, including with respect to amounts paid to such other Party, whether as a result of rescission of this Agreement, as restitution or otherwise.</w:t>
      </w:r>
    </w:p>
    <w:p>
      <w:pPr>
        <w:pStyle w:val="TextBody"/>
        <w:bidi w:val="0"/>
        <w:spacing w:before="24" w:after="283"/>
        <w:jc w:val="left"/>
        <w:rPr/>
      </w:pPr>
      <w:r>
        <w:rPr/>
      </w:r>
    </w:p>
    <w:p>
      <w:pPr>
        <w:pStyle w:val="TextBody"/>
        <w:bidi w:val="0"/>
        <w:spacing w:lineRule="auto" w:line="300" w:before="0" w:after="0"/>
        <w:ind w:left="0" w:right="0" w:hanging="360"/>
        <w:jc w:val="both"/>
        <w:rPr/>
      </w:pPr>
      <w:r>
        <w:rPr>
          <w:rFonts w:ascii="sans-serif" w:hAnsi="sans-serif"/>
          <w:b w:val="false"/>
          <w:color w:val="000000"/>
          <w:sz w:val="24"/>
        </w:rPr>
        <w:t>10)</w:t>
      </w:r>
      <w:r>
        <w:rPr>
          <w:rFonts w:ascii="sans-serif" w:hAnsi="sans-serif"/>
          <w:b/>
          <w:color w:val="000000"/>
          <w:sz w:val="24"/>
          <w:u w:val="single"/>
        </w:rPr>
        <w:t>Other terms and conditions</w:t>
      </w:r>
      <w:r>
        <w:rPr>
          <w:rFonts w:ascii="sans-serif" w:hAnsi="sans-serif"/>
          <w:b w:val="false"/>
          <w:color w:val="000000"/>
          <w:sz w:val="24"/>
        </w:rPr>
        <w:t>. All other terms and conditions of the Agreement shall remain in full force and effect.</w:t>
      </w:r>
    </w:p>
    <w:p>
      <w:pPr>
        <w:pStyle w:val="TextBody"/>
        <w:bidi w:val="0"/>
        <w:spacing w:before="1" w:after="283"/>
        <w:jc w:val="left"/>
        <w:rPr/>
      </w:pPr>
      <w:r>
        <w:rPr/>
      </w:r>
    </w:p>
    <w:p>
      <w:pPr>
        <w:pStyle w:val="TextBody"/>
        <w:bidi w:val="0"/>
        <w:spacing w:lineRule="auto" w:line="300" w:before="0" w:after="0"/>
        <w:ind w:left="0" w:right="0" w:hanging="360"/>
        <w:jc w:val="both"/>
        <w:rPr/>
      </w:pPr>
      <w:r>
        <w:rPr>
          <w:rFonts w:ascii="sans-serif" w:hAnsi="sans-serif"/>
          <w:b w:val="false"/>
          <w:color w:val="000000"/>
          <w:sz w:val="24"/>
        </w:rPr>
        <w:t>11)</w:t>
      </w:r>
      <w:r>
        <w:rPr>
          <w:rFonts w:ascii="sans-serif" w:hAnsi="sans-serif"/>
          <w:b/>
          <w:color w:val="000000"/>
          <w:sz w:val="24"/>
          <w:u w:val="single"/>
        </w:rPr>
        <w:t>Dispute Resolution</w:t>
      </w:r>
      <w:r>
        <w:rPr>
          <w:rFonts w:ascii="sans-serif" w:hAnsi="sans-serif"/>
          <w:b w:val="false"/>
          <w:color w:val="000000"/>
          <w:sz w:val="24"/>
        </w:rPr>
        <w:t>. Any disputes regarding this Letter of Understanding shall be resolved in accordance with the provisions of Article XII of the Agreement. For clarity, the last sentence of Section 7.4, Section 7.7, Section 13.1, Section 13.2 and Section 13.13 of the Agreement shall apply to this Letter of Understanding.</w:t>
      </w:r>
    </w:p>
    <w:p>
      <w:pPr>
        <w:pStyle w:val="TextBody"/>
        <w:bidi w:val="0"/>
        <w:spacing w:before="157" w:after="283"/>
        <w:jc w:val="left"/>
        <w:rPr/>
      </w:pPr>
      <w:r>
        <w:rPr/>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[remainder of page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8" w:before="67" w:after="283"/>
        <w:jc w:val="left"/>
        <w:rPr>
          <w:rFonts w:ascii="sans-serif" w:hAnsi="sans-serif"/>
          <w:b w:val="false"/>
          <w:color w:val="111111"/>
          <w:sz w:val="24"/>
        </w:rPr>
      </w:pPr>
      <w:r>
        <w:rPr>
          <w:rFonts w:ascii="sans-serif" w:hAnsi="sans-serif"/>
          <w:b w:val="false"/>
          <w:color w:val="111111"/>
          <w:sz w:val="24"/>
        </w:rPr>
        <w:t>IN WITNESS WHEREOF, the Parties by their respective authorized representatives have executed this Letter of the Understanding, and it is therefore effective, as of the date of last signature below.</w:t>
      </w:r>
    </w:p>
    <w:p>
      <w:pPr>
        <w:pStyle w:val="TextBody"/>
        <w:bidi w:val="0"/>
        <w:spacing w:before="58" w:after="283"/>
        <w:jc w:val="left"/>
        <w:rPr/>
      </w:pPr>
      <w:r>
        <w:rPr/>
      </w:r>
    </w:p>
    <w:p>
      <w:pPr>
        <w:pStyle w:val="TextBody"/>
        <w:bidi w:val="0"/>
        <w:spacing w:lineRule="auto" w:line="288" w:before="0" w:after="0"/>
        <w:jc w:val="left"/>
        <w:rPr>
          <w:rFonts w:ascii="sans-serif" w:hAnsi="sans-serif"/>
          <w:b w:val="false"/>
          <w:color w:val="111111"/>
          <w:sz w:val="24"/>
        </w:rPr>
      </w:pPr>
      <w:r>
        <w:rPr>
          <w:rFonts w:ascii="sans-serif" w:hAnsi="sans-serif"/>
          <w:b w:val="false"/>
          <w:color w:val="111111"/>
          <w:sz w:val="24"/>
        </w:rPr>
        <w:t>Sincerely,</w:t>
      </w:r>
    </w:p>
    <w:p>
      <w:pPr>
        <w:pStyle w:val="TextBody"/>
        <w:bidi w:val="0"/>
        <w:spacing w:lineRule="auto" w:line="288" w:before="44" w:after="283"/>
        <w:jc w:val="left"/>
        <w:rPr>
          <w:rFonts w:ascii="sans-serif" w:hAnsi="sans-serif"/>
          <w:b/>
          <w:color w:val="111111"/>
          <w:sz w:val="24"/>
        </w:rPr>
      </w:pPr>
      <w:r>
        <w:rPr>
          <w:rFonts w:ascii="sans-serif" w:hAnsi="sans-serif"/>
          <w:b/>
          <w:color w:val="111111"/>
          <w:sz w:val="24"/>
        </w:rPr>
        <w:t>INCYTE CORPORATION</w:t>
      </w:r>
    </w:p>
    <w:p>
      <w:pPr>
        <w:pStyle w:val="TextBody"/>
        <w:bidi w:val="0"/>
        <w:spacing w:before="128" w:after="283"/>
        <w:jc w:val="left"/>
        <w:rPr/>
      </w:pPr>
      <w:r>
        <w:rPr/>
      </w:r>
    </w:p>
    <w:p>
      <w:pPr>
        <w:pStyle w:val="TextBody"/>
        <w:bidi w:val="0"/>
        <w:spacing w:lineRule="auto" w:line="288" w:before="128" w:after="283"/>
        <w:jc w:val="left"/>
        <w:rPr>
          <w:rFonts w:ascii="sans-serif" w:hAnsi="sans-serif"/>
          <w:b w:val="false"/>
          <w:color w:val="000000"/>
          <w:sz w:val="24"/>
          <w:u w:val="single"/>
        </w:rPr>
      </w:pPr>
      <w:r>
        <w:rPr>
          <w:rFonts w:ascii="sans-serif" w:hAnsi="sans-serif"/>
          <w:b w:val="false"/>
          <w:color w:val="000000"/>
          <w:sz w:val="24"/>
          <w:u w:val="single"/>
        </w:rPr>
        <w:t>/s/ Dave Gardner            </w:t>
      </w:r>
    </w:p>
    <w:p>
      <w:pPr>
        <w:pStyle w:val="TextBody"/>
        <w:bidi w:val="0"/>
        <w:spacing w:lineRule="auto" w:line="288" w:before="65" w:after="283"/>
        <w:jc w:val="left"/>
        <w:rPr>
          <w:rFonts w:ascii="sans-serif" w:hAnsi="sans-serif"/>
          <w:b w:val="false"/>
          <w:color w:val="111111"/>
          <w:sz w:val="24"/>
        </w:rPr>
      </w:pPr>
      <w:r>
        <w:rPr>
          <w:rFonts w:ascii="sans-serif" w:hAnsi="sans-serif"/>
          <w:b w:val="false"/>
          <w:color w:val="111111"/>
          <w:sz w:val="24"/>
        </w:rPr>
        <w:t>By: Dave Gardner</w:t>
      </w:r>
    </w:p>
    <w:p>
      <w:pPr>
        <w:pStyle w:val="TextBody"/>
        <w:bidi w:val="0"/>
        <w:spacing w:lineRule="auto" w:line="331" w:before="44" w:after="283"/>
        <w:jc w:val="left"/>
        <w:rPr>
          <w:rFonts w:ascii="sans-serif" w:hAnsi="sans-serif"/>
          <w:b w:val="false"/>
          <w:color w:val="111111"/>
          <w:sz w:val="24"/>
        </w:rPr>
      </w:pPr>
      <w:r>
        <w:rPr>
          <w:rFonts w:ascii="sans-serif" w:hAnsi="sans-serif"/>
          <w:b w:val="false"/>
          <w:color w:val="111111"/>
          <w:sz w:val="24"/>
        </w:rPr>
        <w:t xml:space="preserve">Title: Executive Vice President, Chief Strategy Officer </w:t>
      </w:r>
    </w:p>
    <w:p>
      <w:pPr>
        <w:pStyle w:val="TextBody"/>
        <w:bidi w:val="0"/>
        <w:spacing w:lineRule="auto" w:line="331" w:before="44" w:after="283"/>
        <w:jc w:val="left"/>
        <w:rPr>
          <w:rFonts w:ascii="sans-serif" w:hAnsi="sans-serif"/>
          <w:b w:val="false"/>
          <w:color w:val="111111"/>
          <w:sz w:val="24"/>
        </w:rPr>
      </w:pPr>
      <w:r>
        <w:rPr>
          <w:rFonts w:ascii="sans-serif" w:hAnsi="sans-serif"/>
          <w:b w:val="false"/>
          <w:color w:val="111111"/>
          <w:sz w:val="24"/>
        </w:rPr>
        <w:t>Date: 10/24/25</w:t>
      </w:r>
    </w:p>
    <w:p>
      <w:pPr>
        <w:pStyle w:val="TextBody"/>
        <w:bidi w:val="0"/>
        <w:spacing w:lineRule="auto" w:line="288" w:before="143" w:after="283"/>
        <w:jc w:val="left"/>
        <w:rPr>
          <w:rFonts w:ascii="sans-serif" w:hAnsi="sans-serif"/>
          <w:b w:val="false"/>
          <w:color w:val="111111"/>
          <w:sz w:val="24"/>
        </w:rPr>
      </w:pPr>
      <w:r>
        <w:rPr>
          <w:rFonts w:ascii="sans-serif" w:hAnsi="sans-serif"/>
          <w:b w:val="false"/>
          <w:color w:val="111111"/>
          <w:sz w:val="24"/>
        </w:rPr>
        <w:t>Acknowledged and Agreed:</w:t>
      </w:r>
    </w:p>
    <w:p>
      <w:pPr>
        <w:pStyle w:val="TextBody"/>
        <w:bidi w:val="0"/>
        <w:spacing w:lineRule="auto" w:line="288" w:before="49" w:after="283"/>
        <w:jc w:val="left"/>
        <w:rPr>
          <w:rFonts w:ascii="sans-serif" w:hAnsi="sans-serif"/>
          <w:b/>
          <w:color w:val="111111"/>
          <w:sz w:val="24"/>
        </w:rPr>
      </w:pPr>
      <w:r>
        <w:rPr>
          <w:rFonts w:ascii="sans-serif" w:hAnsi="sans-serif"/>
          <w:b/>
          <w:color w:val="111111"/>
          <w:sz w:val="24"/>
        </w:rPr>
        <w:t>ELI LILLY AND COMPANY</w:t>
      </w:r>
    </w:p>
    <w:p>
      <w:pPr>
        <w:pStyle w:val="TextBody"/>
        <w:bidi w:val="0"/>
        <w:spacing w:before="0" w:after="0"/>
        <w:jc w:val="left"/>
        <w:rPr/>
      </w:pPr>
      <w:r>
        <w:rPr/>
      </w:r>
    </w:p>
    <w:p>
      <w:pPr>
        <w:pStyle w:val="TextBody"/>
        <w:bidi w:val="0"/>
        <w:spacing w:lineRule="auto" w:line="288" w:before="199" w:after="283"/>
        <w:jc w:val="left"/>
        <w:rPr>
          <w:rFonts w:ascii="sans-serif" w:hAnsi="sans-serif"/>
          <w:b w:val="false"/>
          <w:color w:val="000000"/>
          <w:sz w:val="24"/>
          <w:u w:val="single"/>
        </w:rPr>
      </w:pPr>
      <w:r>
        <w:rPr>
          <w:rFonts w:ascii="sans-serif" w:hAnsi="sans-serif"/>
          <w:b w:val="false"/>
          <w:color w:val="000000"/>
          <w:sz w:val="24"/>
          <w:u w:val="single"/>
        </w:rPr>
        <w:t>/s/ Dave Ricks                </w:t>
      </w:r>
    </w:p>
    <w:p>
      <w:pPr>
        <w:pStyle w:val="TextBody"/>
        <w:bidi w:val="0"/>
        <w:spacing w:lineRule="auto" w:line="288" w:before="1" w:after="283"/>
        <w:jc w:val="left"/>
        <w:rPr>
          <w:rFonts w:ascii="sans-serif" w:hAnsi="sans-serif"/>
          <w:b w:val="false"/>
          <w:color w:val="111111"/>
          <w:sz w:val="24"/>
        </w:rPr>
      </w:pPr>
      <w:r>
        <w:rPr>
          <w:rFonts w:ascii="sans-serif" w:hAnsi="sans-serif"/>
          <w:b w:val="false"/>
          <w:color w:val="111111"/>
          <w:sz w:val="24"/>
        </w:rPr>
        <w:t>By: Dave Ricks</w:t>
      </w:r>
    </w:p>
    <w:p>
      <w:pPr>
        <w:pStyle w:val="TextBody"/>
        <w:bidi w:val="0"/>
        <w:spacing w:lineRule="auto" w:line="343" w:before="44" w:after="283"/>
        <w:jc w:val="left"/>
        <w:rPr>
          <w:rFonts w:ascii="sans-serif" w:hAnsi="sans-serif"/>
          <w:b w:val="false"/>
          <w:color w:val="111111"/>
          <w:sz w:val="24"/>
        </w:rPr>
      </w:pPr>
      <w:r>
        <w:rPr>
          <w:rFonts w:ascii="sans-serif" w:hAnsi="sans-serif"/>
          <w:b w:val="false"/>
          <w:color w:val="111111"/>
          <w:sz w:val="24"/>
        </w:rPr>
        <w:t xml:space="preserve">Title: Chair and Chief Executive Officer </w:t>
      </w:r>
    </w:p>
    <w:p>
      <w:pPr>
        <w:pStyle w:val="TextBody"/>
        <w:bidi w:val="0"/>
        <w:spacing w:lineRule="auto" w:line="343" w:before="44" w:after="283"/>
        <w:jc w:val="left"/>
        <w:rPr>
          <w:rFonts w:ascii="sans-serif" w:hAnsi="sans-serif"/>
          <w:b w:val="false"/>
          <w:color w:val="111111"/>
          <w:sz w:val="24"/>
        </w:rPr>
      </w:pPr>
      <w:r>
        <w:rPr>
          <w:rFonts w:ascii="sans-serif" w:hAnsi="sans-serif"/>
          <w:b w:val="false"/>
          <w:color w:val="111111"/>
          <w:sz w:val="24"/>
        </w:rPr>
        <w:t>Date: 10/27/25</w:t>
      </w:r>
    </w:p>
    <w:p>
      <w:pPr>
        <w:pStyle w:val="TextBody"/>
        <w:bidi w:val="0"/>
        <w:spacing w:before="0" w:after="0"/>
        <w:ind w:left="0" w:right="0" w:hanging="540"/>
        <w:jc w:val="left"/>
        <w:rPr/>
      </w:pPr>
      <w:r>
        <w:rPr/>
      </w:r>
    </w:p>
    <w:p>
      <w:pPr>
        <w:pStyle w:val="TextBody"/>
        <w:bidi w:val="0"/>
        <w:spacing w:lineRule="auto" w:line="338" w:before="0" w:after="0"/>
        <w:ind w:left="0" w:right="0" w:hanging="540"/>
        <w:jc w:val="left"/>
        <w:rPr>
          <w:rFonts w:ascii="sans-serif" w:hAnsi="sans-serif"/>
          <w:b w:val="false"/>
          <w:color w:val="111111"/>
          <w:sz w:val="24"/>
        </w:rPr>
      </w:pPr>
      <w:r>
        <w:rPr>
          <w:rFonts w:ascii="sans-serif" w:hAnsi="sans-serif"/>
          <w:b w:val="false"/>
          <w:color w:val="111111"/>
          <w:sz w:val="24"/>
        </w:rPr>
        <w:t>cc:    Eli Lilly and Company</w:t>
      </w:r>
    </w:p>
    <w:p>
      <w:pPr>
        <w:pStyle w:val="TextBody"/>
        <w:bidi w:val="0"/>
        <w:spacing w:lineRule="auto" w:line="338" w:before="0" w:after="0"/>
        <w:jc w:val="left"/>
        <w:rPr>
          <w:rFonts w:ascii="sans-serif" w:hAnsi="sans-serif"/>
          <w:b w:val="false"/>
          <w:color w:val="111111"/>
          <w:sz w:val="24"/>
        </w:rPr>
      </w:pPr>
      <w:r>
        <w:rPr>
          <w:rFonts w:ascii="sans-serif" w:hAnsi="sans-serif"/>
          <w:b w:val="false"/>
          <w:color w:val="111111"/>
          <w:sz w:val="24"/>
        </w:rPr>
        <w:t>Lilly Corporate Center</w:t>
      </w:r>
    </w:p>
    <w:p>
      <w:pPr>
        <w:pStyle w:val="TextBody"/>
        <w:bidi w:val="0"/>
        <w:spacing w:lineRule="auto" w:line="338" w:before="0" w:after="0"/>
        <w:jc w:val="left"/>
        <w:rPr>
          <w:rFonts w:ascii="sans-serif" w:hAnsi="sans-serif"/>
          <w:b w:val="false"/>
          <w:color w:val="111111"/>
          <w:sz w:val="24"/>
        </w:rPr>
      </w:pPr>
      <w:r>
        <w:rPr>
          <w:rFonts w:ascii="sans-serif" w:hAnsi="sans-serif"/>
          <w:b w:val="false"/>
          <w:color w:val="111111"/>
          <w:sz w:val="24"/>
        </w:rPr>
        <w:t>Indianapolis, IN 46285</w:t>
      </w:r>
    </w:p>
    <w:p>
      <w:pPr>
        <w:pStyle w:val="TextBody"/>
        <w:bidi w:val="0"/>
        <w:spacing w:lineRule="auto" w:line="343" w:before="0" w:after="0"/>
        <w:jc w:val="left"/>
        <w:rPr>
          <w:rFonts w:ascii="sans-serif" w:hAnsi="sans-serif"/>
          <w:b w:val="false"/>
          <w:color w:val="111111"/>
          <w:sz w:val="24"/>
        </w:rPr>
      </w:pPr>
      <w:r>
        <w:rPr>
          <w:rFonts w:ascii="sans-serif" w:hAnsi="sans-serif"/>
          <w:b w:val="false"/>
          <w:color w:val="111111"/>
          <w:sz w:val="24"/>
        </w:rPr>
        <w:t>Attention: Vice President and President, Established Markets Attention: General Patent Counsel</w:t>
      </w:r>
    </w:p>
    <w:p>
      <w:pPr>
        <w:pStyle w:val="TextBody"/>
        <w:bidi w:val="0"/>
        <w:spacing w:lineRule="atLeast" w:line="227"/>
        <w:jc w:val="left"/>
        <w:rPr>
          <w:rFonts w:ascii="sans-serif" w:hAnsi="sans-serif"/>
          <w:b w:val="false"/>
          <w:color w:val="111111"/>
          <w:sz w:val="23"/>
        </w:rPr>
      </w:pPr>
      <w:r>
        <w:rPr>
          <w:rFonts w:ascii="sans-serif" w:hAnsi="sans-serif"/>
          <w:b w:val="false"/>
          <w:color w:val="111111"/>
          <w:sz w:val="23"/>
        </w:rPr>
        <w:t>Facsimile No.: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10.25</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7800"/>
                <wp:effectExtent l="0" t="0" r="0" b="0"/>
                <wp:wrapNone/>
                <wp:docPr id="134" name="Frame13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i/>
                                <w:color w:val="111111"/>
                                <w:sz w:val="24"/>
                              </w:rPr>
                            </w:pPr>
                            <w:r>
                              <w:rPr>
                                <w:rFonts w:ascii="sans-serif" w:hAnsi="sans-serif"/>
                                <w:b w:val="false"/>
                                <w:i/>
                                <w:color w:val="111111"/>
                                <w:sz w:val="24"/>
                              </w:rPr>
                              <w:t>[Signature Page to Letter of Understanding]</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sans-serif" w:hAnsi="sans-serif"/>
                          <w:b w:val="false"/>
                          <w:i/>
                          <w:color w:val="111111"/>
                          <w:sz w:val="24"/>
                        </w:rPr>
                      </w:pPr>
                      <w:r>
                        <w:rPr>
                          <w:rFonts w:ascii="sans-serif" w:hAnsi="sans-serif"/>
                          <w:b w:val="false"/>
                          <w:i/>
                          <w:color w:val="111111"/>
                          <w:sz w:val="24"/>
                        </w:rPr>
                        <w:t>[Signature Page to Letter of Understanding]</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REGISTRATION RIGHTS AGREEMENT</w:t>
      </w:r>
    </w:p>
    <w:p>
      <w:pPr>
        <w:pStyle w:val="TextBody"/>
        <w:bidi w:val="0"/>
        <w:spacing w:lineRule="auto" w:line="288" w:before="240" w:after="283"/>
        <w:jc w:val="both"/>
        <w:rPr/>
      </w:pPr>
      <w:r>
        <w:rPr>
          <w:rFonts w:ascii="Times New Roman;serif" w:hAnsi="Times New Roman;serif"/>
          <w:b w:val="false"/>
          <w:color w:val="000000"/>
          <w:sz w:val="24"/>
        </w:rPr>
        <w:t>This Registration Rights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February 6, 2026 by and between Incyte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the persons listed on the attached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who are signatories to this Agreement (each, an “</w:t>
      </w:r>
      <w:r>
        <w:rPr>
          <w:rFonts w:ascii="Times New Roman;serif" w:hAnsi="Times New Roman;serif"/>
          <w:b w:val="false"/>
          <w:color w:val="000000"/>
          <w:sz w:val="24"/>
          <w:u w:val="single"/>
        </w:rPr>
        <w:t>Investor</w:t>
      </w:r>
      <w:r>
        <w:rPr>
          <w:color w:val="000000"/>
        </w:rPr>
        <w:t>”</w:t>
      </w:r>
      <w:r>
        <w:rPr>
          <w:rFonts w:ascii="Times New Roman;serif" w:hAnsi="Times New Roman;serif"/>
          <w:b w:val="false"/>
          <w:color w:val="000000"/>
          <w:sz w:val="24"/>
        </w:rPr>
        <w:t>, and collectively, the “</w:t>
      </w:r>
      <w:r>
        <w:rPr>
          <w:rFonts w:ascii="Times New Roman;serif" w:hAnsi="Times New Roman;serif"/>
          <w:b w:val="false"/>
          <w:color w:val="000000"/>
          <w:sz w:val="24"/>
          <w:u w:val="single"/>
        </w:rPr>
        <w:t>Investors</w:t>
      </w:r>
      <w:r>
        <w:rPr>
          <w:color w:val="000000"/>
        </w:rPr>
        <w:t>”</w:t>
      </w:r>
      <w:r>
        <w:rPr>
          <w:rFonts w:ascii="Times New Roman;serif" w:hAnsi="Times New Roman;serif"/>
          <w:b w:val="false"/>
          <w:color w:val="000000"/>
          <w:sz w:val="24"/>
        </w:rPr>
        <w:t xml:space="preserve">). Unless otherwise defined herein, capitalized terms used in this Agreement have the respective meanings ascribed to them in </w:t>
      </w:r>
      <w:r>
        <w:rPr>
          <w:rFonts w:ascii="Times New Roman;serif" w:hAnsi="Times New Roman;serif"/>
          <w:b w:val="false"/>
          <w:color w:val="000000"/>
          <w:sz w:val="24"/>
          <w:u w:val="single"/>
        </w:rPr>
        <w:t>Section 1</w:t>
      </w:r>
      <w:r>
        <w:rPr>
          <w:rFonts w:ascii="Times New Roman;serif" w:hAnsi="Times New Roman;serif"/>
          <w:b w:val="false"/>
          <w:color w:val="000000"/>
          <w:sz w:val="24"/>
        </w:rPr>
        <w: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240" w:after="283"/>
        <w:jc w:val="both"/>
        <w:rPr/>
      </w:pPr>
      <w:r>
        <w:rPr>
          <w:rFonts w:ascii="Times New Roman;serif" w:hAnsi="Times New Roman;serif"/>
          <w:b/>
          <w:color w:val="000000"/>
          <w:sz w:val="24"/>
        </w:rPr>
        <w:t>WHEREAS</w:t>
      </w:r>
      <w:r>
        <w:rPr>
          <w:rFonts w:ascii="Times New Roman;serif" w:hAnsi="Times New Roman;serif"/>
          <w:b w:val="false"/>
          <w:color w:val="000000"/>
          <w:sz w:val="24"/>
        </w:rPr>
        <w:t>, the Company and the Investors wish to provide for certain arrangements with respect to the registration of the Registrable Securities (as defined below) by the Company under the Securities Act (as defined below).</w:t>
      </w:r>
    </w:p>
    <w:p>
      <w:pPr>
        <w:pStyle w:val="TextBody"/>
        <w:bidi w:val="0"/>
        <w:spacing w:lineRule="auto" w:line="288" w:before="240" w:after="283"/>
        <w:jc w:val="both"/>
        <w:rPr/>
      </w:pPr>
      <w:r>
        <w:rPr>
          <w:rFonts w:ascii="Times New Roman;serif" w:hAnsi="Times New Roman;serif"/>
          <w:b/>
          <w:color w:val="000000"/>
          <w:sz w:val="24"/>
        </w:rPr>
        <w:t>NOW, THEREFORE,</w:t>
      </w:r>
      <w:r>
        <w:rPr>
          <w:color w:val="000000"/>
        </w:rPr>
        <w:t xml:space="preserve"> </w:t>
      </w:r>
      <w:r>
        <w:rPr>
          <w:rFonts w:ascii="Times New Roman;serif" w:hAnsi="Times New Roman;serif"/>
          <w:b w:val="false"/>
          <w:color w:val="000000"/>
          <w:sz w:val="24"/>
        </w:rPr>
        <w:t>in consideration of the mutual promises and covenants set forth herein, and other consideration, the receipt and adequacy of which are hereby acknowledged, the parties hereto agree as follows: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Section 1.</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lineRule="auto" w:line="240" w:before="0" w:after="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40" w:before="0" w:after="0"/>
        <w:jc w:val="both"/>
        <w:rPr/>
      </w:pPr>
      <w:r>
        <w:rPr>
          <w:rFonts w:ascii="Times New Roman;serif" w:hAnsi="Times New Roman;serif"/>
          <w:b w:val="false"/>
          <w:color w:val="010000"/>
          <w:sz w:val="24"/>
        </w:rPr>
        <w:t>1.1.</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In addition to the terms defined elsewhere in this Agreement, as used in this Agreement, the following terms have the respective meanings set forth below:</w:t>
      </w:r>
    </w:p>
    <w:p>
      <w:pPr>
        <w:pStyle w:val="TextBody"/>
        <w:bidi w:val="0"/>
        <w:spacing w:lineRule="auto" w:line="240" w:before="240" w:after="283"/>
        <w:jc w:val="both"/>
        <w:rPr/>
      </w:pPr>
      <w:r>
        <w:rPr>
          <w:rFonts w:ascii="Times New Roman;serif" w:hAnsi="Times New Roman;serif"/>
          <w:b w:val="false"/>
          <w:color w:val="010000"/>
          <w:sz w:val="24"/>
        </w:rPr>
        <w:t>(a)</w:t>
      </w:r>
      <w:r>
        <w:rPr>
          <w:color w:val="000000"/>
        </w:rPr>
        <w:t>“</w:t>
      </w:r>
      <w:r>
        <w:rPr>
          <w:rFonts w:ascii="Times New Roman;serif" w:hAnsi="Times New Roman;serif"/>
          <w:b w:val="false"/>
          <w:color w:val="000000"/>
          <w:sz w:val="24"/>
          <w:u w:val="single"/>
        </w:rPr>
        <w:t>Block Trade</w:t>
      </w:r>
      <w:r>
        <w:rPr>
          <w:color w:val="000000"/>
        </w:rPr>
        <w:t xml:space="preserve">” </w:t>
      </w:r>
      <w:r>
        <w:rPr>
          <w:rFonts w:ascii="Times New Roman;serif" w:hAnsi="Times New Roman;serif"/>
          <w:b w:val="false"/>
          <w:color w:val="000000"/>
          <w:sz w:val="24"/>
        </w:rPr>
        <w:t>shall mean an offering of Registrable Securities which requires both the Investors and the Company to enter into a sale agreement and is limited in scope of selling efforts as compared to an Underwritten Offering.</w:t>
      </w:r>
    </w:p>
    <w:p>
      <w:pPr>
        <w:pStyle w:val="TextBody"/>
        <w:bidi w:val="0"/>
        <w:spacing w:lineRule="auto" w:line="240" w:before="240" w:after="283"/>
        <w:jc w:val="both"/>
        <w:rPr/>
      </w:pPr>
      <w:r>
        <w:rPr>
          <w:rFonts w:ascii="Times New Roman;serif" w:hAnsi="Times New Roman;serif"/>
          <w:b w:val="false"/>
          <w:color w:val="010000"/>
          <w:sz w:val="24"/>
        </w:rPr>
        <w:t>(b)</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shall mean the Board of Directors of the Company.</w:t>
      </w:r>
    </w:p>
    <w:p>
      <w:pPr>
        <w:pStyle w:val="TextBody"/>
        <w:bidi w:val="0"/>
        <w:spacing w:lineRule="auto" w:line="240" w:before="240" w:after="283"/>
        <w:jc w:val="both"/>
        <w:rPr/>
      </w:pPr>
      <w:r>
        <w:rPr>
          <w:rFonts w:ascii="Times New Roman;serif" w:hAnsi="Times New Roman;serif"/>
          <w:b w:val="false"/>
          <w:color w:val="010000"/>
          <w:sz w:val="24"/>
        </w:rPr>
        <w:t>(c)</w:t>
      </w:r>
      <w:r>
        <w:rPr>
          <w:color w:val="000000"/>
        </w:rPr>
        <w:t>“</w:t>
      </w:r>
      <w:r>
        <w:rPr>
          <w:rFonts w:ascii="Times New Roman;serif" w:hAnsi="Times New Roman;serif"/>
          <w:b w:val="false"/>
          <w:color w:val="000000"/>
          <w:sz w:val="24"/>
          <w:u w:val="single"/>
        </w:rPr>
        <w:t>Commission</w:t>
      </w:r>
      <w:r>
        <w:rPr>
          <w:color w:val="000000"/>
        </w:rPr>
        <w:t xml:space="preserve">” </w:t>
      </w:r>
      <w:r>
        <w:rPr>
          <w:rFonts w:ascii="Times New Roman;serif" w:hAnsi="Times New Roman;serif"/>
          <w:b w:val="false"/>
          <w:color w:val="000000"/>
          <w:sz w:val="24"/>
        </w:rPr>
        <w:t>shall mean the Securities and Exchange Commission or any other federal agency at the time administering the Securities Act.</w:t>
      </w:r>
    </w:p>
    <w:p>
      <w:pPr>
        <w:pStyle w:val="TextBody"/>
        <w:bidi w:val="0"/>
        <w:spacing w:lineRule="auto" w:line="240" w:before="240" w:after="283"/>
        <w:jc w:val="both"/>
        <w:rPr/>
      </w:pPr>
      <w:r>
        <w:rPr>
          <w:rFonts w:ascii="Times New Roman;serif" w:hAnsi="Times New Roman;serif"/>
          <w:b w:val="false"/>
          <w:color w:val="010000"/>
          <w:sz w:val="24"/>
        </w:rPr>
        <w:t>(d)</w:t>
      </w:r>
      <w:r>
        <w:rPr>
          <w:color w:val="000000"/>
        </w:rPr>
        <w:t>“</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shall mean the common stock of the Company, par value $0.001 per share.</w:t>
      </w:r>
    </w:p>
    <w:p>
      <w:pPr>
        <w:pStyle w:val="TextBody"/>
        <w:bidi w:val="0"/>
        <w:spacing w:lineRule="auto" w:line="240" w:before="240" w:after="283"/>
        <w:jc w:val="both"/>
        <w:rPr/>
      </w:pPr>
      <w:r>
        <w:rPr>
          <w:rFonts w:ascii="Times New Roman;serif" w:hAnsi="Times New Roman;serif"/>
          <w:b w:val="false"/>
          <w:color w:val="010000"/>
          <w:sz w:val="24"/>
        </w:rPr>
        <w:t>(e)</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shall mean the Securities Exchange Act of 1934, as amended, or any similar successor federal statute and the rules and regulations thereunder, all as the same shall be in effect from time to time.</w:t>
      </w:r>
    </w:p>
    <w:p>
      <w:pPr>
        <w:pStyle w:val="TextBody"/>
        <w:bidi w:val="0"/>
        <w:spacing w:lineRule="auto" w:line="240" w:before="240" w:after="283"/>
        <w:jc w:val="both"/>
        <w:rPr/>
      </w:pPr>
      <w:r>
        <w:rPr>
          <w:rFonts w:ascii="Times New Roman;serif" w:hAnsi="Times New Roman;serif"/>
          <w:b w:val="false"/>
          <w:color w:val="010000"/>
          <w:sz w:val="24"/>
        </w:rPr>
        <w:t>(f)</w:t>
      </w: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 xml:space="preserve">shall mean any federal, state, local or foreign government, or any department, agency, or instrumentality of any government; any public international organization, any transnational governmental organization; any court of competent jurisdiction, arbitral, administrative agency, commission, or other governmental regulatory authority or quasi-governmental authority, any political party; and any national securities exchange or national quotation system. </w:t>
      </w:r>
    </w:p>
    <w:p>
      <w:pPr>
        <w:pStyle w:val="TextBody"/>
        <w:bidi w:val="0"/>
        <w:spacing w:lineRule="auto" w:line="240" w:before="240" w:after="283"/>
        <w:jc w:val="both"/>
        <w:rPr/>
      </w:pPr>
      <w:r>
        <w:rPr>
          <w:rFonts w:ascii="Times New Roman;serif" w:hAnsi="Times New Roman;serif"/>
          <w:b w:val="false"/>
          <w:color w:val="010000"/>
          <w:sz w:val="24"/>
        </w:rPr>
        <w:t>(g)</w:t>
      </w:r>
      <w:r>
        <w:rPr>
          <w:color w:val="000000"/>
        </w:rPr>
        <w:t>“</w:t>
      </w:r>
      <w:r>
        <w:rPr>
          <w:rFonts w:ascii="Times New Roman;serif" w:hAnsi="Times New Roman;serif"/>
          <w:b w:val="false"/>
          <w:color w:val="000000"/>
          <w:sz w:val="24"/>
          <w:u w:val="single"/>
        </w:rPr>
        <w:t>Other Securities</w:t>
      </w:r>
      <w:r>
        <w:rPr>
          <w:color w:val="000000"/>
        </w:rPr>
        <w:t xml:space="preserve">” </w:t>
      </w:r>
      <w:r>
        <w:rPr>
          <w:rFonts w:ascii="Times New Roman;serif" w:hAnsi="Times New Roman;serif"/>
          <w:b w:val="false"/>
          <w:color w:val="000000"/>
          <w:sz w:val="24"/>
        </w:rPr>
        <w:t xml:space="preserve">shall mean securities of the Company, other than Registrable Securities (as defined below).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5"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10000"/>
          <w:sz w:val="24"/>
        </w:rPr>
        <w:t>(h)</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any individual, partnership, corporation, company, association, trust, joint venture, limited liability company, unincorporated organization, entity or division, or any government, governmental department or agency or political subdivision thereof.</w:t>
      </w:r>
    </w:p>
    <w:p>
      <w:pPr>
        <w:pStyle w:val="TextBody"/>
        <w:bidi w:val="0"/>
        <w:spacing w:lineRule="auto" w:line="240" w:before="240" w:after="283"/>
        <w:jc w:val="both"/>
        <w:rPr/>
      </w:pPr>
      <w:r>
        <w:rPr>
          <w:rFonts w:ascii="Times New Roman;serif" w:hAnsi="Times New Roman;serif"/>
          <w:b w:val="false"/>
          <w:color w:val="010000"/>
          <w:sz w:val="24"/>
        </w:rPr>
        <w:t>(i)</w:t>
      </w:r>
      <w:r>
        <w:rPr>
          <w:color w:val="000000"/>
        </w:rPr>
        <w:t>“</w:t>
      </w:r>
      <w:r>
        <w:rPr>
          <w:rFonts w:ascii="Times New Roman;serif" w:hAnsi="Times New Roman;serif"/>
          <w:b w:val="false"/>
          <w:color w:val="000000"/>
          <w:sz w:val="24"/>
          <w:u w:val="single"/>
        </w:rPr>
        <w:t>Registrable Securities</w:t>
      </w:r>
      <w:r>
        <w:rPr>
          <w:color w:val="000000"/>
        </w:rPr>
        <w:t xml:space="preserve">” </w:t>
      </w:r>
      <w:r>
        <w:rPr>
          <w:rFonts w:ascii="Times New Roman;serif" w:hAnsi="Times New Roman;serif"/>
          <w:b w:val="false"/>
          <w:color w:val="000000"/>
          <w:sz w:val="24"/>
        </w:rPr>
        <w:t>shall mean all securities of the Company (whether debt, equity, or otherwise) and any Common Stock issued or issuable upon the exercise or conversion of any such securities of the Company, in each case that is now owned or hereafter acquired by any of the Investors. Registrable Securities shall cease to be Registrable Securities upon the earliest to occur of the following events: (i) such Registrable Securities have been sold pursuant to an effective Registration Statement; (ii) such Registrable Securities have been sold by the Investors pursuant to Rule 144 (or other similar rule), (iii) at any time after any of the Investors become an affiliate of the Company, such Registrable Securities may be resold by the Investor holding such Registrable Securities without limitations as to volume or manner of sale pursuant to Rule 144; or (iv) ten (10) years after the date of this Agreement. For purposes of this definition, in order to determine whether an Investor is an “affiliate” (as such term is defined and used in Rule 144, and including for determining whether volume or manner of sale limitations of Rule 144 apply) the parties will assume that all convertible securities (whether equity, debt or otherwise) have been converted into Common Stock.</w:t>
      </w:r>
    </w:p>
    <w:p>
      <w:pPr>
        <w:pStyle w:val="TextBody"/>
        <w:bidi w:val="0"/>
        <w:spacing w:lineRule="auto" w:line="240" w:before="240" w:after="283"/>
        <w:jc w:val="both"/>
        <w:rPr/>
      </w:pPr>
      <w:r>
        <w:rPr>
          <w:rFonts w:ascii="Times New Roman;serif" w:hAnsi="Times New Roman;serif"/>
          <w:b w:val="false"/>
          <w:color w:val="010000"/>
          <w:sz w:val="24"/>
        </w:rPr>
        <w:t>(j)</w:t>
      </w:r>
      <w:r>
        <w:rPr>
          <w:rFonts w:ascii="Times New Roman;serif" w:hAnsi="Times New Roman;serif"/>
          <w:b w:val="false"/>
          <w:color w:val="000000"/>
          <w:sz w:val="24"/>
        </w:rPr>
        <w:t>The terms “</w:t>
      </w:r>
      <w:r>
        <w:rPr>
          <w:rFonts w:ascii="Times New Roman;serif" w:hAnsi="Times New Roman;serif"/>
          <w:b w:val="false"/>
          <w:color w:val="000000"/>
          <w:sz w:val="24"/>
          <w:u w:val="single"/>
        </w:rPr>
        <w:t>register</w:t>
      </w:r>
      <w:r>
        <w:rPr>
          <w:rFonts w:ascii="Times New Roman;serif" w:hAnsi="Times New Roman;serif"/>
          <w:b w:val="false"/>
          <w:color w:val="000000"/>
          <w:sz w:val="24"/>
        </w:rPr>
        <w:t>,” “</w:t>
      </w:r>
      <w:r>
        <w:rPr>
          <w:rFonts w:ascii="Times New Roman;serif" w:hAnsi="Times New Roman;serif"/>
          <w:b w:val="false"/>
          <w:color w:val="000000"/>
          <w:sz w:val="24"/>
          <w:u w:val="single"/>
        </w:rPr>
        <w:t>registered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registration</w:t>
      </w:r>
      <w:r>
        <w:rPr>
          <w:color w:val="000000"/>
        </w:rPr>
        <w:t xml:space="preserve">” </w:t>
      </w:r>
      <w:r>
        <w:rPr>
          <w:rFonts w:ascii="Times New Roman;serif" w:hAnsi="Times New Roman;serif"/>
          <w:b w:val="false"/>
          <w:color w:val="000000"/>
          <w:sz w:val="24"/>
        </w:rPr>
        <w:t>shall refer to a registration effected by preparing and filing a Registration Statement in compliance with the Securities Act, and such Registration Statement becoming effective under the Securities Act.</w:t>
      </w:r>
    </w:p>
    <w:p>
      <w:pPr>
        <w:pStyle w:val="TextBody"/>
        <w:bidi w:val="0"/>
        <w:spacing w:lineRule="auto" w:line="240" w:before="240" w:after="283"/>
        <w:jc w:val="both"/>
        <w:rPr/>
      </w:pPr>
      <w:r>
        <w:rPr>
          <w:rFonts w:ascii="Times New Roman;serif" w:hAnsi="Times New Roman;serif"/>
          <w:b w:val="false"/>
          <w:color w:val="010000"/>
          <w:sz w:val="24"/>
        </w:rPr>
        <w:t>(k)</w:t>
      </w:r>
      <w:r>
        <w:rPr>
          <w:color w:val="000000"/>
        </w:rPr>
        <w:t>“</w:t>
      </w:r>
      <w:r>
        <w:rPr>
          <w:rFonts w:ascii="Times New Roman;serif" w:hAnsi="Times New Roman;serif"/>
          <w:b w:val="false"/>
          <w:color w:val="000000"/>
          <w:sz w:val="24"/>
          <w:u w:val="single"/>
        </w:rPr>
        <w:t>Registration Expenses</w:t>
      </w:r>
      <w:r>
        <w:rPr>
          <w:color w:val="000000"/>
        </w:rPr>
        <w:t xml:space="preserve">” </w:t>
      </w:r>
      <w:r>
        <w:rPr>
          <w:rFonts w:ascii="Times New Roman;serif" w:hAnsi="Times New Roman;serif"/>
          <w:b w:val="false"/>
          <w:color w:val="000000"/>
          <w:sz w:val="24"/>
        </w:rPr>
        <w:t>shall mean all expenses incurred by the Company in effecting any registration pursuant to this Agreement, including, without limitation, all registration, qualification, and filing fees, printing expenses, escrow fees, fees and disbursements of counsel for the Company, up to (1) $50,000 of reasonable out-of-pocket legal expenses of one outside counsel for Investors (if different from the Company’s counsel and if such counsel is reasonably approved by the Company) in connection with the preparation and filing of the Resale Registration Shelf (as defined below), and (2) up to $50,000 of reasonable out-of-pocket legal expenses of one outside counsel for the Investors (if different from the Company’s counsel and if such counsel is reasonably approved by the Company) per Underwritten Offering, blue sky fees and expenses, and expenses of any regular or special audits incident to or required by any such registration, but shall not include Selling Expenses.</w:t>
      </w:r>
    </w:p>
    <w:p>
      <w:pPr>
        <w:pStyle w:val="TextBody"/>
        <w:bidi w:val="0"/>
        <w:spacing w:lineRule="auto" w:line="240" w:before="240" w:after="283"/>
        <w:jc w:val="both"/>
        <w:rPr/>
      </w:pPr>
      <w:r>
        <w:rPr>
          <w:rFonts w:ascii="Times New Roman;serif" w:hAnsi="Times New Roman;serif"/>
          <w:b w:val="false"/>
          <w:color w:val="010000"/>
          <w:sz w:val="24"/>
        </w:rPr>
        <w:t>(l)</w:t>
      </w:r>
      <w:r>
        <w:rPr>
          <w:color w:val="000000"/>
        </w:rPr>
        <w:t>“</w:t>
      </w:r>
      <w:r>
        <w:rPr>
          <w:rFonts w:ascii="Times New Roman;serif" w:hAnsi="Times New Roman;serif"/>
          <w:b w:val="false"/>
          <w:color w:val="000000"/>
          <w:sz w:val="24"/>
          <w:u w:val="single"/>
        </w:rPr>
        <w:t>Registration Statement</w:t>
      </w:r>
      <w:r>
        <w:rPr>
          <w:color w:val="000000"/>
        </w:rPr>
        <w:t xml:space="preserve">” </w:t>
      </w:r>
      <w:r>
        <w:rPr>
          <w:rFonts w:ascii="Times New Roman;serif" w:hAnsi="Times New Roman;serif"/>
          <w:b w:val="false"/>
          <w:color w:val="000000"/>
          <w:sz w:val="24"/>
        </w:rPr>
        <w:t>means any registration statement of the Company filed with, or to be filed with, the Commission under the Securities Act,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other than a registration statement (and related prospectus) filed on Form S-4 or Form S-8 or any successor forms thereto.</w:t>
      </w:r>
    </w:p>
    <w:p>
      <w:pPr>
        <w:pStyle w:val="TextBody"/>
        <w:bidi w:val="0"/>
        <w:spacing w:lineRule="auto" w:line="240" w:before="240" w:after="283"/>
        <w:jc w:val="both"/>
        <w:rPr/>
      </w:pPr>
      <w:r>
        <w:rPr>
          <w:rFonts w:ascii="Times New Roman;serif" w:hAnsi="Times New Roman;serif"/>
          <w:b w:val="false"/>
          <w:color w:val="010000"/>
          <w:sz w:val="24"/>
        </w:rPr>
        <w:t>(m)</w:t>
      </w:r>
      <w:r>
        <w:rPr>
          <w:color w:val="000000"/>
        </w:rPr>
        <w:t>“</w:t>
      </w:r>
      <w:r>
        <w:rPr>
          <w:rFonts w:ascii="Times New Roman;serif" w:hAnsi="Times New Roman;serif"/>
          <w:b w:val="false"/>
          <w:color w:val="000000"/>
          <w:sz w:val="24"/>
          <w:u w:val="single"/>
        </w:rPr>
        <w:t>Rule 144</w:t>
      </w:r>
      <w:r>
        <w:rPr>
          <w:color w:val="000000"/>
        </w:rPr>
        <w:t xml:space="preserve">” </w:t>
      </w:r>
      <w:r>
        <w:rPr>
          <w:rFonts w:ascii="Times New Roman;serif" w:hAnsi="Times New Roman;serif"/>
          <w:b w:val="false"/>
          <w:color w:val="000000"/>
          <w:sz w:val="24"/>
        </w:rPr>
        <w:t>shall mean Rule 144 as promulgated by the Commission under the Securities Act, as such rule may be amended from time to time, or any similar successor rule that may be promulgated by the Commission.</w:t>
      </w:r>
    </w:p>
    <w:p>
      <w:pPr>
        <w:pStyle w:val="TextBody"/>
        <w:bidi w:val="0"/>
        <w:spacing w:lineRule="auto" w:line="240" w:before="240" w:after="283"/>
        <w:jc w:val="both"/>
        <w:rPr/>
      </w:pPr>
      <w:r>
        <w:rPr>
          <w:rFonts w:ascii="Times New Roman;serif" w:hAnsi="Times New Roman;serif"/>
          <w:b w:val="false"/>
          <w:color w:val="010000"/>
          <w:sz w:val="24"/>
        </w:rPr>
        <w:t>(n)</w:t>
      </w: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shall mean the Securities Act of 1933, as amended, or any similar successor federal statute and the rules and regulations thereunder, all as the same shall be in effect from time to time.</w:t>
      </w:r>
    </w:p>
    <w:p>
      <w:pPr>
        <w:pStyle w:val="TextBody"/>
        <w:bidi w:val="0"/>
        <w:spacing w:lineRule="auto" w:line="240" w:before="240" w:after="283"/>
        <w:jc w:val="both"/>
        <w:rPr/>
      </w:pPr>
      <w:r>
        <w:rPr>
          <w:rFonts w:ascii="Times New Roman;serif" w:hAnsi="Times New Roman;serif"/>
          <w:b w:val="false"/>
          <w:color w:val="010000"/>
          <w:sz w:val="24"/>
        </w:rPr>
        <w:t>(o)</w:t>
      </w:r>
      <w:r>
        <w:rPr>
          <w:color w:val="000000"/>
        </w:rPr>
        <w:t>“</w:t>
      </w:r>
      <w:r>
        <w:rPr>
          <w:rFonts w:ascii="Times New Roman;serif" w:hAnsi="Times New Roman;serif"/>
          <w:b w:val="false"/>
          <w:color w:val="000000"/>
          <w:sz w:val="24"/>
          <w:u w:val="single"/>
        </w:rPr>
        <w:t>Selling Expenses</w:t>
      </w:r>
      <w:r>
        <w:rPr>
          <w:color w:val="000000"/>
        </w:rPr>
        <w:t xml:space="preserve">” </w:t>
      </w:r>
      <w:r>
        <w:rPr>
          <w:rFonts w:ascii="Times New Roman;serif" w:hAnsi="Times New Roman;serif"/>
          <w:b w:val="false"/>
          <w:color w:val="000000"/>
          <w:sz w:val="24"/>
        </w:rPr>
        <w:t xml:space="preserve">shall mean all underwriting discounts and selling commissions applicable to the sale of Registrable Securities, the fees and expenses of any legal counsel (except as provided in the definition of “Registration Expenses”) and any other advisors any of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6"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the Investors engage and all similar fees and commissions relating to the Investors’ disposition of the Registrable Securities.</w:t>
      </w:r>
    </w:p>
    <w:p>
      <w:pPr>
        <w:pStyle w:val="TextBody"/>
        <w:bidi w:val="0"/>
        <w:spacing w:lineRule="auto" w:line="240" w:before="240" w:after="283"/>
        <w:jc w:val="both"/>
        <w:rPr/>
      </w:pPr>
      <w:r>
        <w:rPr>
          <w:rFonts w:ascii="Times New Roman;serif" w:hAnsi="Times New Roman;serif"/>
          <w:b w:val="false"/>
          <w:color w:val="010000"/>
          <w:sz w:val="24"/>
        </w:rPr>
        <w:t>(p)</w:t>
      </w:r>
      <w:r>
        <w:rPr>
          <w:color w:val="000000"/>
        </w:rPr>
        <w:t>“</w:t>
      </w:r>
      <w:r>
        <w:rPr>
          <w:rFonts w:ascii="Times New Roman;serif" w:hAnsi="Times New Roman;serif"/>
          <w:b w:val="false"/>
          <w:color w:val="000000"/>
          <w:sz w:val="24"/>
          <w:u w:val="single"/>
        </w:rPr>
        <w:t>Underwritten Offering</w:t>
      </w:r>
      <w:r>
        <w:rPr>
          <w:color w:val="000000"/>
        </w:rPr>
        <w:t xml:space="preserve">” </w:t>
      </w:r>
      <w:r>
        <w:rPr>
          <w:rFonts w:ascii="Times New Roman;serif" w:hAnsi="Times New Roman;serif"/>
          <w:b w:val="false"/>
          <w:color w:val="000000"/>
          <w:sz w:val="24"/>
        </w:rPr>
        <w:t xml:space="preserve">shall mean a public offering of Registrable Securities pursuant to an effective registration statement under the Securities Act (other than pursuant to a registration statement on Form S-4 or S-8 or any similar or successor form) which requires the Investors and the Company to enter into an underwriting agreement.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2.</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Resale Registration Rights</w:t>
      </w:r>
    </w:p>
    <w:p>
      <w:pPr>
        <w:pStyle w:val="TextBody"/>
        <w:bidi w:val="0"/>
        <w:spacing w:before="0" w:after="0"/>
        <w:ind w:left="0" w:right="0" w:firstLine="1800"/>
        <w:jc w:val="left"/>
        <w:rPr/>
      </w:pPr>
      <w:r>
        <w:rPr/>
      </w:r>
    </w:p>
    <w:p>
      <w:pPr>
        <w:pStyle w:val="TextBody"/>
        <w:bidi w:val="0"/>
        <w:spacing w:lineRule="auto" w:line="240" w:before="0" w:after="0"/>
        <w:jc w:val="left"/>
        <w:rPr/>
      </w:pPr>
      <w:r>
        <w:rPr>
          <w:rFonts w:ascii="Times New Roman;serif" w:hAnsi="Times New Roman;serif"/>
          <w:b w:val="false"/>
          <w:color w:val="000000"/>
          <w:sz w:val="24"/>
        </w:rPr>
        <w:t>2.1    </w:t>
      </w:r>
      <w:r>
        <w:rPr>
          <w:rFonts w:ascii="Times New Roman;serif" w:hAnsi="Times New Roman;serif"/>
          <w:b w:val="false"/>
          <w:color w:val="000000"/>
          <w:sz w:val="24"/>
          <w:u w:val="single"/>
        </w:rPr>
        <w:t>Resale Registration Rights</w:t>
      </w:r>
      <w:r>
        <w:rPr>
          <w:rFonts w:ascii="Times New Roman;serif" w:hAnsi="Times New Roman;serif"/>
          <w:b w:val="false"/>
          <w:color w:val="000000"/>
          <w:sz w:val="24"/>
        </w:rPr>
        <w:t>.</w:t>
      </w:r>
    </w:p>
    <w:p>
      <w:pPr>
        <w:pStyle w:val="TextBody"/>
        <w:bidi w:val="0"/>
        <w:spacing w:lineRule="auto" w:line="240" w:before="180" w:after="283"/>
        <w:jc w:val="both"/>
        <w:rPr/>
      </w:pPr>
      <w:r>
        <w:rPr>
          <w:rFonts w:ascii="Times New Roman;serif" w:hAnsi="Times New Roman;serif"/>
          <w:b w:val="false"/>
          <w:color w:val="010000"/>
          <w:sz w:val="24"/>
        </w:rPr>
        <w:t>(a)</w:t>
      </w:r>
      <w:r>
        <w:rPr>
          <w:rFonts w:ascii="Times New Roman;serif" w:hAnsi="Times New Roman;serif"/>
          <w:b w:val="false"/>
          <w:color w:val="000000"/>
          <w:sz w:val="24"/>
        </w:rPr>
        <w:t>Following demand by any Investor the Company shall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the Registrable Securities by the Investors (the “</w:t>
      </w:r>
      <w:r>
        <w:rPr>
          <w:rFonts w:ascii="Times New Roman;serif" w:hAnsi="Times New Roman;serif"/>
          <w:b w:val="false"/>
          <w:color w:val="000000"/>
          <w:sz w:val="24"/>
          <w:u w:val="single"/>
        </w:rPr>
        <w:t>Resale Registration Shelf</w:t>
      </w:r>
      <w:r>
        <w:rPr>
          <w:color w:val="000000"/>
        </w:rPr>
        <w:t>”</w:t>
      </w:r>
      <w:r>
        <w:rPr>
          <w:rFonts w:ascii="Times New Roman;serif" w:hAnsi="Times New Roman;serif"/>
          <w:b w:val="false"/>
          <w:color w:val="000000"/>
          <w:sz w:val="24"/>
        </w:rPr>
        <w:t xml:space="preserve">), and the Company shall file such Resale Registration Shelf as promptly as reasonably practicable following such demand, and in any event within sixty (60) days of such demand Such Resale Registration Shelf shall include a “final” prospectus, including the information required by Item 507 of Regulation S-K of the Securities Act, as provided by the Investors in accordance with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Notwithstanding the foregoing, before filing the Resale Registration Shelf, the Company shall furnish to the Investors a copy of the Resale Registration Shelf and afford the Investors an opportunity to review and comment on the Resale Registration Shelf. The Company’s obligation pursuant to this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 xml:space="preserve">is conditioned upon the Investors providing the information contemplated in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w:t>
      </w:r>
    </w:p>
    <w:p>
      <w:pPr>
        <w:pStyle w:val="TextBody"/>
        <w:bidi w:val="0"/>
        <w:spacing w:lineRule="auto" w:line="240" w:before="240" w:after="283"/>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The Company shall use its reasonable best efforts to cause the Resale Registration Shelf and related prospectuses to become effective as promptly as practicable after filing. The Company shall use its reasonable best efforts to cause such Registration Statement to remain effective under the Securities Act until the earlier of the date (i) all Registrable Securities covered by the Resale Registration Shelf have been sold or may be sold freely without limitations or restrictions as to volume or manner of sale pursuant to Rule 144 or (ii) all Registrable Securities covered by the Resale Registration Shelf otherwise cease to be Registrable Securities pursuant to </w:t>
      </w:r>
      <w:r>
        <w:rPr>
          <w:rFonts w:ascii="Times New Roman;serif" w:hAnsi="Times New Roman;serif"/>
          <w:b w:val="false"/>
          <w:color w:val="000000"/>
          <w:sz w:val="24"/>
          <w:u w:val="single"/>
        </w:rPr>
        <w:t>the definition of Registrable Securities</w:t>
      </w:r>
      <w:r>
        <w:rPr>
          <w:rFonts w:ascii="Times New Roman;serif" w:hAnsi="Times New Roman;serif"/>
          <w:b w:val="false"/>
          <w:color w:val="000000"/>
          <w:sz w:val="24"/>
        </w:rPr>
        <w:t>. The Company shall promptly, and within two (2) business days after the Company confirms the effectiveness of the Resale Registration Shelf with the Commission, notify the Investors of the effectiveness of the Resale Registration Shelf.</w:t>
      </w:r>
    </w:p>
    <w:p>
      <w:pPr>
        <w:pStyle w:val="TextBody"/>
        <w:bidi w:val="0"/>
        <w:spacing w:lineRule="auto" w:line="240" w:before="240" w:after="283"/>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Notwithstanding anything contained herein to the contrary, the Company shall not be obligated to effect, or to take any action to effect, a registration pursuant to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lineRule="auto" w:line="240" w:before="240" w:after="283"/>
        <w:jc w:val="both"/>
        <w:rPr/>
      </w:pPr>
      <w:r>
        <w:rPr>
          <w:rFonts w:ascii="Times New Roman;serif" w:hAnsi="Times New Roman;serif"/>
          <w:b w:val="false"/>
          <w:color w:val="010000"/>
          <w:sz w:val="24"/>
        </w:rPr>
        <w:t>(i)</w:t>
      </w:r>
      <w:r>
        <w:rPr>
          <w:rFonts w:ascii="Times New Roman;serif" w:hAnsi="Times New Roman;serif"/>
          <w:b w:val="false"/>
          <w:color w:val="000000"/>
          <w:sz w:val="24"/>
        </w:rPr>
        <w:t>if the Company has and maintains an effective Registration Statement on Form S-3ASR that provides for the resale of an unlimited number of securities by selling stockholders (a “</w:t>
      </w:r>
      <w:r>
        <w:rPr>
          <w:rFonts w:ascii="Times New Roman;serif" w:hAnsi="Times New Roman;serif"/>
          <w:b w:val="false"/>
          <w:color w:val="000000"/>
          <w:sz w:val="24"/>
          <w:u w:val="single"/>
        </w:rPr>
        <w:t>Company Registration Shelf</w:t>
      </w:r>
      <w:r>
        <w:rPr>
          <w:color w:val="000000"/>
        </w:rPr>
        <w:t>”</w:t>
      </w:r>
      <w:r>
        <w:rPr>
          <w:rFonts w:ascii="Times New Roman;serif" w:hAnsi="Times New Roman;serif"/>
          <w:b w:val="false"/>
          <w:color w:val="000000"/>
          <w:sz w:val="24"/>
        </w:rPr>
        <w:t xml:space="preserve">); </w:t>
      </w:r>
    </w:p>
    <w:p>
      <w:pPr>
        <w:pStyle w:val="TextBody"/>
        <w:bidi w:val="0"/>
        <w:spacing w:lineRule="auto" w:line="240" w:before="240" w:after="283"/>
        <w:jc w:val="both"/>
        <w:rPr/>
      </w:pPr>
      <w:r>
        <w:rPr>
          <w:rFonts w:ascii="Times New Roman;serif" w:hAnsi="Times New Roman;serif"/>
          <w:b w:val="false"/>
          <w:color w:val="010000"/>
          <w:sz w:val="24"/>
        </w:rPr>
        <w:t>(ii)</w:t>
      </w:r>
      <w:r>
        <w:rPr>
          <w:rFonts w:ascii="Times New Roman;serif" w:hAnsi="Times New Roman;serif"/>
          <w:b w:val="false"/>
          <w:color w:val="000000"/>
          <w:sz w:val="24"/>
        </w:rPr>
        <w:t>during the period forty-five (45) days prior to the Company’s good faith estimate of the date of filing of a Company Registration Shelf; or</w:t>
      </w:r>
    </w:p>
    <w:p>
      <w:pPr>
        <w:pStyle w:val="TextBody"/>
        <w:bidi w:val="0"/>
        <w:spacing w:lineRule="auto" w:line="240" w:before="240" w:after="283"/>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if the Company has caused a Registration Statement to become effective pursuant to this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during the prior twelve (12) month period.</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7"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val="false"/>
          <w:color w:val="010000"/>
          <w:sz w:val="24"/>
        </w:rPr>
        <w:t>(d)</w:t>
      </w:r>
      <w:r>
        <w:rPr>
          <w:rFonts w:ascii="Times New Roman;serif" w:hAnsi="Times New Roman;serif"/>
          <w:b w:val="false"/>
          <w:color w:val="000000"/>
          <w:sz w:val="24"/>
        </w:rPr>
        <w:t xml:space="preserve">If the Company has a Company Registration Shelf in place at any time in which the Investors make a demand pursuant to </w:t>
      </w:r>
      <w:r>
        <w:rPr>
          <w:rFonts w:ascii="Times New Roman;serif" w:hAnsi="Times New Roman;serif"/>
          <w:b w:val="false"/>
          <w:color w:val="000000"/>
          <w:sz w:val="24"/>
          <w:u w:val="single"/>
        </w:rPr>
        <w:t>Section 2.1(a)</w:t>
      </w:r>
      <w:r>
        <w:rPr>
          <w:rFonts w:ascii="Times New Roman;serif" w:hAnsi="Times New Roman;serif"/>
          <w:b w:val="false"/>
          <w:color w:val="000000"/>
          <w:sz w:val="24"/>
        </w:rPr>
        <w:t>, the Company shall file with the Commission, as promptly as practicable, and in any event within fifteen (15) business days after such demand, a “final” prospectus supplement to its Company Registration Shelf covering the resale of the Registrable Securities by the Investors (the “</w:t>
      </w:r>
      <w:r>
        <w:rPr>
          <w:rFonts w:ascii="Times New Roman;serif" w:hAnsi="Times New Roman;serif"/>
          <w:b w:val="false"/>
          <w:color w:val="000000"/>
          <w:sz w:val="24"/>
          <w:u w:val="single"/>
        </w:rPr>
        <w:t>Prospectus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Company shall not be obligated to file more than one Prospectus pursuant to this </w:t>
      </w:r>
      <w:r>
        <w:rPr>
          <w:rFonts w:ascii="Times New Roman;serif" w:hAnsi="Times New Roman;serif"/>
          <w:b w:val="false"/>
          <w:color w:val="000000"/>
          <w:sz w:val="24"/>
          <w:u w:val="single"/>
        </w:rPr>
        <w:t>Section 2.1(d)</w:t>
      </w:r>
      <w:r>
        <w:rPr>
          <w:color w:val="000000"/>
        </w:rPr>
        <w:t xml:space="preserve"> </w:t>
      </w:r>
      <w:r>
        <w:rPr>
          <w:rFonts w:ascii="Times New Roman;serif" w:hAnsi="Times New Roman;serif"/>
          <w:b w:val="false"/>
          <w:color w:val="000000"/>
          <w:sz w:val="24"/>
        </w:rPr>
        <w:t xml:space="preserve">in any six month period to add additional Registrable Securities to the Company Registration Shelf that were acquired by the Investors other than directly from the Company or in an underwritten public offering by the Company. The Prospectus shall include the information required under Item 507 of Regulation S-K of the Securities Act, which information shall be provided by the Investors in accordance with </w:t>
      </w:r>
      <w:r>
        <w:rPr>
          <w:rFonts w:ascii="Times New Roman;serif" w:hAnsi="Times New Roman;serif"/>
          <w:b w:val="false"/>
          <w:color w:val="000000"/>
          <w:sz w:val="24"/>
          <w:u w:val="single"/>
        </w:rPr>
        <w:t>Section 2.7</w:t>
      </w:r>
      <w:r>
        <w:rPr>
          <w:rFonts w:ascii="Times New Roman;serif" w:hAnsi="Times New Roman;serif"/>
          <w:b w:val="false"/>
          <w:color w:val="000000"/>
          <w:sz w:val="24"/>
        </w:rPr>
        <w:t>. Notwithstanding the foregoing, before filing the Prospectus, the Company shall furnish to the Investors a copy of the Prospectus and afford a single outside counsel (in addition to any inside counsel) of the Investors an opportunity to review and comment on the Prospectus.</w:t>
      </w:r>
    </w:p>
    <w:p>
      <w:pPr>
        <w:pStyle w:val="TextBody"/>
        <w:bidi w:val="0"/>
        <w:spacing w:lineRule="auto" w:line="240" w:before="240" w:after="283"/>
        <w:jc w:val="both"/>
        <w:rPr/>
      </w:pPr>
      <w:r>
        <w:rPr>
          <w:rFonts w:ascii="Times New Roman;serif" w:hAnsi="Times New Roman;serif"/>
          <w:b w:val="false"/>
          <w:color w:val="010000"/>
          <w:sz w:val="24"/>
        </w:rPr>
        <w:t>(e)</w:t>
      </w:r>
      <w:r>
        <w:rPr>
          <w:rFonts w:ascii="Times New Roman;serif" w:hAnsi="Times New Roman;serif"/>
          <w:b w:val="false"/>
          <w:color w:val="000000"/>
          <w:sz w:val="24"/>
          <w:u w:val="single"/>
        </w:rPr>
        <w:t>Deferral and Suspension</w:t>
      </w:r>
      <w:r>
        <w:rPr>
          <w:rFonts w:ascii="Times New Roman;serif" w:hAnsi="Times New Roman;serif"/>
          <w:b w:val="false"/>
          <w:color w:val="000000"/>
          <w:sz w:val="24"/>
        </w:rPr>
        <w:t xml:space="preserve">. At any time after being obligated pursuant to this Agreement to file a Resale Registration Shelf or Prospectus, or after any such Resale Registration Shelf has become effective or such Prospectus has been filed with the Commission, the Company may defer the filing of or suspend the use of any such Resale Registration Shelf or Prospectus, upon giving written notice of such action to the Investors with a certificate signed by the Chief Executive Officer of the Company stating that in the good faith judgment of the Board, the filing or use of any such Resale Registration Shelf or Prospectus covering the Registrable Securities would be seriously detrimental to the Company or its stockholders at such time and that the Board concludes, as a result, that it is in the best interests of the Company and its stockholders to defer the filing or suspend the use of such Resale Registration Shelf or Prospectus at such time. The Company shall have the right to defer the filing of or suspend the use of such Resale Registration Shelf or Prospectus for a period of not more than one hundred twenty (120) days from the date the Company notifies the Investors of such deferral or suspension;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shall not exercise the right contained in this </w:t>
      </w:r>
      <w:r>
        <w:rPr>
          <w:rFonts w:ascii="Times New Roman;serif" w:hAnsi="Times New Roman;serif"/>
          <w:b w:val="false"/>
          <w:color w:val="000000"/>
          <w:sz w:val="24"/>
          <w:u w:val="single"/>
        </w:rPr>
        <w:t>Section 2.1(e)</w:t>
      </w:r>
      <w:r>
        <w:rPr>
          <w:color w:val="000000"/>
        </w:rPr>
        <w:t xml:space="preserve"> </w:t>
      </w:r>
      <w:r>
        <w:rPr>
          <w:rFonts w:ascii="Times New Roman;serif" w:hAnsi="Times New Roman;serif"/>
          <w:b w:val="false"/>
          <w:color w:val="000000"/>
          <w:sz w:val="24"/>
        </w:rPr>
        <w:t xml:space="preserve">more than once in any twelve month period. In the case of the suspension of use of any effective Resale Registration Shelf or Prospectus, the Investors, immediately upon receipt of notice thereof from the Company, shall discontinue any offers or sales of Registrable Securities pursuant to such Resale Registration Shelf or Prospectus until advised in writing by the Company that the use of such Resale Registration Shelf or Prospectus may be resumed. In the case of a deferred Prospectus or Resale Registration Shelf filing, the Company shall provide prompt written notice to the Investors of (i) the Company’s decision to file or seek effectiveness of the Prospectus or Resale Registration Shelf, as the case may be, following such deferral and (ii) in the case of a Resale Registration Shelf, the effectiveness of such Resale Registration Shelf. In the case of either a suspension of use of, or deferred filing of, any Resale Registration Shelf or Prospectus, the Company shall not, during the pendency of such suspension or deferral, be required to take any action hereunder (including any action pursuant to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hereof) with respect to the registration or sale of any Registrable Securities pursuant to any such Resale Registration Shelf, Company Registration Shelf or Prospectus.</w:t>
      </w:r>
    </w:p>
    <w:p>
      <w:pPr>
        <w:pStyle w:val="TextBody"/>
        <w:bidi w:val="0"/>
        <w:spacing w:lineRule="auto" w:line="240" w:before="240" w:after="283"/>
        <w:jc w:val="both"/>
        <w:rPr/>
      </w:pPr>
      <w:r>
        <w:rPr>
          <w:rFonts w:ascii="Times New Roman;serif" w:hAnsi="Times New Roman;serif"/>
          <w:b w:val="false"/>
          <w:color w:val="010000"/>
          <w:sz w:val="24"/>
        </w:rPr>
        <w:t>(f)</w:t>
      </w:r>
      <w:r>
        <w:rPr>
          <w:rFonts w:ascii="Times New Roman;serif" w:hAnsi="Times New Roman;serif"/>
          <w:b w:val="false"/>
          <w:color w:val="000000"/>
          <w:sz w:val="24"/>
          <w:u w:val="single"/>
        </w:rPr>
        <w:t>Other Securities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2.2(e)</w:t>
      </w:r>
      <w:r>
        <w:rPr>
          <w:color w:val="000000"/>
        </w:rPr>
        <w:t xml:space="preserve"> </w:t>
      </w:r>
      <w:r>
        <w:rPr>
          <w:rFonts w:ascii="Times New Roman;serif" w:hAnsi="Times New Roman;serif"/>
          <w:b w:val="false"/>
          <w:color w:val="000000"/>
          <w:sz w:val="24"/>
        </w:rPr>
        <w:t xml:space="preserve">below, any Resale Registration Shelf or Prospectus may include Other Securities, and may include securities of the Company being sold for the account of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such Other Securities are excluded first from such Registration Statement in order to comply with any applicable laws or request from any Governmental Entity, Nasdaq or any applicable listing agency. No Other Securities may be included in an Underwritten Offering pursuant to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without the consent of the Investors.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8"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Sales and Underwritten Offerings of the Registrable Securities</w:t>
      </w:r>
      <w:r>
        <w:rPr>
          <w:rFonts w:ascii="Times New Roman;serif" w:hAnsi="Times New Roman;serif"/>
          <w:b w:val="false"/>
          <w:color w:val="000000"/>
          <w:sz w:val="24"/>
        </w:rPr>
        <w:t>.</w:t>
      </w:r>
    </w:p>
    <w:p>
      <w:pPr>
        <w:pStyle w:val="TextBody"/>
        <w:bidi w:val="0"/>
        <w:spacing w:lineRule="auto" w:line="240" w:before="240" w:after="283"/>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Notwithstanding any provision contained herein to the contrary, the Investors, collectively, shall and subject to the limitations set forth in this </w:t>
      </w:r>
      <w:r>
        <w:rPr>
          <w:rFonts w:ascii="Times New Roman;serif" w:hAnsi="Times New Roman;serif"/>
          <w:b w:val="false"/>
          <w:color w:val="000000"/>
          <w:sz w:val="24"/>
          <w:u w:val="single"/>
        </w:rPr>
        <w:t>Section 2.2</w:t>
      </w:r>
      <w:r>
        <w:rPr>
          <w:rFonts w:ascii="Times New Roman;serif" w:hAnsi="Times New Roman;serif"/>
          <w:b w:val="false"/>
          <w:color w:val="000000"/>
          <w:sz w:val="24"/>
        </w:rPr>
        <w:t>, be permitted (i) one Underwritten Offering per calendar year, but no more than three Underwritten Offerings in total, and (ii) no more than two Underwritten Offerings or Block Trades in any twelve month period, to effect the sale or distribution of Registrable Securities.</w:t>
      </w:r>
    </w:p>
    <w:p>
      <w:pPr>
        <w:pStyle w:val="TextBody"/>
        <w:bidi w:val="0"/>
        <w:spacing w:lineRule="auto" w:line="240" w:before="240" w:after="283"/>
        <w:jc w:val="both"/>
        <w:rPr/>
      </w:pPr>
      <w:r>
        <w:rPr>
          <w:rFonts w:ascii="Times New Roman;serif" w:hAnsi="Times New Roman;serif"/>
          <w:b w:val="false"/>
          <w:color w:val="010000"/>
          <w:sz w:val="24"/>
        </w:rPr>
        <w:t>(b)</w:t>
      </w:r>
      <w:r>
        <w:rPr>
          <w:rFonts w:ascii="Times New Roman;serif" w:hAnsi="Times New Roman;serif"/>
          <w:b w:val="false"/>
          <w:color w:val="000000"/>
          <w:sz w:val="24"/>
        </w:rPr>
        <w:t>If the Investors intend to effect an Underwritten Offering or Block Trade pursuant to a Resale Registration Shelf or Company Registration Shelf to sell or otherwise distribute Registrable Securities, they shall so advise the Company and provide as much notice to the Company as reasonably practicable (and, in either case, not less than fifteen (15) business days prior to the Investors’ request that the Company file a prospectus supplement to a Resale Registration Shelf or Company Registration Shelf).</w:t>
      </w:r>
    </w:p>
    <w:p>
      <w:pPr>
        <w:pStyle w:val="TextBody"/>
        <w:bidi w:val="0"/>
        <w:spacing w:lineRule="auto" w:line="240" w:before="240" w:after="283"/>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In connection with any offering initiated by the Investors pursuant to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involving an underwriting of shares of Registrable Securities, the Investors shall be entitled to select the underwriter or underwriters for such offering, subject to the consent of the Company, such consent not to be unreasonably withheld, conditioned or delayed.</w:t>
      </w:r>
    </w:p>
    <w:p>
      <w:pPr>
        <w:pStyle w:val="TextBody"/>
        <w:bidi w:val="0"/>
        <w:spacing w:lineRule="auto" w:line="240" w:before="240" w:after="283"/>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In connection with any offering initiated by the Investors pursuant to this </w:t>
      </w:r>
      <w:r>
        <w:rPr>
          <w:rFonts w:ascii="Times New Roman;serif" w:hAnsi="Times New Roman;serif"/>
          <w:b w:val="false"/>
          <w:color w:val="000000"/>
          <w:sz w:val="24"/>
          <w:u w:val="single"/>
        </w:rPr>
        <w:t xml:space="preserve">Section 2.2 </w:t>
      </w:r>
      <w:r>
        <w:rPr>
          <w:rFonts w:ascii="Times New Roman;serif" w:hAnsi="Times New Roman;serif"/>
          <w:b w:val="false"/>
          <w:color w:val="000000"/>
          <w:sz w:val="24"/>
        </w:rPr>
        <w:t>involving an Underwritten Offering of Registrable Securities, the Company shall not be required to include any of the Registrable Securities in such underwriting unless the Investors (i) enter into an underwriting agreement in customary form with the underwriter or underwriters, (ii) accept customary terms in such underwriting agreement with regard to representations and warranties relating to ownership of the Registrable Securities and authority and power to enter into such underwriting agreement and (iii) complete and execute all questionnaires, powers of attorney, custody agreements, indemnities and other documents as may be requested by such underwriter or underwriters. Further, the Company shall not be required to include any of the Registrable Securities in an Underwritten Offering or Block Trade if (Y) the underwriting/sale agreement proposed by the underwriter or underwriters contains representations, warranties or conditions that are not reasonable in light of the Company’s then-current business (for the avoidance of doubt, the limitation in this clause (Y) is not related to the Company’s then-current disclosure, which may need to be updated prior to such offering) or (Z) the underwriter, underwriters or the Investors require the Company to participate in any marketing, roadshow or comparable activity that may be required to complete the orderly sale of shares by the underwriter or underwriters.</w:t>
      </w:r>
    </w:p>
    <w:p>
      <w:pPr>
        <w:pStyle w:val="TextBody"/>
        <w:bidi w:val="0"/>
        <w:spacing w:lineRule="auto" w:line="240" w:before="240" w:after="283"/>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If the total amount of securities to be sold in any offering initiated by the Investors pursuant to this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involving an underwriting of shares of Registrable Securities exceeds the amount that the underwriters determine in their sole discretion is compatible with the success of the offering, then the Company shall be required to include in the offering only that number of such securities, including Registrable Securities (subject in each case to the cutback provisions set forth in this </w:t>
      </w:r>
      <w:r>
        <w:rPr>
          <w:rFonts w:ascii="Times New Roman;serif" w:hAnsi="Times New Roman;serif"/>
          <w:b w:val="false"/>
          <w:color w:val="000000"/>
          <w:sz w:val="24"/>
          <w:u w:val="single"/>
        </w:rPr>
        <w:t>Section 2.2(e)</w:t>
      </w:r>
      <w:r>
        <w:rPr>
          <w:rFonts w:ascii="Times New Roman;serif" w:hAnsi="Times New Roman;serif"/>
          <w:b w:val="false"/>
          <w:color w:val="000000"/>
          <w:sz w:val="24"/>
        </w:rPr>
        <w:t xml:space="preserve">), that the underwriters and the Company determine in their sole discretion shall not jeopardize the success of the offering. If the Underwritten Offering has been requested pursuant to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 xml:space="preserve">hereof, the number of shares that are entitled to be included in the registration and underwriting shall be allocated in the following manner: (a) </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shares of Company equity securities that the Company desires to include in such registration shall be excluded and (b) </w:t>
      </w:r>
      <w:r>
        <w:rPr>
          <w:rFonts w:ascii="Times New Roman;serif" w:hAnsi="Times New Roman;serif"/>
          <w:b w:val="false"/>
          <w:color w:val="000000"/>
          <w:sz w:val="24"/>
          <w:u w:val="single"/>
        </w:rPr>
        <w:t>second</w:t>
      </w:r>
      <w:r>
        <w:rPr>
          <w:rFonts w:ascii="Times New Roman;serif" w:hAnsi="Times New Roman;serif"/>
          <w:b w:val="false"/>
          <w:color w:val="000000"/>
          <w:sz w:val="24"/>
        </w:rPr>
        <w:t>, Registrable Securities requested to be included in such registration by the Investors shall be excluded. For the avoidance of doubt, no other person besides the Investors shall be entitled to participate in any Block Trade. To facilitate the allocation of shares in accordance with the above provisions, the Company or the underwriters may round down the number of shares allocated to any of the Investors to the nearest 100 shares.</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erif" w:hAnsi="Times New Roman;serif"/>
          <w:b w:val="false"/>
          <w:color w:val="000000"/>
          <w:sz w:val="24"/>
        </w:rPr>
        <w:t>2.3    </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All Registration Expenses incurred in connection with registrations pursuant to this Agreement shall be borne by the Company. All Selling Expenses relating to securities registered on behalf of the Investors shall be borne by the Investors.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2.4    </w:t>
      </w:r>
      <w:r>
        <w:rPr>
          <w:rFonts w:ascii="Times New Roman;serif" w:hAnsi="Times New Roman;serif"/>
          <w:b w:val="false"/>
          <w:color w:val="000000"/>
          <w:sz w:val="24"/>
          <w:u w:val="single"/>
        </w:rPr>
        <w:t>Registration Procedures</w:t>
      </w:r>
      <w:r>
        <w:rPr>
          <w:rFonts w:ascii="Times New Roman;serif" w:hAnsi="Times New Roman;serif"/>
          <w:b w:val="false"/>
          <w:color w:val="000000"/>
          <w:sz w:val="24"/>
        </w:rPr>
        <w:t>. In the case of each registration of Registrable Securities effected by the Company pursuant to Section 2.1 hereof, the Company shall keep the Investors advised as to the initiation of each such registration and as to the status thereof. The Company shall use its reasonable best efforts, within the limits set forth in this Section 2.4, to:</w:t>
      </w:r>
    </w:p>
    <w:p>
      <w:pPr>
        <w:pStyle w:val="TextBody"/>
        <w:bidi w:val="0"/>
        <w:spacing w:lineRule="auto" w:line="240" w:before="240" w:after="283"/>
        <w:jc w:val="both"/>
        <w:rPr/>
      </w:pPr>
      <w:r>
        <w:rPr>
          <w:rFonts w:ascii="Times New Roman;serif" w:hAnsi="Times New Roman;serif"/>
          <w:b w:val="false"/>
          <w:color w:val="010000"/>
          <w:sz w:val="24"/>
        </w:rPr>
        <w:t>(a)</w:t>
      </w:r>
      <w:r>
        <w:rPr>
          <w:rFonts w:ascii="Times New Roman;serif" w:hAnsi="Times New Roman;serif"/>
          <w:b w:val="false"/>
          <w:color w:val="000000"/>
          <w:sz w:val="24"/>
        </w:rPr>
        <w:t>prepare and file with the Commission such amendments and supplements to such Registration Statement and the prospectuses used in connection with such Registration Statement as may be necessary to keep such Registration Statement effective and current and comply with the provisions of the Securities Act with respect to the disposition of all securities covered by such Registration Statement;</w:t>
      </w:r>
    </w:p>
    <w:p>
      <w:pPr>
        <w:pStyle w:val="TextBody"/>
        <w:bidi w:val="0"/>
        <w:spacing w:lineRule="auto" w:line="240" w:before="240" w:after="283"/>
        <w:jc w:val="both"/>
        <w:rPr/>
      </w:pPr>
      <w:r>
        <w:rPr>
          <w:rFonts w:ascii="Times New Roman;serif" w:hAnsi="Times New Roman;serif"/>
          <w:b w:val="false"/>
          <w:color w:val="010000"/>
          <w:sz w:val="24"/>
        </w:rPr>
        <w:t>(b)</w:t>
      </w:r>
      <w:r>
        <w:rPr>
          <w:rFonts w:ascii="Times New Roman;serif" w:hAnsi="Times New Roman;serif"/>
          <w:b w:val="false"/>
          <w:color w:val="000000"/>
          <w:sz w:val="24"/>
        </w:rPr>
        <w:t>furnish to the Investors such numbers of copies of a prospectus, including preliminary prospectuses, in conformity with the requirements of the Securities Act, and such other documents as the Investors may reasonably request in order to facilitate the disposition of Registrable Securities;</w:t>
      </w:r>
    </w:p>
    <w:p>
      <w:pPr>
        <w:pStyle w:val="TextBody"/>
        <w:bidi w:val="0"/>
        <w:spacing w:lineRule="auto" w:line="240" w:before="240" w:after="283"/>
        <w:jc w:val="both"/>
        <w:rPr/>
      </w:pPr>
      <w:r>
        <w:rPr>
          <w:rFonts w:ascii="Times New Roman;serif" w:hAnsi="Times New Roman;serif"/>
          <w:b w:val="false"/>
          <w:color w:val="010000"/>
          <w:sz w:val="24"/>
        </w:rPr>
        <w:t>(c)</w:t>
      </w:r>
      <w:r>
        <w:rPr>
          <w:rFonts w:ascii="Times New Roman;serif" w:hAnsi="Times New Roman;serif"/>
          <w:b w:val="false"/>
          <w:color w:val="000000"/>
          <w:sz w:val="24"/>
        </w:rPr>
        <w:t>use its reasonable best efforts to register and qualify the Registrable Securities covered by such Registration Statement under such other securities or blue sky laws of such jurisdictions in the United States as shall be reasonably requested by the Investors, provided that the Company shall not be required in connection therewith or as a condition thereto to qualify to do business or to file a general consent to service of process in any such states or jurisdictions;</w:t>
      </w:r>
    </w:p>
    <w:p>
      <w:pPr>
        <w:pStyle w:val="TextBody"/>
        <w:bidi w:val="0"/>
        <w:spacing w:lineRule="auto" w:line="240" w:before="240" w:after="283"/>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in the event of any Underwritten Offering or Block Trade, and subject to </w:t>
      </w:r>
      <w:r>
        <w:rPr>
          <w:rFonts w:ascii="Times New Roman;serif" w:hAnsi="Times New Roman;serif"/>
          <w:b w:val="false"/>
          <w:color w:val="000000"/>
          <w:sz w:val="24"/>
          <w:u w:val="single"/>
        </w:rPr>
        <w:t>Section 2.2(d),</w:t>
      </w:r>
      <w:r>
        <w:rPr>
          <w:color w:val="000000"/>
        </w:rPr>
        <w:t xml:space="preserve"> </w:t>
      </w:r>
      <w:r>
        <w:rPr>
          <w:rFonts w:ascii="Times New Roman;serif" w:hAnsi="Times New Roman;serif"/>
          <w:b w:val="false"/>
          <w:color w:val="000000"/>
          <w:sz w:val="24"/>
        </w:rPr>
        <w:t>enter into and perform its obligations under an underwriting agreement or Block Trade sale agreement, in usual and customary form (including any “lock-ups” on behalf of the Company and its directors and officers), with the managing underwriter of such offering and take such other usual and customary action as the Investors may reasonably request in order to facilitate the disposition of such Registrable Securities;</w:t>
      </w:r>
    </w:p>
    <w:p>
      <w:pPr>
        <w:pStyle w:val="TextBody"/>
        <w:bidi w:val="0"/>
        <w:spacing w:lineRule="auto" w:line="240" w:before="240" w:after="283"/>
        <w:jc w:val="both"/>
        <w:rPr/>
      </w:pPr>
      <w:r>
        <w:rPr>
          <w:rFonts w:ascii="Times New Roman;serif" w:hAnsi="Times New Roman;serif"/>
          <w:b w:val="false"/>
          <w:color w:val="010000"/>
          <w:sz w:val="24"/>
        </w:rPr>
        <w:t>(e)</w:t>
      </w:r>
      <w:r>
        <w:rPr>
          <w:rFonts w:ascii="Times New Roman;serif" w:hAnsi="Times New Roman;serif"/>
          <w:b w:val="false"/>
          <w:color w:val="000000"/>
          <w:sz w:val="24"/>
        </w:rPr>
        <w:t>notify the Investors at any time when a prospectus relating to a Registration Statement covering any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shall use its reasonable best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pStyle w:val="TextBody"/>
        <w:bidi w:val="0"/>
        <w:spacing w:lineRule="auto" w:line="240" w:before="240" w:after="283"/>
        <w:jc w:val="both"/>
        <w:rPr/>
      </w:pPr>
      <w:r>
        <w:rPr>
          <w:rFonts w:ascii="Times New Roman;serif" w:hAnsi="Times New Roman;serif"/>
          <w:b w:val="false"/>
          <w:color w:val="010000"/>
          <w:sz w:val="24"/>
        </w:rPr>
        <w:t>(f)</w:t>
      </w:r>
      <w:r>
        <w:rPr>
          <w:rFonts w:ascii="Times New Roman;serif" w:hAnsi="Times New Roman;serif"/>
          <w:b w:val="false"/>
          <w:color w:val="000000"/>
          <w:sz w:val="24"/>
        </w:rPr>
        <w:t>provide a transfer agent and registrar for all Registrable Securities registered pursuant to such Registration Statement and, if required, a CUSIP number for all such Registrable Securities, in each case not later than the effective date of such registration;</w:t>
      </w:r>
    </w:p>
    <w:p>
      <w:pPr>
        <w:pStyle w:val="TextBody"/>
        <w:bidi w:val="0"/>
        <w:spacing w:lineRule="auto" w:line="240" w:before="240" w:after="283"/>
        <w:jc w:val="both"/>
        <w:rPr/>
      </w:pPr>
      <w:r>
        <w:rPr>
          <w:rFonts w:ascii="Times New Roman;serif" w:hAnsi="Times New Roman;serif"/>
          <w:b w:val="false"/>
          <w:color w:val="010000"/>
          <w:sz w:val="24"/>
        </w:rPr>
        <w:t>(g)</w:t>
      </w:r>
      <w:r>
        <w:rPr>
          <w:rFonts w:ascii="Times New Roman;serif" w:hAnsi="Times New Roman;serif"/>
          <w:b w:val="false"/>
          <w:color w:val="000000"/>
          <w:sz w:val="24"/>
        </w:rPr>
        <w:t>if requested by an Investor, use reasonable best efforts to cause the Company’s transfer agent to remove any restrictive legend from any Registrable Securities, within two business days following such request;</w:t>
      </w:r>
    </w:p>
    <w:p>
      <w:pPr>
        <w:pStyle w:val="TextBody"/>
        <w:bidi w:val="0"/>
        <w:spacing w:lineRule="auto" w:line="240" w:before="240" w:after="283"/>
        <w:jc w:val="both"/>
        <w:rPr/>
      </w:pPr>
      <w:r>
        <w:rPr>
          <w:rFonts w:ascii="Times New Roman;serif" w:hAnsi="Times New Roman;serif"/>
          <w:b w:val="false"/>
          <w:color w:val="010000"/>
          <w:sz w:val="24"/>
        </w:rPr>
        <w:t>(h)</w:t>
      </w:r>
      <w:r>
        <w:rPr>
          <w:rFonts w:ascii="Times New Roman;serif" w:hAnsi="Times New Roman;serif"/>
          <w:b w:val="false"/>
          <w:color w:val="000000"/>
          <w:sz w:val="24"/>
        </w:rPr>
        <w:t xml:space="preserve">cause to be furnished, at the request of the Investors, on the date that Registrable Securities are delivered to underwriters for sale in connection with any Underwritten Offering or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Block Trade, (i) an opinion, dated such date, of the counsel representing the Company for the purposes of such registration, in form and substance as is customarily given to underwriters in an underwritten public offering, addressed to the underwriters, and (ii) a letter or letters from the independent certified public accountants of the Company, in form and substance as is customarily given by independent certified public accountants to underwriters in an underwritten public offering, addressed to the underwriters; and</w:t>
      </w:r>
    </w:p>
    <w:p>
      <w:pPr>
        <w:pStyle w:val="TextBody"/>
        <w:bidi w:val="0"/>
        <w:spacing w:lineRule="auto" w:line="240" w:before="240" w:after="283"/>
        <w:jc w:val="both"/>
        <w:rPr/>
      </w:pPr>
      <w:r>
        <w:rPr>
          <w:rFonts w:ascii="Times New Roman;serif" w:hAnsi="Times New Roman;serif"/>
          <w:b w:val="false"/>
          <w:color w:val="010000"/>
          <w:sz w:val="24"/>
        </w:rPr>
        <w:t>(i)</w:t>
      </w:r>
      <w:r>
        <w:rPr>
          <w:rFonts w:ascii="Times New Roman;serif" w:hAnsi="Times New Roman;serif"/>
          <w:b w:val="false"/>
          <w:color w:val="000000"/>
          <w:sz w:val="24"/>
        </w:rPr>
        <w:t>cause all such Registrable Securities included in a Registration Statement pursuant to this Agreement to be listed on each securities exchange or other securities trading markets on which Common Stock is then listed.</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2.5    </w:t>
      </w:r>
      <w:r>
        <w:rPr>
          <w:rFonts w:ascii="Times New Roman;serif" w:hAnsi="Times New Roman;serif"/>
          <w:b w:val="false"/>
          <w:color w:val="000000"/>
          <w:sz w:val="24"/>
          <w:u w:val="single"/>
        </w:rPr>
        <w:t>The Investors’ Obligations</w:t>
      </w:r>
      <w:r>
        <w:rPr>
          <w:rFonts w:ascii="Times New Roman;serif" w:hAnsi="Times New Roman;serif"/>
          <w:b w:val="false"/>
          <w:color w:val="000000"/>
          <w:sz w:val="24"/>
        </w:rPr>
        <w:t>.</w:t>
      </w:r>
    </w:p>
    <w:p>
      <w:pPr>
        <w:pStyle w:val="TextBody"/>
        <w:bidi w:val="0"/>
        <w:spacing w:lineRule="auto" w:line="240" w:before="240" w:after="283"/>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Discontinuance of Distribution</w:t>
      </w:r>
      <w:r>
        <w:rPr>
          <w:rFonts w:ascii="Times New Roman;serif" w:hAnsi="Times New Roman;serif"/>
          <w:b w:val="false"/>
          <w:color w:val="000000"/>
          <w:sz w:val="24"/>
        </w:rPr>
        <w:t xml:space="preserve">. The Investors agree that, upon receipt of any notice from the Company of the occurrence of any event of the kind described in Section </w:t>
      </w:r>
      <w:r>
        <w:rPr>
          <w:rFonts w:ascii="Times New Roman;serif" w:hAnsi="Times New Roman;serif"/>
          <w:b w:val="false"/>
          <w:color w:val="000000"/>
          <w:sz w:val="24"/>
          <w:u w:val="single"/>
        </w:rPr>
        <w:t>2.4(e)</w:t>
      </w:r>
      <w:r>
        <w:rPr>
          <w:color w:val="000000"/>
        </w:rPr>
        <w:t xml:space="preserve"> </w:t>
      </w:r>
      <w:r>
        <w:rPr>
          <w:rFonts w:ascii="Times New Roman;serif" w:hAnsi="Times New Roman;serif"/>
          <w:b w:val="false"/>
          <w:color w:val="000000"/>
          <w:sz w:val="24"/>
        </w:rPr>
        <w:t xml:space="preserve">hereof, the Investors shall immediately discontinue disposition of Registrable Securities pursuant to any Registration Statement covering such Registrable Securities until the Investors’ receipt of the copies of the supplemented or amended prospectus contemplated by Section </w:t>
      </w:r>
      <w:r>
        <w:rPr>
          <w:rFonts w:ascii="Times New Roman;serif" w:hAnsi="Times New Roman;serif"/>
          <w:b w:val="false"/>
          <w:color w:val="000000"/>
          <w:sz w:val="24"/>
          <w:u w:val="single"/>
        </w:rPr>
        <w:t>2.4(e)</w:t>
      </w:r>
      <w:r>
        <w:rPr>
          <w:color w:val="000000"/>
        </w:rPr>
        <w:t xml:space="preserve"> </w:t>
      </w:r>
      <w:r>
        <w:rPr>
          <w:rFonts w:ascii="Times New Roman;serif" w:hAnsi="Times New Roman;serif"/>
          <w:b w:val="false"/>
          <w:color w:val="000000"/>
          <w:sz w:val="24"/>
        </w:rPr>
        <w:t xml:space="preserve">hereof or receipt of notice that no supplement or amendment is required and that the Investors’ disposition of the Registrable Securities may be resumed. The Company may provide appropriate stop orders to enforce the provisions of this </w:t>
      </w:r>
      <w:r>
        <w:rPr>
          <w:rFonts w:ascii="Times New Roman;serif" w:hAnsi="Times New Roman;serif"/>
          <w:b w:val="false"/>
          <w:color w:val="000000"/>
          <w:sz w:val="24"/>
          <w:u w:val="single"/>
        </w:rPr>
        <w:t>Section 2.5(a)</w:t>
      </w:r>
      <w:r>
        <w:rPr>
          <w:rFonts w:ascii="Times New Roman;serif" w:hAnsi="Times New Roman;serif"/>
          <w:b w:val="false"/>
          <w:color w:val="000000"/>
          <w:sz w:val="24"/>
        </w:rPr>
        <w:t>.</w:t>
      </w:r>
    </w:p>
    <w:p>
      <w:pPr>
        <w:pStyle w:val="TextBody"/>
        <w:bidi w:val="0"/>
        <w:spacing w:lineRule="auto" w:line="240" w:before="240" w:after="283"/>
        <w:jc w:val="left"/>
        <w:rPr/>
      </w:pPr>
      <w:r>
        <w:rPr>
          <w:rFonts w:ascii="Times New Roman;serif" w:hAnsi="Times New Roman;serif"/>
          <w:b w:val="false"/>
          <w:color w:val="010000"/>
          <w:sz w:val="24"/>
        </w:rPr>
        <w:t>(b)</w:t>
      </w:r>
      <w:r>
        <w:rPr>
          <w:rFonts w:ascii="Times New Roman;serif" w:hAnsi="Times New Roman;serif"/>
          <w:b w:val="false"/>
          <w:color w:val="000000"/>
          <w:sz w:val="24"/>
          <w:u w:val="single"/>
        </w:rPr>
        <w:t>Compliance with Prospectus Delivery Requirements</w:t>
      </w:r>
      <w:r>
        <w:rPr>
          <w:rFonts w:ascii="Times New Roman;serif" w:hAnsi="Times New Roman;serif"/>
          <w:b w:val="false"/>
          <w:color w:val="000000"/>
          <w:sz w:val="24"/>
        </w:rPr>
        <w:t>. The Investors covenant and agree that they shall comply with the prospectus delivery requirements of the Securities Act as applicable to them or an exemption therefrom in connection with sales of Registrable Securities pursuant to any Registration Statement filed by the Company pursuant to this Agreement.</w:t>
      </w:r>
    </w:p>
    <w:p>
      <w:pPr>
        <w:pStyle w:val="TextBody"/>
        <w:bidi w:val="0"/>
        <w:spacing w:lineRule="auto" w:line="288" w:before="240" w:after="283"/>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Notification of Sale of Registrable Securities</w:t>
      </w:r>
      <w:r>
        <w:rPr>
          <w:rFonts w:ascii="Times New Roman;serif" w:hAnsi="Times New Roman;serif"/>
          <w:b w:val="false"/>
          <w:color w:val="000000"/>
          <w:sz w:val="24"/>
        </w:rPr>
        <w:t>. The Investors covenant and agree that they shall notify the Company following the sale of Registrable Securities to a third party as promptly as reasonably practicable, and in any event within thirty (30) days, following the sale of such Registrable Securities.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2.6    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240" w:after="283"/>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To the extent permitted by law, the Company shall indemnify the Investors, and, as applicable, their officers, directors, and constituent partners, legal counsel for each Investor and each Person controlling the Investors, with respect to which registration, related qualification, or related compliance of Registrable Securities has been effected pursuant to this Agreement, and each underwriter, if any, and each Person who controls any underwriter within the meaning of the Securities Act against all claims, losses, damages, or liabilities (or actions in respect thereof) to the extent such claims, losses, damages, or liabilities arise out of or are based upon (i) any untrue statement (or alleged untrue statement) of a material fact contained in any prospectus or other document (including any related Registration Statement) incident to any such registration, qualification, or compliance, or (ii) any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applicable to the Company and relating to action or inaction required of the Company in connection with any such registration, qualification, or compliance; and the Company shall pay as incurred to the Investors, each such underwriter, and each Person who controls the Investors or underwriter, any reasonable out-of-pocket legal expenses and any other expenses reasonably incurred in connection with investigating or defending any such claim, loss, damage, liability, or action;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 xml:space="preserve">indemnity contained in this </w:t>
      </w:r>
      <w:r>
        <w:rPr>
          <w:rFonts w:ascii="Times New Roman;serif" w:hAnsi="Times New Roman;serif"/>
          <w:b w:val="false"/>
          <w:color w:val="000000"/>
          <w:sz w:val="24"/>
          <w:u w:val="single"/>
        </w:rPr>
        <w:t>Section 2.6(a)</w:t>
      </w:r>
      <w:r>
        <w:rPr>
          <w:color w:val="000000"/>
        </w:rPr>
        <w:t xml:space="preserve"> </w:t>
      </w:r>
      <w:r>
        <w:rPr>
          <w:rFonts w:ascii="Times New Roman;serif" w:hAnsi="Times New Roman;serif"/>
          <w:b w:val="false"/>
          <w:color w:val="000000"/>
          <w:sz w:val="24"/>
        </w:rPr>
        <w:t xml:space="preserve">shall not apply to amounts paid in settlement of any such claim, loss, damage, liability, or action if settlement is effected without the consent of the Company (which consent shall not unreasonably be withheld); and provided, further, that the Company shall not be liable in any such case to the extent that any such claim, loss, damage, liability, or expense arises out of or is based upon any violation by such Investor of the obligations set forth in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hereof or any untrue statement or omission contained in such prospectus or other document based upon written information furnished to the Company by the Investors, such underwriter, or such controlling Person and stated to be for use therein or any bad faith or willful misconduct of the Investor.</w:t>
      </w:r>
    </w:p>
    <w:p>
      <w:pPr>
        <w:pStyle w:val="TextBody"/>
        <w:bidi w:val="0"/>
        <w:spacing w:lineRule="auto" w:line="240" w:before="240" w:after="283"/>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To the extent permitted by law, each Investor (severally and not jointly) shall, if Registrable Securities held by such Investor are included for sale in the registration and related qualification and compliance effected pursuant to this Agreement, indemnify the Company, each of its directors, each officer of the Company who signs the applicable Registration Statement, each legal counsel and each underwriter of the Company’s securities covered by such a Registration Statement,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 (ii) any omission (or alleged omission) to state therein a material fact required to be stated therein or necessary to make the statements therein not misleading, or (iii) any violation or alleged violation by such Investor of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hereof, the Securities Act, the Exchange Act, any state securities law, or any rule or regulation promulgated under the Securities Act, the Exchange Act or any state securities law applicable to such Investor and relating to action or inaction required of such Investor in connection with any such registration and related qualification and compliance, and shall pay as incurred to such persons, any reasonable out-of-pocket legal expenses and any other expenses reasonably incurred in connection with investigating or defending any such claim, loss, damage, liability, or action, in each case only to the extent that such untrue statement (or alleged untrue statement) or omission (or alleged omission) is made in (and such violation pertains to) such Registration Statement or related document in reliance upon and in conformity with written information furnished to the Company by such Investor and stated to be specifically for use therein;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indemnity contained in this </w:t>
      </w:r>
      <w:r>
        <w:rPr>
          <w:rFonts w:ascii="Times New Roman;serif" w:hAnsi="Times New Roman;serif"/>
          <w:b w:val="false"/>
          <w:color w:val="000000"/>
          <w:sz w:val="24"/>
          <w:u w:val="single"/>
        </w:rPr>
        <w:t>Section 2.6(b)</w:t>
      </w:r>
      <w:r>
        <w:rPr>
          <w:color w:val="000000"/>
        </w:rPr>
        <w:t xml:space="preserve"> </w:t>
      </w:r>
      <w:r>
        <w:rPr>
          <w:rFonts w:ascii="Times New Roman;serif" w:hAnsi="Times New Roman;serif"/>
          <w:b w:val="false"/>
          <w:color w:val="000000"/>
          <w:sz w:val="24"/>
        </w:rPr>
        <w:t xml:space="preserve">shall not apply to amounts paid in settlement of any such claim, loss, damage, liability, or action if settlement is effected without the consent of such Investor (which consent shall not unreasonably be withheld); provided, further, that the Investor shall not be liable in any such case to the extent that any such claim, loss, damage, liability or expense arises out of or is based upon any bad faith willful misconduct or gross negligence of the Company; and provided, further, that such Investor’s liability under this </w:t>
      </w:r>
      <w:r>
        <w:rPr>
          <w:rFonts w:ascii="Times New Roman;serif" w:hAnsi="Times New Roman;serif"/>
          <w:b w:val="false"/>
          <w:color w:val="000000"/>
          <w:sz w:val="24"/>
          <w:u w:val="single"/>
        </w:rPr>
        <w:t>Section 2.6(b)</w:t>
      </w:r>
      <w:r>
        <w:rPr>
          <w:color w:val="000000"/>
        </w:rPr>
        <w:t xml:space="preserve"> </w:t>
      </w:r>
      <w:r>
        <w:rPr>
          <w:rFonts w:ascii="Times New Roman;serif" w:hAnsi="Times New Roman;serif"/>
          <w:b w:val="false"/>
          <w:color w:val="000000"/>
          <w:sz w:val="24"/>
        </w:rPr>
        <w:t xml:space="preserve">(when combined with any amounts such Investor is liable for under </w:t>
      </w:r>
      <w:r>
        <w:rPr>
          <w:rFonts w:ascii="Times New Roman;serif" w:hAnsi="Times New Roman;serif"/>
          <w:b w:val="false"/>
          <w:color w:val="000000"/>
          <w:sz w:val="24"/>
          <w:u w:val="single"/>
        </w:rPr>
        <w:t>Section 2.6(d)</w:t>
      </w:r>
      <w:r>
        <w:rPr>
          <w:rFonts w:ascii="Times New Roman;serif" w:hAnsi="Times New Roman;serif"/>
          <w:b w:val="false"/>
          <w:color w:val="000000"/>
          <w:sz w:val="24"/>
        </w:rPr>
        <w:t>) shall not exceed such Investor’s net proceeds from the offering of securities made in connection with such registration.</w:t>
      </w:r>
    </w:p>
    <w:p>
      <w:pPr>
        <w:pStyle w:val="TextBody"/>
        <w:bidi w:val="0"/>
        <w:spacing w:lineRule="auto" w:line="240" w:before="240" w:after="283"/>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Promptly after receipt by an indemnified party under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 xml:space="preserve">of notice of the commencement of any action, such indemnified party shall, if a claim in respect thereof is to be made against an indemnifying party under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notify the indemnifying party in writing of the commencement thereof and generally summarize such action. The indemnifying party shall have the right to participate in and to assume the defense of such claim at its own expense;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indemnifying party shall be entitled to select counsel for the defense of such claim with the approval of any parties entitled to indemnification, which approval shall not be unreasonably withheld; provided further, however, that if either party reasonably determines that there may be a conflict between the position of the Company and the Investors in conducting the defense of such action, suit, or proceeding by reason of recognized claims for indemnity under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then counsel for such party shall be entitled to conduct the defense to the extent reasonably determined by such counsel to be necessary to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2"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 xml:space="preserve">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party under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but the omission so to notify the indemnifying party shall not relieve such party of any liability that such party may have to any indemnified party otherwise than under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w:t>
      </w:r>
    </w:p>
    <w:p>
      <w:pPr>
        <w:pStyle w:val="TextBody"/>
        <w:bidi w:val="0"/>
        <w:spacing w:lineRule="auto" w:line="240" w:before="240" w:after="283"/>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If the indemnification provided for in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 xml:space="preserve">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In no event, however, shall (i) any amount due for contribution hereunder be in excess of the amount that would otherwise be due under </w:t>
      </w:r>
      <w:r>
        <w:rPr>
          <w:rFonts w:ascii="Times New Roman;serif" w:hAnsi="Times New Roman;serif"/>
          <w:b w:val="false"/>
          <w:color w:val="000000"/>
          <w:sz w:val="24"/>
          <w:u w:val="single"/>
        </w:rPr>
        <w:t>Section 2.6(a)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2.6(b)</w:t>
      </w:r>
      <w:r>
        <w:rPr>
          <w:rFonts w:ascii="Times New Roman;serif" w:hAnsi="Times New Roman;serif"/>
          <w:b w:val="false"/>
          <w:color w:val="000000"/>
          <w:sz w:val="24"/>
        </w:rPr>
        <w:t>, as applicable, based on the limitations of such provisions and (ii) a Person found by a court of competent jurisdiction to be liable for fraudulent misrepresentation (within the meaning of the Securities Act), bad faith or willful misconduct be entitled to contribution from a Person who was not also found by a court of competent jurisdiction to be liable for such fraudulent misrepresentation (within the meaning of the Securities Act), bad faith or willful misconduct.</w:t>
      </w:r>
    </w:p>
    <w:p>
      <w:pPr>
        <w:pStyle w:val="TextBody"/>
        <w:bidi w:val="0"/>
        <w:spacing w:lineRule="auto" w:line="240" w:before="240" w:after="283"/>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Notwithstanding the foregoing, to the extent that the provisions on indemnification and contribution contained in the underwriting agreement entered into in connection with an Underwritten Offering, or the Block Trade sale agreement, are in conflict with the foregoing provisions, the provisions in the underwriting agreement or Block Trade sale agreement shall control;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failure of the underwriting agreement to provide for or address a matter provided for or addressed by the foregoing provisions shall not be a conflict between the underwriting agreement or the Block Trade sale agreement and the foregoing provisions. </w:t>
      </w:r>
    </w:p>
    <w:p>
      <w:pPr>
        <w:pStyle w:val="TextBody"/>
        <w:bidi w:val="0"/>
        <w:spacing w:lineRule="auto" w:line="240" w:before="240" w:after="283"/>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The obligations of the Company and the Investors under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shall survive the completion of any offering of Registrable Securities in a Registration Statement under this Agreement or otherwise.</w:t>
      </w:r>
    </w:p>
    <w:p>
      <w:pPr>
        <w:pStyle w:val="TextBody"/>
        <w:bidi w:val="0"/>
        <w:spacing w:before="0" w:after="0"/>
        <w:jc w:val="left"/>
        <w:rPr/>
      </w:pPr>
      <w:r>
        <w:rPr/>
      </w:r>
    </w:p>
    <w:p>
      <w:pPr>
        <w:pStyle w:val="TextBody"/>
        <w:bidi w:val="0"/>
        <w:spacing w:lineRule="auto" w:line="240"/>
        <w:jc w:val="left"/>
        <w:rPr/>
      </w:pPr>
      <w:r>
        <w:rPr>
          <w:rFonts w:ascii="Times New Roman;serif" w:hAnsi="Times New Roman;serif"/>
          <w:b w:val="false"/>
          <w:color w:val="000000"/>
          <w:sz w:val="24"/>
        </w:rPr>
        <w:t>2.7    </w:t>
      </w:r>
      <w:r>
        <w:rPr>
          <w:rFonts w:ascii="Times New Roman;serif" w:hAnsi="Times New Roman;serif"/>
          <w:b w:val="false"/>
          <w:color w:val="000000"/>
          <w:sz w:val="24"/>
          <w:u w:val="single"/>
        </w:rPr>
        <w:t>Information</w:t>
      </w:r>
      <w:r>
        <w:rPr>
          <w:rFonts w:ascii="Times New Roman;serif" w:hAnsi="Times New Roman;serif"/>
          <w:b w:val="false"/>
          <w:color w:val="000000"/>
          <w:sz w:val="24"/>
        </w:rPr>
        <w:t>. The Investors shall furnish to the Company such information regarding the Investors and the distribution proposed by the Investors as the Company may reasonably request and as shall be reasonably required in connection with any registration referred to in this Agreement. The Investors agree to, as promptly as practicable (and in any event prior to any sales made pursuant to a prospectus), furnish to the Company all information required to be disclosed in order to make the information previously furnished to the Company by the Investors not misleading. The Investors agree to keep confidential the receipt of any notice received pursuant to Section 2.4(e) and the contents thereof, except as required pursuant to applicable law. Notwithstanding anything to the contrary herein, the Company shall be under no obligation to name the Investors in any Registration Statement or include such Investors’ Registrable Securities if the Investors have not provided the information required by this Section 2.7 with respect to the Investors as a selling securityholder in such Registration Statement or any related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3"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2.8    </w:t>
      </w:r>
      <w:r>
        <w:rPr>
          <w:rFonts w:ascii="Times New Roman;serif" w:hAnsi="Times New Roman;serif"/>
          <w:b w:val="false"/>
          <w:color w:val="000000"/>
          <w:sz w:val="24"/>
          <w:u w:val="single"/>
        </w:rPr>
        <w:t>Rule 144 Requirements</w:t>
      </w:r>
      <w:r>
        <w:rPr>
          <w:rFonts w:ascii="Times New Roman;serif" w:hAnsi="Times New Roman;serif"/>
          <w:b w:val="false"/>
          <w:color w:val="000000"/>
          <w:sz w:val="24"/>
        </w:rPr>
        <w:t>. With a view to making available to the Investors the benefits of Rule 144 and any other rule or regulation of the Commission that may at any time permit the Investors to sell Registrable Securities to the public without registration, the Company agrees to use its reasonable best efforts to:</w:t>
      </w:r>
    </w:p>
    <w:p>
      <w:pPr>
        <w:pStyle w:val="TextBody"/>
        <w:bidi w:val="0"/>
        <w:spacing w:lineRule="auto" w:line="240" w:before="240" w:after="283"/>
        <w:jc w:val="both"/>
        <w:rPr/>
      </w:pPr>
      <w:r>
        <w:rPr>
          <w:rFonts w:ascii="Times New Roman;serif" w:hAnsi="Times New Roman;serif"/>
          <w:b w:val="false"/>
          <w:color w:val="010000"/>
          <w:sz w:val="24"/>
        </w:rPr>
        <w:t>(a)</w:t>
      </w:r>
      <w:r>
        <w:rPr>
          <w:rFonts w:ascii="Times New Roman;serif" w:hAnsi="Times New Roman;serif"/>
          <w:b w:val="false"/>
          <w:color w:val="000000"/>
          <w:sz w:val="24"/>
        </w:rPr>
        <w:t>make and keep public information available, as those terms are understood and defined in Rule 144 at all times after the date hereof;</w:t>
      </w:r>
    </w:p>
    <w:p>
      <w:pPr>
        <w:pStyle w:val="TextBody"/>
        <w:bidi w:val="0"/>
        <w:spacing w:lineRule="auto" w:line="240" w:before="240" w:after="283"/>
        <w:jc w:val="both"/>
        <w:rPr/>
      </w:pPr>
      <w:r>
        <w:rPr>
          <w:rFonts w:ascii="Times New Roman;serif" w:hAnsi="Times New Roman;serif"/>
          <w:b w:val="false"/>
          <w:color w:val="010000"/>
          <w:sz w:val="24"/>
        </w:rPr>
        <w:t>(b)</w:t>
      </w:r>
      <w:r>
        <w:rPr>
          <w:rFonts w:ascii="Times New Roman;serif" w:hAnsi="Times New Roman;serif"/>
          <w:b w:val="false"/>
          <w:color w:val="000000"/>
          <w:sz w:val="24"/>
        </w:rPr>
        <w:t>file with the Commission in a timely manner all reports and other documents required of the Company under the Securities Act and the Exchange Act;</w:t>
      </w:r>
    </w:p>
    <w:p>
      <w:pPr>
        <w:pStyle w:val="TextBody"/>
        <w:bidi w:val="0"/>
        <w:spacing w:lineRule="auto" w:line="240" w:before="240" w:after="283"/>
        <w:jc w:val="both"/>
        <w:rPr/>
      </w:pPr>
      <w:r>
        <w:rPr>
          <w:rFonts w:ascii="Times New Roman;serif" w:hAnsi="Times New Roman;serif"/>
          <w:b w:val="false"/>
          <w:color w:val="010000"/>
          <w:sz w:val="24"/>
        </w:rPr>
        <w:t>(c)</w:t>
      </w:r>
      <w:r>
        <w:rPr>
          <w:rFonts w:ascii="Times New Roman;serif" w:hAnsi="Times New Roman;serif"/>
          <w:b w:val="false"/>
          <w:color w:val="000000"/>
          <w:sz w:val="24"/>
        </w:rPr>
        <w:t>prior to the filing of the Registration Statement or any amendment thereto (whether pre-effective or post-effective), and prior to the filing of any prospectus or prospectus supplement related thereto, to provide the Investors with copies of all of the pages thereof (if any) that reference the Investors; and</w:t>
      </w:r>
    </w:p>
    <w:p>
      <w:pPr>
        <w:pStyle w:val="TextBody"/>
        <w:bidi w:val="0"/>
        <w:spacing w:lineRule="auto" w:line="240" w:before="240" w:after="283"/>
        <w:jc w:val="both"/>
        <w:rPr/>
      </w:pPr>
      <w:r>
        <w:rPr>
          <w:rFonts w:ascii="Times New Roman;serif" w:hAnsi="Times New Roman;serif"/>
          <w:b w:val="false"/>
          <w:color w:val="010000"/>
          <w:sz w:val="24"/>
        </w:rPr>
        <w:t>(d)</w:t>
      </w:r>
      <w:r>
        <w:rPr>
          <w:rFonts w:ascii="Times New Roman;serif" w:hAnsi="Times New Roman;serif"/>
          <w:b w:val="false"/>
          <w:color w:val="000000"/>
          <w:sz w:val="24"/>
        </w:rPr>
        <w:t>furnish to any Investor, so long as the Investor owns any Registrable Securities, forthwith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by an Investor in availing itself of any rule or regulation of the Commission which permits an Investor to sell any such securities without registration.</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2.9    </w:t>
      </w:r>
      <w:r>
        <w:rPr>
          <w:rFonts w:ascii="Times New Roman;serif" w:hAnsi="Times New Roman;serif"/>
          <w:b w:val="false"/>
          <w:color w:val="000000"/>
          <w:sz w:val="24"/>
          <w:u w:val="single"/>
        </w:rPr>
        <w:t>Limitations on Subsequent Registration Rights</w:t>
      </w:r>
      <w:r>
        <w:rPr>
          <w:rFonts w:ascii="Times New Roman;serif" w:hAnsi="Times New Roman;serif"/>
          <w:b w:val="false"/>
          <w:color w:val="000000"/>
          <w:sz w:val="24"/>
        </w:rPr>
        <w:t>. From and after the date of this Agreement, the Company shall not, without prior written consent of the Investors, enter into any agreement with any holder or prospective holder of any securities of the Company which would provide to such holder rights with respect to the registration of such securities under the Securities Act or the Exchange Act that would conflict with or adversely affect any of the rights provided to the Investors in this Section 2; it being understood and agreed that any subsequent agreement of the Company with any holder or prospective holder of any securities of the Company of the same class (or convertible into or exchangeable for securities of the same class) as the Registrable Securities granting such Person rights under this Section 2 equivalent to the rights of the Investors under this Section 2 will not be prohibited by the terms of this Section 2.9.</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3.</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3.1    </w:t>
      </w:r>
      <w:r>
        <w:rPr>
          <w:rFonts w:ascii="Times New Roman;serif" w:hAnsi="Times New Roman;serif"/>
          <w:b w:val="false"/>
          <w:color w:val="000000"/>
          <w:sz w:val="24"/>
          <w:u w:val="single"/>
        </w:rPr>
        <w:t>Amendment</w:t>
      </w:r>
      <w:r>
        <w:rPr>
          <w:rFonts w:ascii="Times New Roman;serif" w:hAnsi="Times New Roman;serif"/>
          <w:b w:val="false"/>
          <w:color w:val="000000"/>
          <w:sz w:val="24"/>
        </w:rPr>
        <w:t>. No amendment, alteration or modification of any of the provisions of this Agreement shall be binding unless made in writing and signed by each of the Company and the Investors.</w:t>
      </w:r>
    </w:p>
    <w:p>
      <w:pPr>
        <w:pStyle w:val="TextBody"/>
        <w:bidi w:val="0"/>
        <w:spacing w:before="0" w:after="0"/>
        <w:jc w:val="left"/>
        <w:rPr/>
      </w:pPr>
      <w:r>
        <w:rPr/>
      </w:r>
    </w:p>
    <w:p>
      <w:pPr>
        <w:pStyle w:val="TextBody"/>
        <w:bidi w:val="0"/>
        <w:spacing w:lineRule="auto" w:line="240"/>
        <w:jc w:val="left"/>
        <w:rPr/>
      </w:pPr>
      <w:r>
        <w:rPr>
          <w:rFonts w:ascii="Times New Roman;serif" w:hAnsi="Times New Roman;serif"/>
          <w:b w:val="false"/>
          <w:color w:val="000000"/>
          <w:sz w:val="24"/>
        </w:rPr>
        <w:t>3.2    </w:t>
      </w:r>
      <w:r>
        <w:rPr>
          <w:rFonts w:ascii="Times New Roman;serif" w:hAnsi="Times New Roman;serif"/>
          <w:b w:val="false"/>
          <w:color w:val="000000"/>
          <w:sz w:val="24"/>
          <w:u w:val="single"/>
        </w:rPr>
        <w:t>Injunctive Relief</w:t>
      </w:r>
      <w:r>
        <w:rPr>
          <w:rFonts w:ascii="Times New Roman;serif" w:hAnsi="Times New Roman;serif"/>
          <w:b w:val="false"/>
          <w:color w:val="000000"/>
          <w:sz w:val="24"/>
        </w:rPr>
        <w:t>. It is hereby agreed and acknowledged that it shall be impossible to measure in money the damages that would be suffered if the parties fail to comply with any of the obligations herein imposed on them and that in the event of any such failure, an aggrieved Person shall be irreparably damaged and shall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3.3    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required or permitted under this Agreement must be in writing and sent to the address or facsimile number identified below. Notices must be given: (a) by personal delivery, with receipt acknowledged; (b) by electronic mail followed by hard copy delivered by the methods under clause (c) or (d); (c) by prepaid certified or registered mail, return receipt requested; or (d) by prepaid reputable overnight delivery service. Notices shall be effective upon receipt. Either party may change its notice address by providing the other party written notice of such change. Notices shall be delivered as follows:</w:t>
      </w:r>
    </w:p>
    <w:p>
      <w:pPr>
        <w:pStyle w:val="TextBody"/>
        <w:bidi w:val="0"/>
        <w:spacing w:before="0" w:after="0"/>
        <w:jc w:val="left"/>
        <w:rPr/>
      </w:pPr>
      <w:r>
        <w:rPr/>
      </w:r>
    </w:p>
    <w:tbl>
      <w:tblPr>
        <w:tblW w:w="6434" w:type="dxa"/>
        <w:jc w:val="left"/>
        <w:tblInd w:w="0" w:type="dxa"/>
        <w:tblLayout w:type="fixed"/>
        <w:tblCellMar>
          <w:top w:w="28" w:type="dxa"/>
          <w:left w:w="28" w:type="dxa"/>
          <w:bottom w:w="28" w:type="dxa"/>
          <w:right w:w="28" w:type="dxa"/>
        </w:tblCellMar>
      </w:tblPr>
      <w:tblGrid>
        <w:gridCol w:w="689"/>
        <w:gridCol w:w="607"/>
        <w:gridCol w:w="609"/>
        <w:gridCol w:w="1326"/>
        <w:gridCol w:w="1326"/>
        <w:gridCol w:w="1877"/>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to the Investors:</w:t>
            </w:r>
          </w:p>
        </w:tc>
        <w:tc>
          <w:tcPr>
            <w:tcW w:w="4529"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Baker Brothers Investments</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860 Washington St., 3rd Floor</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10014</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Scott Lessing, President</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If to the Company:</w:t>
            </w:r>
          </w:p>
        </w:tc>
        <w:tc>
          <w:tcPr>
            <w:tcW w:w="452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Incyte Corporation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1801 Augustine Cut-Off</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 19803</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Richard Hoffman, General Counsel</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tc>
      </w:tr>
    </w:tbl>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3.4    </w:t>
      </w:r>
      <w:r>
        <w:rPr>
          <w:rFonts w:ascii="Times New Roman;serif" w:hAnsi="Times New Roman;serif"/>
          <w:b w:val="false"/>
          <w:color w:val="000000"/>
          <w:sz w:val="24"/>
          <w:u w:val="single"/>
        </w:rPr>
        <w:t>Governing Law; Jurisdiction; Venue; Jury Trial</w:t>
      </w:r>
      <w:r>
        <w:rPr>
          <w:rFonts w:ascii="Times New Roman;serif" w:hAnsi="Times New Roman;serif"/>
          <w:b w:val="false"/>
          <w:color w:val="000000"/>
          <w:sz w:val="24"/>
        </w:rPr>
        <w:t>.</w:t>
      </w:r>
    </w:p>
    <w:p>
      <w:pPr>
        <w:pStyle w:val="TextBody"/>
        <w:bidi w:val="0"/>
        <w:spacing w:lineRule="auto" w:line="240" w:before="240" w:after="283"/>
        <w:jc w:val="both"/>
        <w:rPr/>
      </w:pPr>
      <w:r>
        <w:rPr>
          <w:rFonts w:ascii="Times New Roman;serif" w:hAnsi="Times New Roman;serif"/>
          <w:b w:val="false"/>
          <w:color w:val="010000"/>
          <w:sz w:val="24"/>
        </w:rPr>
        <w:t>(a)</w:t>
      </w:r>
      <w:r>
        <w:rPr>
          <w:rFonts w:ascii="Times New Roman;serif" w:hAnsi="Times New Roman;serif"/>
          <w:b w:val="false"/>
          <w:color w:val="000000"/>
          <w:sz w:val="24"/>
        </w:rPr>
        <w:t>This Agreement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pStyle w:val="TextBody"/>
        <w:bidi w:val="0"/>
        <w:spacing w:lineRule="auto" w:line="240" w:before="240" w:after="283"/>
        <w:jc w:val="both"/>
        <w:rPr/>
      </w:pPr>
      <w:r>
        <w:rPr>
          <w:rFonts w:ascii="Times New Roman;serif" w:hAnsi="Times New Roman;serif"/>
          <w:b w:val="false"/>
          <w:color w:val="010000"/>
          <w:sz w:val="24"/>
        </w:rPr>
        <w:t>(b)</w:t>
      </w:r>
      <w:r>
        <w:rPr>
          <w:rFonts w:ascii="Times New Roman;serif" w:hAnsi="Times New Roman;serif"/>
          <w:b w:val="false"/>
          <w:color w:val="000000"/>
          <w:sz w:val="24"/>
        </w:rPr>
        <w:t>Each of the Company and the Investors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Agreement and the transactions contemplated herein, or for recognition or enforcement of any judgment, and each of the Company and the Investors irrevocably and unconditionally agrees that all claims in respect of any such action or proceeding may be heard and determined in such New York state court or, to the fullest extent permitted by applicable law, in such federal court. Each of the Company and the Investors hereto agrees that a final judgment in any such action or proceeding shall be conclusive and may be enforced in other jurisdictions by suit on the judgment or in any other manner provided by law.</w:t>
      </w:r>
    </w:p>
    <w:p>
      <w:pPr>
        <w:pStyle w:val="TextBody"/>
        <w:bidi w:val="0"/>
        <w:spacing w:lineRule="auto" w:line="240" w:before="240" w:after="283"/>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Each of the Company and the Investors irrevocably and unconditionally waives, to the fullest extent permitted by applicable law, any objection that it may now or hereafter have to the laying of venue of any action or proceeding arising out of or relating to this Agreement and the transactions contemplated herein in any court referred to in </w:t>
      </w:r>
      <w:r>
        <w:rPr>
          <w:rFonts w:ascii="Times New Roman;serif" w:hAnsi="Times New Roman;serif"/>
          <w:b w:val="false"/>
          <w:color w:val="000000"/>
          <w:sz w:val="24"/>
          <w:u w:val="single"/>
        </w:rPr>
        <w:t>Section 3.4</w:t>
      </w:r>
      <w:r>
        <w:rPr>
          <w:rFonts w:ascii="Times New Roman;serif" w:hAnsi="Times New Roman;serif"/>
          <w:b w:val="false"/>
          <w:color w:val="000000"/>
          <w:sz w:val="24"/>
        </w:rPr>
        <w:t>(b) hereof. Each of the Company and the Investors hereby irrevocably waives, to the fullest extent permitted by applicable law, the defense of an inconvenient forum to the maintenance of such action or proceeding in any such court.</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5"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10000"/>
          <w:sz w:val="24"/>
        </w:rPr>
        <w:t>(d)</w:t>
      </w:r>
      <w:r>
        <w:rPr>
          <w:rFonts w:ascii="Times New Roman;serif" w:hAnsi="Times New Roman;serif"/>
          <w:b w:val="false"/>
          <w:color w:val="000000"/>
          <w:sz w:val="24"/>
        </w:rPr>
        <w:t>EACH OF THE COMPANY AND THE INVESTORS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OF THE COMPANY AND THE INVESTORS (A) CERTIFIES THAT NO REPRESENTATIVE, AGENT OR ATTORNEY OF ANY OTHER PERSON HAS REPRESENTED, EXPRESSLY OR OTHERWISE, THAT SUCH OTHER PERSON WOULD NOT, IN THE EVENT OF LITIGATION, SEEK TO ENFORCE THE FOREGOING WAIVER AND (B) ACKNOWLEDGES THAT EACH OF THE COMPANY AND THE INVESTORS HAS BEEN INDUCED TO ENTER INTO THIS AGREEMENT BY, AMONG OTHER THINGS, THE MUTUAL WAIVERS AND CERTIFICATIONS IN THIS SECTION.</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3.5    </w:t>
      </w:r>
      <w:r>
        <w:rPr>
          <w:rFonts w:ascii="Times New Roman;serif" w:hAnsi="Times New Roman;serif"/>
          <w:b w:val="false"/>
          <w:color w:val="000000"/>
          <w:sz w:val="24"/>
          <w:u w:val="single"/>
        </w:rPr>
        <w:t>Successors</w:t>
      </w:r>
      <w:r>
        <w:rPr>
          <w:rFonts w:ascii="Times New Roman;serif" w:hAnsi="Times New Roman;serif"/>
          <w:b w:val="false"/>
          <w:color w:val="000000"/>
          <w:sz w:val="24"/>
        </w:rPr>
        <w:t>, Assigns and Transferees. Any and all rights, duties and obligations hereunder shall not be assigned, transferred, delegated or sublicensed by any party hereto without the prior written consent of the other party; provided, however, that the Investors shall be entitled to transfer Registrable Securities to one or more of their affiliates and, solely in connection therewith, may assign their rights hereunder in respect of such transferred Registrable Securities, in each case, so long as such Investor is not relieved of any liability or obligations hereunder, without the prior consent of the Company. Any transfer or assignment made other than as provided in the first sentence of this Section 3.5 shall be null and void. Subject to the foregoing and except as otherwise provided herein, the provisions of this Agreement shall inure to the benefit of, and be binding upon, the successors, permitted assigns, heirs, executors and administrators of the parties hereto. The Company shall not consummate any recapitalization, merger, consolidation, reorganization or other similar transaction whereby stockholders of the Company receive (either directly, through an exchange, via dividend from the Company or otherwise) equity (the “Other Equity”) in any other entity (the “Other Entity”) with respect to Registrable Securities hereunder, unless prior to the consummation thereof, the Other Entity assumes, by written instrument, the obligations under this Agreement with respect to such Other Equity as if such Other Equity were Registrable Securities hereunder.</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3.6    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together with any exhibits hereto, constitute the entire agreement between the parties relating to the subject matter hereof and all previous agreements or arrangements between the parties, written or oral, relating to the subject matter hereof are superseded.</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3.7    </w:t>
      </w:r>
      <w:r>
        <w:rPr>
          <w:rFonts w:ascii="Times New Roman;serif" w:hAnsi="Times New Roman;serif"/>
          <w:b w:val="false"/>
          <w:color w:val="000000"/>
          <w:sz w:val="24"/>
          <w:u w:val="single"/>
        </w:rPr>
        <w:t>Waiver</w:t>
      </w:r>
      <w:r>
        <w:rPr>
          <w:rFonts w:ascii="Times New Roman;serif" w:hAnsi="Times New Roman;serif"/>
          <w:b w:val="false"/>
          <w:color w:val="000000"/>
          <w:sz w:val="24"/>
        </w:rPr>
        <w:t>. No failure on the part of either party hereto to exercise any power, right, privilege or remedy under this 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3.8    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part of this Agreement is declared invalid or unenforceable by any court of competent jurisdiction, such declaration shall not affect the remainder of the Agreement and the invalidated provision shall be revised in a manner that shall render such provision valid while preserving the parties’ original intent to the maximum extent possible.</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3.9    </w:t>
      </w:r>
      <w:r>
        <w:rPr>
          <w:rFonts w:ascii="Times New Roman;serif" w:hAnsi="Times New Roman;serif"/>
          <w:b w:val="false"/>
          <w:color w:val="000000"/>
          <w:sz w:val="24"/>
          <w:u w:val="single"/>
        </w:rPr>
        <w:t>Titles and Subtitle</w:t>
      </w:r>
      <w:r>
        <w:rPr>
          <w:rFonts w:ascii="Times New Roman;serif" w:hAnsi="Times New Roman;serif"/>
          <w:b w:val="false"/>
          <w:color w:val="000000"/>
          <w:sz w:val="24"/>
        </w:rPr>
        <w:t>s. The titles and subtitles used in this Agreement are used for convenience only and are not to be considered in construing or interpreting this Agreement. All references in this Agreement to sections, paragraphs and exhibits shall, unless otherwise provided, refer to sections and paragraphs hereof and exhibits attached hereto.</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6"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erif" w:hAnsi="Times New Roman;serif"/>
          <w:b w:val="false"/>
          <w:color w:val="000000"/>
          <w:sz w:val="24"/>
        </w:rPr>
        <w:t>3.10    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each of which shall be enforceable against the parties that execute such counterparts (including by facsimile or other electronic means), and all of which together shall constitute one instrument.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rPr>
        <w:t>3.11    </w:t>
      </w:r>
      <w:r>
        <w:rPr>
          <w:rFonts w:ascii="Times New Roman;serif" w:hAnsi="Times New Roman;serif"/>
          <w:b w:val="false"/>
          <w:color w:val="000000"/>
          <w:sz w:val="24"/>
          <w:u w:val="single"/>
        </w:rPr>
        <w:t>Term and Termination</w:t>
      </w:r>
      <w:r>
        <w:rPr>
          <w:rFonts w:ascii="Times New Roman;serif" w:hAnsi="Times New Roman;serif"/>
          <w:b w:val="false"/>
          <w:color w:val="000000"/>
          <w:sz w:val="24"/>
        </w:rPr>
        <w:t>. The Investors’ rights to demand the registration of the Registrable Securities under this Agreement, as well as the Company’s obligations under Section 2.1 hereof, shall terminate automatically once all Registrable Securities cease to be Registrable Securities pursuant to the terms of this Agreement.</w:t>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 Signature Page Follows</w:t>
      </w:r>
      <w:r>
        <w:rPr>
          <w:rFonts w:ascii="Times New Roman;serif" w:hAnsi="Times New Roman;serif"/>
          <w:b w:val="false"/>
          <w:color w:val="000000"/>
          <w:sz w:val="24"/>
        </w:rPr>
        <w: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7"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Registration Rights Agreement effective as of the day, month and year first above written.</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COMPANY:</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INCYTE CORPORATION</w:t>
      </w:r>
    </w:p>
    <w:p>
      <w:pPr>
        <w:pStyle w:val="TextBody"/>
        <w:bidi w:val="0"/>
        <w:spacing w:before="0" w:after="0"/>
        <w:jc w:val="left"/>
        <w:rPr/>
      </w:pPr>
      <w:r>
        <w:rPr/>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Richard Hoffman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Name: Richard Hoffman</w:t>
      </w:r>
    </w:p>
    <w:p>
      <w:pPr>
        <w:pStyle w:val="TextBody"/>
        <w:bidi w:val="0"/>
        <w:spacing w:lineRule="auto" w:line="288" w:before="0" w:after="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and General Counsel</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1155"/>
                <wp:effectExtent l="0" t="0" r="0" b="0"/>
                <wp:wrapNone/>
                <wp:docPr id="148" name="Frame1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Registration Rights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Registration Rights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Registration Rights Agreement effective as of the day, month and year first above written.</w:t>
      </w:r>
    </w:p>
    <w:p>
      <w:pPr>
        <w:pStyle w:val="TextBody"/>
        <w:bidi w:val="0"/>
        <w:spacing w:lineRule="auto" w:line="288" w:before="480" w:after="283"/>
        <w:ind w:left="0" w:right="0" w:hanging="720"/>
        <w:jc w:val="left"/>
        <w:rPr>
          <w:rFonts w:ascii="Times New Roman;serif" w:hAnsi="Times New Roman;serif"/>
          <w:b/>
          <w:color w:val="000000"/>
          <w:sz w:val="24"/>
        </w:rPr>
      </w:pPr>
      <w:r>
        <w:rPr>
          <w:rFonts w:ascii="Times New Roman;serif" w:hAnsi="Times New Roman;serif"/>
          <w:b/>
          <w:color w:val="000000"/>
          <w:sz w:val="24"/>
        </w:rPr>
        <w:t>INVESTORS:</w:t>
      </w:r>
    </w:p>
    <w:p>
      <w:pPr>
        <w:pStyle w:val="TextBody"/>
        <w:bidi w:val="0"/>
        <w:spacing w:lineRule="auto" w:line="288" w:before="480" w:after="283"/>
        <w:ind w:left="0" w:right="0" w:hanging="720"/>
        <w:jc w:val="left"/>
        <w:rPr>
          <w:rFonts w:ascii="Times New Roman;serif" w:hAnsi="Times New Roman;serif"/>
          <w:b/>
          <w:color w:val="000000"/>
          <w:sz w:val="24"/>
        </w:rPr>
      </w:pPr>
      <w:r>
        <w:rPr>
          <w:rFonts w:ascii="Times New Roman;serif" w:hAnsi="Times New Roman;serif"/>
          <w:b/>
          <w:color w:val="000000"/>
          <w:sz w:val="24"/>
        </w:rPr>
        <w:t>667, L.P.</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BAKER BROS. ADVISORS LP, management company and investment adviser to 667, L.P., pursuant to authority granted to it by Baker Biotech Capital, L.P., general partner to 667, L.P., and not as the general partner</w:t>
      </w:r>
    </w:p>
    <w:p>
      <w:pPr>
        <w:pStyle w:val="TextBody"/>
        <w:bidi w:val="0"/>
        <w:spacing w:lineRule="auto" w:line="288" w:before="480" w:after="283"/>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Scott L. Lessing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Scott L. Lessing</w:t>
      </w:r>
    </w:p>
    <w:p>
      <w:pPr>
        <w:pStyle w:val="TextBody"/>
        <w:bidi w:val="0"/>
        <w:spacing w:lineRule="auto" w:line="288" w:before="0" w:after="480"/>
        <w:jc w:val="left"/>
        <w:rPr>
          <w:color w:val="000000"/>
        </w:rPr>
      </w:pPr>
      <w:r>
        <w:rPr>
          <w:color w:val="000000"/>
        </w:rPr>
        <w:t>    </w:t>
      </w:r>
      <w:r>
        <w:rPr>
          <w:rFonts w:ascii="Times New Roman;serif" w:hAnsi="Times New Roman;serif"/>
          <w:b w:val="false"/>
          <w:color w:val="000000"/>
          <w:sz w:val="24"/>
        </w:rPr>
        <w:t>President</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BAKER BROTHERS LIFE SCIENCES, L.P.</w:t>
      </w:r>
    </w:p>
    <w:p>
      <w:pPr>
        <w:pStyle w:val="TextBody"/>
        <w:bidi w:val="0"/>
        <w:spacing w:before="0" w:after="0"/>
        <w:jc w:val="left"/>
        <w:rPr/>
      </w:pPr>
      <w:r>
        <w:rPr/>
      </w:r>
    </w:p>
    <w:p>
      <w:pPr>
        <w:pStyle w:val="TextBody"/>
        <w:bidi w:val="0"/>
        <w:spacing w:lineRule="auto" w:line="288" w:before="0" w:after="48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By:    BAKER BROS. ADVISORS LP, management company and investment adviser to BAKER BROTHERS LIFE SCIENCES, L.P., pursuant to authority granted to it by Baker Brothers Life Sciences Capital, L.P., general partner to BAKER BROTHERS LIFE SCIENCES, L.P., and not as the general partner</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Scott L. Lessing    </w:t>
      </w: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Scott L. Lessing</w:t>
      </w:r>
    </w:p>
    <w:p>
      <w:pPr>
        <w:pStyle w:val="TextBody"/>
        <w:bidi w:val="0"/>
        <w:spacing w:lineRule="auto" w:line="288" w:before="0" w:after="480"/>
        <w:jc w:val="left"/>
        <w:rPr>
          <w:color w:val="000000"/>
        </w:rPr>
      </w:pPr>
      <w:r>
        <w:rPr>
          <w:color w:val="000000"/>
        </w:rPr>
        <w:t>    </w:t>
      </w:r>
      <w:r>
        <w:rPr>
          <w:rFonts w:ascii="Times New Roman;serif" w:hAnsi="Times New Roman;serif"/>
          <w:b w:val="false"/>
          <w:color w:val="000000"/>
          <w:sz w:val="24"/>
        </w:rPr>
        <w:t>President</w:t>
      </w:r>
    </w:p>
    <w:p>
      <w:pPr>
        <w:pStyle w:val="TextBody"/>
        <w:bidi w:val="0"/>
        <w:spacing w:before="0" w:after="4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1155"/>
                <wp:effectExtent l="0" t="0" r="0" b="0"/>
                <wp:wrapNone/>
                <wp:docPr id="149" name="Frame1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Registration Rights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Registration Rights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Schedule A</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The Investors</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667,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BAKER BROTHERS LIFE SCIENCES, L.P.</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To the above Investors: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Baker Brothers Investments</w:t>
        <w:br/>
        <w:t xml:space="preserve">860 Washington Street </w:t>
        <w:br/>
        <w:t>New York, NY 10014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Scott Lessing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24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50"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SUBSIDIARIES</w:t>
      </w:r>
    </w:p>
    <w:tbl>
      <w:tblPr>
        <w:tblW w:w="6566" w:type="dxa"/>
        <w:jc w:val="left"/>
        <w:tblInd w:w="0" w:type="dxa"/>
        <w:tblLayout w:type="fixed"/>
        <w:tblCellMar>
          <w:top w:w="28" w:type="dxa"/>
          <w:left w:w="28" w:type="dxa"/>
          <w:bottom w:w="28" w:type="dxa"/>
          <w:right w:w="28" w:type="dxa"/>
        </w:tblCellMar>
      </w:tblPr>
      <w:tblGrid>
        <w:gridCol w:w="1437"/>
        <w:gridCol w:w="1264"/>
        <w:gridCol w:w="1274"/>
        <w:gridCol w:w="109"/>
        <w:gridCol w:w="109"/>
        <w:gridCol w:w="109"/>
        <w:gridCol w:w="663"/>
        <w:gridCol w:w="663"/>
        <w:gridCol w:w="938"/>
      </w:tblGrid>
      <w:tr>
        <w:trPr/>
        <w:tc>
          <w:tcPr>
            <w:tcW w:w="143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65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Jurisdiction of Incorporation</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Escient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Escient Pharmaceuticals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Holdings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Incyte Real Estate Holdings 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Real Estate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Research Institute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Villaris Therapeutics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International Holdings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Canada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International Holdings S.à 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Luxembourg</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International S.à 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Austria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Finland 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Finland</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Distribution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Benelux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Norway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Norway</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Iberia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Nordic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Incyte Biosciences Poland sp. z o.o.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UK</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Technical Operations S.à 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Japan G.K.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3975" w:type="dxa"/>
            <w:gridSpan w:val="3"/>
            <w:tcBorders/>
            <w:tcMar>
              <w:top w:w="0" w:type="dxa"/>
              <w:left w:w="0" w:type="dxa"/>
              <w:bottom w:w="0" w:type="dxa"/>
              <w:right w:w="0" w:type="dxa"/>
            </w:tcMar>
            <w:vAlign w:val="center"/>
          </w:tcPr>
          <w:p>
            <w:pPr>
              <w:pStyle w:val="TableContents"/>
              <w:bidi w:val="0"/>
              <w:spacing w:lineRule="auto" w:line="292"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Incyte Biosciences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9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Jidochem S.à 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following Registration Statements: </w:t>
      </w:r>
    </w:p>
    <w:p>
      <w:pPr>
        <w:pStyle w:val="TextBody"/>
        <w:bidi w:val="0"/>
        <w:spacing w:lineRule="auto" w:line="288"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(1)Registration Statement (Form S-3 No. 333-284808) of Incyte Corporation, </w:t>
      </w:r>
    </w:p>
    <w:p>
      <w:pPr>
        <w:pStyle w:val="TextBody"/>
        <w:bidi w:val="0"/>
        <w:spacing w:lineRule="auto" w:line="288"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(2)Registration Statements (Form S-8 Nos. 333-31409 and 333-288139) pertaining to the 1997 Employee Stock Purchase Plan of Incyte Corporation,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(3)Registration Statements (Form S-8 Nos. 333-167526, 333-174918, 333-182218, 333-189424, 333-197907, 333-212104, 333-225181, 333-231129, 333-257041, 333-273057, and 333-288137) pertaining to the Incyte Corporation Amended and Restated 2010 Stock Incentive Plan, and</w:t>
      </w:r>
    </w:p>
    <w:p>
      <w:pPr>
        <w:pStyle w:val="TextBody"/>
        <w:bidi w:val="0"/>
        <w:spacing w:lineRule="auto" w:line="288"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(4)Registration Statements (Form S-8 No. 333-277043 and 333-288483) pertaining to the Incyte Corporation 2024 Inducement Stock Incentive Plan;</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of our reports dated February 10, 2026, with respect to the consolidated financial statements of Incyte Corporation and the effectiveness of internal control over financial reporting of Incyte Corporation included in this Annual Report (Form 10-K) of Incyte Corporation for the year ended December 31, 2025.</w:t>
      </w:r>
    </w:p>
    <w:p>
      <w:pPr>
        <w:pStyle w:val="TextBody"/>
        <w:bidi w:val="0"/>
        <w:spacing w:before="0" w:after="0"/>
        <w:jc w:val="both"/>
        <w:rPr/>
      </w:pPr>
      <w:r>
        <w:rPr/>
      </w:r>
    </w:p>
    <w:tbl>
      <w:tblPr>
        <w:tblW w:w="2336" w:type="dxa"/>
        <w:jc w:val="left"/>
        <w:tblInd w:w="0" w:type="dxa"/>
        <w:tblLayout w:type="fixed"/>
        <w:tblCellMar>
          <w:top w:w="28" w:type="dxa"/>
          <w:left w:w="28" w:type="dxa"/>
          <w:bottom w:w="28" w:type="dxa"/>
          <w:right w:w="28" w:type="dxa"/>
        </w:tblCellMar>
      </w:tblPr>
      <w:tblGrid>
        <w:gridCol w:w="712"/>
        <w:gridCol w:w="624"/>
        <w:gridCol w:w="628"/>
        <w:gridCol w:w="109"/>
        <w:gridCol w:w="109"/>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February 10, 2026</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William J. Meury,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Incyte Corporation;</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45" w:type="dxa"/>
        <w:jc w:val="left"/>
        <w:tblInd w:w="0" w:type="dxa"/>
        <w:tblLayout w:type="fixed"/>
        <w:tblCellMar>
          <w:top w:w="28" w:type="dxa"/>
          <w:left w:w="28" w:type="dxa"/>
          <w:bottom w:w="28" w:type="dxa"/>
          <w:right w:w="28" w:type="dxa"/>
        </w:tblCellMar>
      </w:tblPr>
      <w:tblGrid>
        <w:gridCol w:w="754"/>
        <w:gridCol w:w="664"/>
        <w:gridCol w:w="667"/>
        <w:gridCol w:w="631"/>
        <w:gridCol w:w="631"/>
        <w:gridCol w:w="89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February 10, 2026</w:t>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 WILLIAM J. MEURY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Meury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Thomas Tray, certify that: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Incyte Corporation;</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94" w:type="dxa"/>
        <w:jc w:val="left"/>
        <w:tblInd w:w="0" w:type="dxa"/>
        <w:tblLayout w:type="fixed"/>
        <w:tblCellMar>
          <w:top w:w="28" w:type="dxa"/>
          <w:left w:w="28" w:type="dxa"/>
          <w:bottom w:w="28" w:type="dxa"/>
          <w:right w:w="28" w:type="dxa"/>
        </w:tblCellMar>
      </w:tblPr>
      <w:tblGrid>
        <w:gridCol w:w="754"/>
        <w:gridCol w:w="664"/>
        <w:gridCol w:w="667"/>
        <w:gridCol w:w="1554"/>
        <w:gridCol w:w="1554"/>
        <w:gridCol w:w="22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10, 2026</w:t>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TRAY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Thomas Tray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reference to the Annual Report of Incyte Corporation (the “Company”) on Form 10-K for the year ended December 31, 2025, as filed with the Securities and Exchange Commission on the date hereof (the “Report”), I, William J. Meury, Chief Executive Officer of the Company, certify, for the purposes of 18 U.S.C. § 1350, as adopted pursuant to § 906 of the Sarbanes-Oxley Act of 2002, that, to my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502" w:type="dxa"/>
        <w:jc w:val="center"/>
        <w:tblInd w:w="0" w:type="dxa"/>
        <w:tblLayout w:type="fixed"/>
        <w:tblCellMar>
          <w:top w:w="28" w:type="dxa"/>
          <w:left w:w="28" w:type="dxa"/>
          <w:bottom w:w="28" w:type="dxa"/>
          <w:right w:w="28" w:type="dxa"/>
        </w:tblCellMar>
      </w:tblPr>
      <w:tblGrid>
        <w:gridCol w:w="124"/>
        <w:gridCol w:w="109"/>
        <w:gridCol w:w="109"/>
        <w:gridCol w:w="631"/>
        <w:gridCol w:w="631"/>
        <w:gridCol w:w="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Meury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10,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reference to the Annual Report of Incyte Corporation (the “Company”) on Form 10-K for the year ended December 31, 2025, as filed with the Securities and Exchange Commission on the date hereof (the “Report”), I, Thomas Tray, Principal Financial Officer of the Company, certify, for the purposes of 18 U.S.C. § 1350, as adopted pursuant to § 906 of the Sarbanes-Oxley Act of 2002, that, to my knowledge:</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651" w:type="dxa"/>
        <w:jc w:val="center"/>
        <w:tblInd w:w="0" w:type="dxa"/>
        <w:tblLayout w:type="fixed"/>
        <w:tblCellMar>
          <w:top w:w="28" w:type="dxa"/>
          <w:left w:w="28" w:type="dxa"/>
          <w:bottom w:w="28" w:type="dxa"/>
          <w:right w:w="28" w:type="dxa"/>
        </w:tblCellMar>
      </w:tblPr>
      <w:tblGrid>
        <w:gridCol w:w="124"/>
        <w:gridCol w:w="109"/>
        <w:gridCol w:w="109"/>
        <w:gridCol w:w="1554"/>
        <w:gridCol w:w="1554"/>
        <w:gridCol w:w="22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TRAY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Tray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10,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9169/000104746910001834/a2196849zex-3_i.htm" TargetMode="External"/><Relationship Id="rId3" Type="http://schemas.openxmlformats.org/officeDocument/2006/relationships/hyperlink" Target="https://www.sec.gov/Archives/edgar/data/879169/000087916923000025/exhibit31-bylawsasamended0.htm" TargetMode="External"/><Relationship Id="rId4" Type="http://schemas.openxmlformats.org/officeDocument/2006/relationships/hyperlink" Target="https://www.sec.gov/Archives/edgar/data/879169/000102140803005282/dex41.htm" TargetMode="External"/><Relationship Id="rId5" Type="http://schemas.openxmlformats.org/officeDocument/2006/relationships/hyperlink" Target="https://www.sec.gov/Archives/edgar/data/879169/000155837020000774/ex-4d3.htm" TargetMode="External"/><Relationship Id="rId6" Type="http://schemas.openxmlformats.org/officeDocument/2006/relationships/hyperlink" Target="https://www.sec.gov/Archives/edgar/data/879169/000087916925000062/exhibit101_incytecorporati.htm" TargetMode="External"/><Relationship Id="rId7" Type="http://schemas.openxmlformats.org/officeDocument/2006/relationships/hyperlink" Target="https://www.sec.gov/Archives/edgar/data/879169/000087916925000062/exhibit101_incytecorporati.htm" TargetMode="External"/><Relationship Id="rId8" Type="http://schemas.openxmlformats.org/officeDocument/2006/relationships/hyperlink" Target="https://www.sec.gov/Archives/edgar/data/879169/000087916925000062/exhibit101_incytecorporati.htm" TargetMode="External"/><Relationship Id="rId9" Type="http://schemas.openxmlformats.org/officeDocument/2006/relationships/hyperlink" Target="https://www.sec.gov/Archives/edgar/data/879169/000087916925000062/exhibit101_incytecorporati.htm" TargetMode="External"/><Relationship Id="rId10" Type="http://schemas.openxmlformats.org/officeDocument/2006/relationships/hyperlink" Target="https://www.sec.gov/Archives/edgar/data/879169/000087916925000062/exhibit101_incytecorporati.htm" TargetMode="External"/><Relationship Id="rId11" Type="http://schemas.openxmlformats.org/officeDocument/2006/relationships/hyperlink" Target="https://www.sec.gov/Archives/edgar/data/879169/000087916925000062/exhibit101_incytecorporati.htm" TargetMode="External"/><Relationship Id="rId12" Type="http://schemas.openxmlformats.org/officeDocument/2006/relationships/hyperlink" Target="https://www.sec.gov/Archives/edgar/data/879169/000087916925000062/exhibit101_incytecorporati.htm" TargetMode="External"/><Relationship Id="rId13" Type="http://schemas.openxmlformats.org/officeDocument/2006/relationships/hyperlink" Target="https://www.sec.gov/Archives/edgar/data/879169/000087916925000062/exhibit101_incytecorporati.htm" TargetMode="External"/><Relationship Id="rId14" Type="http://schemas.openxmlformats.org/officeDocument/2006/relationships/hyperlink" Target="https://www.sec.gov/Archives/edgar/data/879169/000087916925000062/exhibit101_incytecorporati.htm" TargetMode="External"/><Relationship Id="rId15" Type="http://schemas.openxmlformats.org/officeDocument/2006/relationships/hyperlink" Target="https://www.sec.gov/Archives/edgar/data/879169/000155837020012834/incy-20200930xex10d1.htm" TargetMode="External"/><Relationship Id="rId16" Type="http://schemas.openxmlformats.org/officeDocument/2006/relationships/hyperlink" Target="https://www.sec.gov/Archives/edgar/data/879169/000155837020012834/incy-20200930xex10d2.htm" TargetMode="External"/><Relationship Id="rId17" Type="http://schemas.openxmlformats.org/officeDocument/2006/relationships/hyperlink" Target="https://www.sec.gov/Archives/edgar/data/879169/000155837020012834/incy-20200930xex10d3.htm" TargetMode="External"/><Relationship Id="rId18" Type="http://schemas.openxmlformats.org/officeDocument/2006/relationships/hyperlink" Target="https://www.sec.gov/Archives/edgar/data/879169/000104746914001174/a2218324zex-10_24.htm" TargetMode="External"/><Relationship Id="rId19" Type="http://schemas.openxmlformats.org/officeDocument/2006/relationships/hyperlink" Target="https://www.sec.gov/Archives/edgar/data/879169/000155837019006550/incy-20190630ex101dc8f47.htm" TargetMode="External"/><Relationship Id="rId20" Type="http://schemas.openxmlformats.org/officeDocument/2006/relationships/hyperlink" Target="https://www.sec.gov/Archives/edgar/data/879169/000087916924000172/exh101_formofusexecutiveof.htm" TargetMode="External"/><Relationship Id="rId21" Type="http://schemas.openxmlformats.org/officeDocument/2006/relationships/hyperlink" Target="https://www.sec.gov/Archives/edgar/data/879169/000087916924000172/exh102_formofusrsuawardagr.htm" TargetMode="External"/><Relationship Id="rId22" Type="http://schemas.openxmlformats.org/officeDocument/2006/relationships/hyperlink" Target="https://www.sec.gov/Archives/edgar/data/879169/000110465925063675/tm2519327d1_ex10-4.htm" TargetMode="External"/><Relationship Id="rId23" Type="http://schemas.openxmlformats.org/officeDocument/2006/relationships/hyperlink" Target="https://www.sec.gov/Archives/edgar/data/879169/000110465924020600/tm245850d1_ex99-2.htm" TargetMode="External"/><Relationship Id="rId24" Type="http://schemas.openxmlformats.org/officeDocument/2006/relationships/hyperlink" Target="https://www.sec.gov/Archives/edgar/data/879169/000110465924020600/tm245850d1_ex99-2.htm" TargetMode="External"/><Relationship Id="rId25" Type="http://schemas.openxmlformats.org/officeDocument/2006/relationships/hyperlink" Target="https://www.sec.gov/Archives/edgar/data/879169/000110465924020600/tm245850d1_ex99-2.htm" TargetMode="External"/><Relationship Id="rId26" Type="http://schemas.openxmlformats.org/officeDocument/2006/relationships/hyperlink" Target="https://www.sec.gov/Archives/edgar/data/879169/000110465924020600/tm245850d1_ex99-3.htm" TargetMode="External"/><Relationship Id="rId27" Type="http://schemas.openxmlformats.org/officeDocument/2006/relationships/hyperlink" Target="https://www.sec.gov/Archives/edgar/data/879169/000110465924020600/tm245850d1_ex99-3.htm" TargetMode="External"/><Relationship Id="rId28" Type="http://schemas.openxmlformats.org/officeDocument/2006/relationships/hyperlink" Target="https://www.sec.gov/Archives/edgar/data/879169/000110465924020600/tm245850d1_ex99-3.htm" TargetMode="External"/><Relationship Id="rId29" Type="http://schemas.openxmlformats.org/officeDocument/2006/relationships/hyperlink" Target="https://www.sec.gov/Archives/edgar/data/879169/000110465924020600/tm245850d1_ex99-4.htm" TargetMode="External"/><Relationship Id="rId30" Type="http://schemas.openxmlformats.org/officeDocument/2006/relationships/hyperlink" Target="https://www.sec.gov/Archives/edgar/data/879169/000110465924020600/tm245850d1_ex99-4.htm" TargetMode="External"/><Relationship Id="rId31" Type="http://schemas.openxmlformats.org/officeDocument/2006/relationships/hyperlink" Target="https://www.sec.gov/Archives/edgar/data/879169/000110465924020600/tm245850d1_ex99-4.htm" TargetMode="External"/><Relationship Id="rId32" Type="http://schemas.openxmlformats.org/officeDocument/2006/relationships/hyperlink" Target="https://www.sec.gov/Archives/edgar/data/879169/000087916924000172/exh103_usformofexecutiveof.htm" TargetMode="External"/><Relationship Id="rId33" Type="http://schemas.openxmlformats.org/officeDocument/2006/relationships/hyperlink" Target="https://www.sec.gov/Archives/edgar/data/879169/000087916924000172/exh104_usformofrsuawardagr.htm" TargetMode="External"/><Relationship Id="rId34" Type="http://schemas.openxmlformats.org/officeDocument/2006/relationships/hyperlink" Target="https://www.sec.gov/Archives/edgar/data/879169/000087916925000062/exhibit102_1997employeesto.htm" TargetMode="External"/><Relationship Id="rId35" Type="http://schemas.openxmlformats.org/officeDocument/2006/relationships/hyperlink" Target="https://www.sec.gov/Archives/edgar/data/879169/000087916925000062/exhibit102_1997employeesto.htm" TargetMode="External"/><Relationship Id="rId36" Type="http://schemas.openxmlformats.org/officeDocument/2006/relationships/hyperlink" Target="https://www.sec.gov/Archives/edgar/data/879169/000087916925000062/exhibit102_1997employeesto.htm" TargetMode="External"/><Relationship Id="rId37" Type="http://schemas.openxmlformats.org/officeDocument/2006/relationships/hyperlink" Target="https://www.sec.gov/Archives/edgar/data/879169/000087916925000062/exhibit102_1997employeesto.htm" TargetMode="External"/><Relationship Id="rId38" Type="http://schemas.openxmlformats.org/officeDocument/2006/relationships/hyperlink" Target="https://www.sec.gov/Archives/edgar/data/879169/000087916925000062/exhibit102_1997employeesto.htm" TargetMode="External"/><Relationship Id="rId39" Type="http://schemas.openxmlformats.org/officeDocument/2006/relationships/hyperlink" Target="https://www.sec.gov/Archives/edgar/data/879169/000087916925000062/exhibit102_1997employeesto.htm" TargetMode="External"/><Relationship Id="rId40" Type="http://schemas.openxmlformats.org/officeDocument/2006/relationships/hyperlink" Target="https://www.sec.gov/Archives/edgar/data/879169/000087916925000062/exhibit102_1997employeesto.htm" TargetMode="External"/><Relationship Id="rId41" Type="http://schemas.openxmlformats.org/officeDocument/2006/relationships/hyperlink" Target="https://www.sec.gov/Archives/edgar/data/879169/000087916925000062/exhibit102_1997employeesto.htm" TargetMode="External"/><Relationship Id="rId42" Type="http://schemas.openxmlformats.org/officeDocument/2006/relationships/hyperlink" Target="https://www.sec.gov/Archives/edgar/data/879169/000087916925000062/exhibit102_1997employeesto.htm" TargetMode="External"/><Relationship Id="rId43" Type="http://schemas.openxmlformats.org/officeDocument/2006/relationships/hyperlink" Target="https://www.sec.gov/Archives/edgar/data/879169/000104746913001393/a2212845zex-10_14.htm" TargetMode="External"/><Relationship Id="rId44" Type="http://schemas.openxmlformats.org/officeDocument/2006/relationships/hyperlink" Target="https://www.sec.gov/Archives/edgar/data/879169/000104746913001393/a2212845zex-10_14.htm" TargetMode="External"/><Relationship Id="rId45" Type="http://schemas.openxmlformats.org/officeDocument/2006/relationships/hyperlink" Target="https://www.sec.gov/Archives/edgar/data/879169/000104746913001393/a2212845zex-10_14.htm" TargetMode="External"/><Relationship Id="rId46" Type="http://schemas.openxmlformats.org/officeDocument/2006/relationships/hyperlink" Target="https://www.sec.gov/Archives/edgar/data/879169/000104746913001393/a2212845zex-10_14.htm" TargetMode="External"/><Relationship Id="rId47" Type="http://schemas.openxmlformats.org/officeDocument/2006/relationships/hyperlink" Target="https://www.sec.gov/Archives/edgar/data/879169/000104746913001393/a2212845zex-10_14.htm" TargetMode="External"/><Relationship Id="rId48" Type="http://schemas.openxmlformats.org/officeDocument/2006/relationships/hyperlink" Target="https://www.sec.gov/Archives/edgar/data/879169/000104746913001393/a2212845zex-10_14.htm" TargetMode="External"/><Relationship Id="rId49" Type="http://schemas.openxmlformats.org/officeDocument/2006/relationships/hyperlink" Target="https://www.sec.gov/Archives/edgar/data/879169/000104746913001393/a2212845zex-10_14.htm" TargetMode="External"/><Relationship Id="rId50" Type="http://schemas.openxmlformats.org/officeDocument/2006/relationships/hyperlink" Target="https://www.sec.gov/Archives/edgar/data/879169/000104746913001393/a2212845zex-10_14.htm" TargetMode="External"/><Relationship Id="rId51" Type="http://schemas.openxmlformats.org/officeDocument/2006/relationships/hyperlink" Target="https://www.sec.gov/Archives/edgar/data/879169/000104746913001393/a2212845zex-10_14.htm" TargetMode="External"/><Relationship Id="rId52" Type="http://schemas.openxmlformats.org/officeDocument/2006/relationships/hyperlink" Target="https://www.sec.gov/Archives/edgar/data/879169/000104746913001393/a2212845zex-10_14.htm" TargetMode="External"/><Relationship Id="rId53" Type="http://schemas.openxmlformats.org/officeDocument/2006/relationships/hyperlink" Target="https://www.sec.gov/Archives/edgar/data/879169/000104746913001393/a2212845zex-10_14.htm" TargetMode="External"/><Relationship Id="rId54" Type="http://schemas.openxmlformats.org/officeDocument/2006/relationships/hyperlink" Target="https://www.sec.gov/Archives/edgar/data/879169/000104746913001393/a2212845zex-10_14.htm" TargetMode="External"/><Relationship Id="rId55" Type="http://schemas.openxmlformats.org/officeDocument/2006/relationships/hyperlink" Target="https://www.sec.gov/Archives/edgar/data/879169/000104746913001393/a2212845zex-10_14.htm" TargetMode="External"/><Relationship Id="rId56" Type="http://schemas.openxmlformats.org/officeDocument/2006/relationships/hyperlink" Target="https://www.sec.gov/Archives/edgar/data/879169/000104746913001393/a2212845zex-10_14.htm" TargetMode="External"/><Relationship Id="rId57" Type="http://schemas.openxmlformats.org/officeDocument/2006/relationships/hyperlink" Target="https://www.sec.gov/Archives/edgar/data/879169/000104746913001393/a2212845zex-10_14.htm" TargetMode="External"/><Relationship Id="rId58" Type="http://schemas.openxmlformats.org/officeDocument/2006/relationships/hyperlink" Target="https://www.sec.gov/Archives/edgar/data/879169/000104746913001393/a2212845zex-10_14.htm" TargetMode="External"/><Relationship Id="rId59" Type="http://schemas.openxmlformats.org/officeDocument/2006/relationships/hyperlink" Target="https://www.sec.gov/Archives/edgar/data/879169/000104746913001393/a2212845zex-10_14.htm" TargetMode="External"/><Relationship Id="rId60" Type="http://schemas.openxmlformats.org/officeDocument/2006/relationships/hyperlink" Target="https://www.sec.gov/Archives/edgar/data/879169/000104746913001393/a2212845zex-10_14.htm" TargetMode="External"/><Relationship Id="rId61" Type="http://schemas.openxmlformats.org/officeDocument/2006/relationships/hyperlink" Target="https://www.sec.gov/Archives/edgar/data/879169/000104746913001393/a2212845zex-10_14.htm" TargetMode="External"/><Relationship Id="rId62" Type="http://schemas.openxmlformats.org/officeDocument/2006/relationships/hyperlink" Target="https://www.sec.gov/Archives/edgar/data/879169/000104746913001393/a2212845zex-10_14.htm" TargetMode="External"/><Relationship Id="rId63" Type="http://schemas.openxmlformats.org/officeDocument/2006/relationships/hyperlink" Target="https://www.sec.gov/Archives/edgar/data/879169/000104746913001393/a2212845zex-10_14.htm" TargetMode="External"/><Relationship Id="rId64" Type="http://schemas.openxmlformats.org/officeDocument/2006/relationships/hyperlink" Target="https://www.sec.gov/Archives/edgar/data/879169/000104746913001393/a2212845zex-10_14.htm" TargetMode="External"/><Relationship Id="rId65" Type="http://schemas.openxmlformats.org/officeDocument/2006/relationships/hyperlink" Target="https://www.sec.gov/Archives/edgar/data/879169/000104746913001393/a2212845zex-10_14.htm" TargetMode="External"/><Relationship Id="rId66" Type="http://schemas.openxmlformats.org/officeDocument/2006/relationships/hyperlink" Target="https://www.sec.gov/Archives/edgar/data/879169/000104746913001393/a2212845zex-10_14.htm" TargetMode="External"/><Relationship Id="rId67" Type="http://schemas.openxmlformats.org/officeDocument/2006/relationships/hyperlink" Target="https://www.sec.gov/Archives/edgar/data/879169/000104746913001393/a2212845zex-10_14.htm" TargetMode="External"/><Relationship Id="rId68" Type="http://schemas.openxmlformats.org/officeDocument/2006/relationships/hyperlink" Target="https://www.sec.gov/Archives/edgar/data/879169/000104746913001393/a2212845zex-10_14.htm" TargetMode="External"/><Relationship Id="rId69" Type="http://schemas.openxmlformats.org/officeDocument/2006/relationships/hyperlink" Target="https://www.sec.gov/Archives/edgar/data/879169/000104746913001393/a2212845zex-10_14.htm" TargetMode="External"/><Relationship Id="rId70" Type="http://schemas.openxmlformats.org/officeDocument/2006/relationships/hyperlink" Target="https://www.sec.gov/Archives/edgar/data/879169/000104746913001393/a2212845zex-10_14.htm" TargetMode="External"/><Relationship Id="rId71" Type="http://schemas.openxmlformats.org/officeDocument/2006/relationships/hyperlink" Target="https://www.sec.gov/Archives/edgar/data/879169/000087916923000025/exhibit101-cagnoniofferlet.htm" TargetMode="External"/><Relationship Id="rId72" Type="http://schemas.openxmlformats.org/officeDocument/2006/relationships/hyperlink" Target="https://www.sec.gov/Archives/edgar/data/879169/000110465925063675/tm2519327d1_ex10-1.htm" TargetMode="External"/><Relationship Id="rId73" Type="http://schemas.openxmlformats.org/officeDocument/2006/relationships/hyperlink" Target="https://www.sec.gov/Archives/edgar/data/879169/000110465925063675/tm2519327d1_ex10-1.htm" TargetMode="External"/><Relationship Id="rId74" Type="http://schemas.openxmlformats.org/officeDocument/2006/relationships/hyperlink" Target="https://www.sec.gov/Archives/edgar/data/879169/000110465925063675/tm2519327d1_ex10-1.htm" TargetMode="External"/><Relationship Id="rId75" Type="http://schemas.openxmlformats.org/officeDocument/2006/relationships/hyperlink" Target="https://www.sec.gov/Archives/edgar/data/879169/000110465925063675/tm2519327d1_ex10-1.htm" TargetMode="External"/><Relationship Id="rId76" Type="http://schemas.openxmlformats.org/officeDocument/2006/relationships/hyperlink" Target="https://www.sec.gov/Archives/edgar/data/879169/000110465925063675/tm2519327d1_ex10-1.htm" TargetMode="External"/><Relationship Id="rId77" Type="http://schemas.openxmlformats.org/officeDocument/2006/relationships/hyperlink" Target="https://www.sec.gov/Archives/edgar/data/879169/000110465925063675/tm2519327d1_ex10-1.htm" TargetMode="External"/><Relationship Id="rId78" Type="http://schemas.openxmlformats.org/officeDocument/2006/relationships/hyperlink" Target="https://www.sec.gov/Archives/edgar/data/879169/000110465925063675/tm2519327d1_ex10-1.htm" TargetMode="External"/><Relationship Id="rId79" Type="http://schemas.openxmlformats.org/officeDocument/2006/relationships/hyperlink" Target="https://www.sec.gov/Archives/edgar/data/879169/000110465925063675/tm2519327d1_ex10-1.htm" TargetMode="External"/><Relationship Id="rId80" Type="http://schemas.openxmlformats.org/officeDocument/2006/relationships/hyperlink" Target="https://www.sec.gov/Archives/edgar/data/879169/000110465925063675/tm2519327d1_ex10-1.htm" TargetMode="External"/><Relationship Id="rId81" Type="http://schemas.openxmlformats.org/officeDocument/2006/relationships/hyperlink" Target="https://www.sec.gov/Archives/edgar/data/879169/000110465925063675/tm2519327d1_ex10-1.htm" TargetMode="External"/><Relationship Id="rId82" Type="http://schemas.openxmlformats.org/officeDocument/2006/relationships/hyperlink" Target="https://www.sec.gov/Archives/edgar/data/879169/000110465925063675/tm2519327d1_ex10-1.htm" TargetMode="External"/><Relationship Id="rId83" Type="http://schemas.openxmlformats.org/officeDocument/2006/relationships/hyperlink" Target="https://www.sec.gov/Archives/edgar/data/879169/000110465925063675/tm2519327d1_ex10-1.htm" TargetMode="External"/><Relationship Id="rId84" Type="http://schemas.openxmlformats.org/officeDocument/2006/relationships/hyperlink" Target="https://www.sec.gov/Archives/edgar/data/879169/000110465925063675/tm2519327d1_ex10-1.htm" TargetMode="External"/><Relationship Id="rId85" Type="http://schemas.openxmlformats.org/officeDocument/2006/relationships/hyperlink" Target="https://www.sec.gov/Archives/edgar/data/879169/000110465925063675/tm2519327d1_ex10-1.htm" TargetMode="External"/><Relationship Id="rId86" Type="http://schemas.openxmlformats.org/officeDocument/2006/relationships/hyperlink" Target="https://www.sec.gov/Archives/edgar/data/879169/000110465925063675/tm2519327d1_ex10-1.htm" TargetMode="External"/><Relationship Id="rId87" Type="http://schemas.openxmlformats.org/officeDocument/2006/relationships/hyperlink" Target="https://www.sec.gov/Archives/edgar/data/879169/000110465925063675/tm2519327d1_ex10-2.htm" TargetMode="External"/><Relationship Id="rId88" Type="http://schemas.openxmlformats.org/officeDocument/2006/relationships/hyperlink" Target="https://www.sec.gov/Archives/edgar/data/879169/000110465925063675/tm2519327d1_ex10-3.htm" TargetMode="External"/><Relationship Id="rId89" Type="http://schemas.openxmlformats.org/officeDocument/2006/relationships/hyperlink" Target="https://www.sec.gov/Archives/edgar/data/879169/000087916925000118/executiveseveranceplan-ex1.htm" TargetMode="External"/><Relationship Id="rId90" Type="http://schemas.openxmlformats.org/officeDocument/2006/relationships/hyperlink" Target="https://www.sec.gov/Archives/edgar/data/879169/000087916925000118/executiveseveranceplan-ex1.htm" TargetMode="External"/><Relationship Id="rId91" Type="http://schemas.openxmlformats.org/officeDocument/2006/relationships/hyperlink" Target="https://www.sec.gov/Archives/edgar/data/879169/000087916925000118/executiveseveranceplan-ex1.htm" TargetMode="External"/><Relationship Id="rId92" Type="http://schemas.openxmlformats.org/officeDocument/2006/relationships/hyperlink" Target="https://www.sec.gov/Archives/edgar/data/879169/000087916925000118/executiveseveranceplan-ex1.htm" TargetMode="External"/><Relationship Id="rId93" Type="http://schemas.openxmlformats.org/officeDocument/2006/relationships/hyperlink" Target="https://www.sec.gov/Archives/edgar/data/879169/000087916925000118/executiveseveranceplan-ex1.htm" TargetMode="External"/><Relationship Id="rId94" Type="http://schemas.openxmlformats.org/officeDocument/2006/relationships/hyperlink" Target="https://www.sec.gov/Archives/edgar/data/879169/000087916925000118/executiveseveranceplan-ex1.htm" TargetMode="External"/><Relationship Id="rId95" Type="http://schemas.openxmlformats.org/officeDocument/2006/relationships/hyperlink" Target="https://www.sec.gov/Archives/edgar/data/879169/000087916925000118/executiveseveranceplan-ex1.htm" TargetMode="External"/><Relationship Id="rId96" Type="http://schemas.openxmlformats.org/officeDocument/2006/relationships/hyperlink" Target="https://www.sec.gov/Archives/edgar/data/879169/000087916925000118/executiveseveranceplan-ex1.htm" TargetMode="External"/><Relationship Id="rId97" Type="http://schemas.openxmlformats.org/officeDocument/2006/relationships/hyperlink" Target="https://www.sec.gov/Archives/edgar/data/879169/000087916925000118/executiveseveranceplan-ex1.htm" TargetMode="External"/><Relationship Id="rId98" Type="http://schemas.openxmlformats.org/officeDocument/2006/relationships/hyperlink" Target="https://www.sec.gov/Archives/edgar/data/879169/000087916925000118/executiveseveranceplan-ex1.htm" TargetMode="External"/><Relationship Id="rId99" Type="http://schemas.openxmlformats.org/officeDocument/2006/relationships/hyperlink" Target="https://www.sec.gov/Archives/edgar/data/879169/000087916925000118/executiveseveranceplan-ex1.htm" TargetMode="External"/><Relationship Id="rId100" Type="http://schemas.openxmlformats.org/officeDocument/2006/relationships/hyperlink" Target="https://www.sec.gov/Archives/edgar/data/879169/000155837019009326/incy-20190930ex101e8f74d.htm" TargetMode="External"/><Relationship Id="rId101" Type="http://schemas.openxmlformats.org/officeDocument/2006/relationships/hyperlink" Target="https://www.sec.gov/Archives/edgar/data/879169/000155837019009326/incy-20190930ex10117002c.htm" TargetMode="External"/><Relationship Id="rId102" Type="http://schemas.openxmlformats.org/officeDocument/2006/relationships/hyperlink" Target="https://www.sec.gov/Archives/edgar/data/879169/000155837020005185/incy-20200331xex10d2.htm" TargetMode="External"/><Relationship Id="rId103" Type="http://schemas.openxmlformats.org/officeDocument/2006/relationships/hyperlink" Target="https://www.sec.gov/Archives/edgar/data/879169/000087916925000056/exhibit101_extensionofamen.htm" TargetMode="External"/><Relationship Id="rId104" Type="http://schemas.openxmlformats.org/officeDocument/2006/relationships/hyperlink" Target="https://www.sec.gov/Archives/edgar/data/879169/000155837019009326/incy-20190930ex1020eebfd.htm" TargetMode="External"/><Relationship Id="rId105" Type="http://schemas.openxmlformats.org/officeDocument/2006/relationships/hyperlink" Target="https://www.sec.gov/Archives/edgar/data/879169/000155837019009326/incy-20190930ex1021f3558.htm" TargetMode="External"/><Relationship Id="rId106" Type="http://schemas.openxmlformats.org/officeDocument/2006/relationships/hyperlink" Target="https://www.sec.gov/Archives/edgar/data/879169/000155837019009326/incy-20190930ex10225e24a.htm" TargetMode="External"/><Relationship Id="rId107" Type="http://schemas.openxmlformats.org/officeDocument/2006/relationships/hyperlink" Target="https://www.sec.gov/Archives/edgar/data/879169/000110465917043033/a17-15971_1ex10d21d4.htm" TargetMode="External"/><Relationship Id="rId108" Type="http://schemas.openxmlformats.org/officeDocument/2006/relationships/hyperlink" Target="https://www.sec.gov/Archives/edgar/data/879169/000155837020009164/incy-20200630xex10d1.htm" TargetMode="External"/><Relationship Id="rId109" Type="http://schemas.openxmlformats.org/officeDocument/2006/relationships/hyperlink" Target="https://www.sec.gov/Archives/edgar/data/0000879169/000155837021014131/incy-20210930xex10d1.htm" TargetMode="External"/><Relationship Id="rId110" Type="http://schemas.openxmlformats.org/officeDocument/2006/relationships/hyperlink" Target="https://www.sec.gov/Archives/edgar/data/879169/000087916923000025/exhibit103-amendedcreditag.htm" TargetMode="External"/><Relationship Id="rId111" Type="http://schemas.openxmlformats.org/officeDocument/2006/relationships/hyperlink" Target="https://www.sec.gov/Archives/edgar/data/879169/000087916924000149/incytecorporationexhibit101.htm" TargetMode="External"/><Relationship Id="rId112" Type="http://schemas.openxmlformats.org/officeDocument/2006/relationships/hyperlink" Target="https://www.sec.gov/Archives/edgar/data/879169/000162828025004633/exhibit191-incyinsidertrad.htm" TargetMode="External"/><Relationship Id="rId113" Type="http://schemas.openxmlformats.org/officeDocument/2006/relationships/hyperlink" Target="https://www.sec.gov/Archives/edgar/data/879169/000087916924000062/incytepolicyforrecoupmento.htm" TargetMode="External"/><Relationship Id="rId114" Type="http://schemas.openxmlformats.org/officeDocument/2006/relationships/image" Target="media/image1.jpeg"/><Relationship Id="rId115" Type="http://schemas.openxmlformats.org/officeDocument/2006/relationships/fontTable" Target="fontTable.xml"/><Relationship Id="rId1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85437</Words>
  <Characters>483366</Characters>
  <CharactersWithSpaces>565790</CharactersWithSpaces>
  <Paragraphs>4411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