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line="10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$.001 par value, was 192,650,249 as of October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703580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52070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76835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60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(Loss)</w:t>
            </w:r>
          </w:p>
        </w:tc>
        <w:tc>
          <w:tcPr>
            <w:tcW w:w="31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Item 3.</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4.</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4"/>
          </w:tcPr>
          <w:p>
            <w:pPr>
              <w:jc w:val="center"/>
              <w:ind w:left="3092"/>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3,213,376</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$463,921 and $442,816 as of September 30, 2024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2023, respectively; allowance for credit losses $0 as of September 30, 2024 and December 31, 2023)</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442,667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 term equity 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743,557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182,830</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2,808,708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4,645,402</w:t>
            </w: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187,716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206,965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751,513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631,886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52,107</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5,012,434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178,710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935,569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38,422</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1,240,379</w:t>
            </w: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173,578</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1,841,214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1,592,270</w:t>
            </w:r>
          </w:p>
        </w:tc>
        <w:tc>
          <w:tcPr>
            <w:tcW w:w="0" w:type="dxa"/>
            <w:vAlign w:val="bottom"/>
          </w:tcPr>
          <w:p>
            <w:pPr>
              <w:spacing w:after="0"/>
              <w:rPr>
                <w:sz w:val="1"/>
                <w:szCs w:val="1"/>
                <w:color w:val="auto"/>
              </w:rPr>
            </w:pPr>
          </w:p>
        </w:tc>
      </w:tr>
      <w:tr>
        <w:trPr>
          <w:trHeight w:val="88"/>
        </w:trPr>
        <w:tc>
          <w:tcPr>
            <w:tcW w:w="8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180" w:type="dxa"/>
            <w:vAlign w:val="bottom"/>
          </w:tcPr>
          <w:p>
            <w:pPr>
              <w:ind w:left="260"/>
              <w:spacing w:after="0" w:line="159" w:lineRule="exact"/>
              <w:rPr>
                <w:sz w:val="20"/>
                <w:szCs w:val="20"/>
                <w:color w:val="auto"/>
              </w:rPr>
            </w:pPr>
            <w:r>
              <w:rPr>
                <w:rFonts w:ascii="Times New Roman" w:cs="Times New Roman" w:eastAsia="Times New Roman" w:hAnsi="Times New Roman"/>
                <w:sz w:val="16"/>
                <w:szCs w:val="16"/>
                <w:color w:val="auto"/>
              </w:rPr>
              <w:t>Common stock, $0.001 par value; 400,000,000 shares authorized; 192,798,328 and 224,286,862 shares issued and</w:t>
            </w:r>
          </w:p>
        </w:tc>
        <w:tc>
          <w:tcPr>
            <w:tcW w:w="2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outstanding as of September 30, 2024 and December 31, 2023, respectively</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5,016,122</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(1,274,093)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3,171,220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5,012,434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6,782,107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2023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8"/>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962,992</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783,197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2,599,481</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2,303,439</w:t>
            </w:r>
          </w:p>
        </w:tc>
      </w:tr>
      <w:tr>
        <w:trPr>
          <w:trHeight w:val="22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373,869</w:t>
            </w:r>
          </w:p>
        </w:tc>
      </w:tr>
      <w:tr>
        <w:trPr>
          <w:trHeight w:val="225"/>
        </w:trPr>
        <w:tc>
          <w:tcPr>
            <w:tcW w:w="5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2,682,308</w:t>
            </w:r>
          </w:p>
        </w:tc>
      </w:tr>
      <w:tr>
        <w:trPr>
          <w:trHeight w:val="245"/>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2"/>
        </w:trPr>
        <w:tc>
          <w:tcPr>
            <w:tcW w:w="504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8"/>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185,239</w:t>
            </w:r>
          </w:p>
        </w:tc>
      </w:tr>
      <w:tr>
        <w:trPr>
          <w:trHeight w:val="225"/>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573,174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1,183,100</w:t>
            </w: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309,209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867,428</w:t>
            </w:r>
          </w:p>
        </w:tc>
      </w:tr>
      <w:tr>
        <w:trPr>
          <w:trHeight w:val="172"/>
        </w:trPr>
        <w:tc>
          <w:tcPr>
            <w:tcW w:w="504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Loss (gain) on change in fair value of acquisition-related</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8"/>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r>
      <w:tr>
        <w:trPr>
          <w:trHeight w:val="225"/>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(profit) sharing under collaboration agreements</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8"/>
        </w:trPr>
        <w:tc>
          <w:tcPr>
            <w:tcW w:w="5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991,786</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3,302,666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2,249,053</w:t>
            </w:r>
          </w:p>
        </w:tc>
      </w:tr>
      <w:tr>
        <w:trPr>
          <w:trHeight w:val="245"/>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433,255</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121,912</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(loss) gain on equity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w:t>
            </w:r>
          </w:p>
        </w:tc>
      </w:tr>
      <w:tr>
        <w:trPr>
          <w:trHeight w:val="21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563,259</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50,068</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166,739</w:t>
            </w:r>
          </w:p>
        </w:tc>
      </w:tr>
      <w:tr>
        <w:trPr>
          <w:trHeight w:val="243"/>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192,629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223,428</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195,838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225,756</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4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4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396,520</w:t>
            </w:r>
          </w:p>
        </w:tc>
      </w:tr>
      <w:tr>
        <w:trPr>
          <w:trHeight w:val="265"/>
        </w:trPr>
        <w:tc>
          <w:tcPr>
            <w:tcW w:w="4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25"/>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securities, net of tax</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25"/>
        </w:trPr>
        <w:tc>
          <w:tcPr>
            <w:tcW w:w="4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8"/>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r>
      <w:tr>
        <w:trPr>
          <w:trHeight w:val="265"/>
        </w:trPr>
        <w:tc>
          <w:tcPr>
            <w:tcW w:w="43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320" w:type="dxa"/>
            <w:vAlign w:val="bottom"/>
          </w:tcPr>
          <w:p>
            <w:pPr>
              <w:spacing w:after="0"/>
              <w:rPr>
                <w:sz w:val="24"/>
                <w:szCs w:val="24"/>
                <w:color w:val="auto"/>
              </w:rPr>
            </w:pP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95"/>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4480" w:type="dxa"/>
        <w:tblCellMar>
          <w:top w:w="0" w:type="dxa"/>
          <w:left w:w="0" w:type="dxa"/>
          <w:bottom w:w="0" w:type="dxa"/>
          <w:right w:w="0" w:type="dxa"/>
        </w:tblCellMar>
      </w:tblPr>
      <w:tr>
        <w:trPr>
          <w:trHeight w:val="172"/>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80" w:type="dxa"/>
            <w:vAlign w:val="bottom"/>
          </w:tcPr>
          <w:p>
            <w:pPr>
              <w:jc w:val="center"/>
              <w:ind w:left="29"/>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vMerge w:val="continue"/>
          </w:tcPr>
          <w:p>
            <w:pPr>
              <w:spacing w:after="0"/>
              <w:rPr>
                <w:sz w:val="13"/>
                <w:szCs w:val="13"/>
                <w:color w:val="auto"/>
              </w:rPr>
            </w:pPr>
          </w:p>
        </w:tc>
        <w:tc>
          <w:tcPr>
            <w:tcW w:w="1020" w:type="dxa"/>
            <w:vAlign w:val="bottom"/>
          </w:tcPr>
          <w:p>
            <w:pPr>
              <w:jc w:val="center"/>
              <w:ind w:left="109"/>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71,769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291,735 shares of Common Stock under the ESPP</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1,345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1,060,300 shares of Common Stock upon exercise</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of stock options and settlement of employee restricted stock</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1,242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-3625850</wp:posOffset>
            </wp:positionV>
            <wp:extent cx="713486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-3213100</wp:posOffset>
            </wp:positionV>
            <wp:extent cx="71348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-2262505</wp:posOffset>
            </wp:positionV>
            <wp:extent cx="713486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-1850390</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-1581150</wp:posOffset>
            </wp:positionV>
            <wp:extent cx="71348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-714375</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-1286510</wp:posOffset>
            </wp:positionV>
            <wp:extent cx="7134860" cy="336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3365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-2944495</wp:posOffset>
            </wp:positionV>
            <wp:extent cx="7134860" cy="16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5,016,122</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r>
      <w:tr>
        <w:trPr>
          <w:trHeight w:val="62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(5,697)</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59,781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5,070,286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5,394,271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3"/>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13,792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56,637</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56,637</w:t>
            </w:r>
          </w:p>
        </w:tc>
      </w:tr>
      <w:tr>
        <w:trPr>
          <w:trHeight w:val="21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(758,061)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(2,023,872)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4,382,734</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(1,380,446)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2,997,059</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(31,270)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(31,269)</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77,922</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106,456</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4,429,466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(1,274,093)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3,171,220</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-1303655</wp:posOffset>
            </wp:positionV>
            <wp:extent cx="858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-1446530</wp:posOffset>
            </wp:positionV>
            <wp:extent cx="8585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-2776220</wp:posOffset>
            </wp:positionV>
            <wp:extent cx="858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9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40" w:type="dxa"/>
            <w:vAlign w:val="bottom"/>
            <w:vMerge w:val="continue"/>
          </w:tcPr>
          <w:p>
            <w:pPr>
              <w:spacing w:after="0"/>
              <w:rPr>
                <w:sz w:val="12"/>
                <w:szCs w:val="12"/>
                <w:color w:val="auto"/>
              </w:rPr>
            </w:pPr>
          </w:p>
        </w:tc>
        <w:tc>
          <w:tcPr>
            <w:tcW w:w="1160" w:type="dxa"/>
            <w:vAlign w:val="bottom"/>
          </w:tcPr>
          <w:p>
            <w:pPr>
              <w:jc w:val="center"/>
              <w:ind w:left="249"/>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8"/>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6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313,995 shares of Common Stock upon exercise of</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1,073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59,093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216,168 shares of Common Stock under the ESPP</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1,282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762,231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1,278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-3188335</wp:posOffset>
            </wp:positionV>
            <wp:extent cx="7134860" cy="23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-2818130</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-1951355</wp:posOffset>
            </wp:positionV>
            <wp:extent cx="7134860"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-1581150</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235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-1311910</wp:posOffset>
            </wp:positionV>
            <wp:extent cx="7134860" cy="160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-2548890</wp:posOffset>
            </wp:positionV>
            <wp:extent cx="7134860" cy="16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4,792,041</w:t>
            </w:r>
          </w:p>
        </w:tc>
        <w:tc>
          <w:tcPr>
            <w:tcW w:w="4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(437,214)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4,370,119</w:t>
            </w:r>
          </w:p>
        </w:tc>
      </w:tr>
      <w:tr>
        <w:trPr>
          <w:trHeight w:val="529"/>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11,235</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53,558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21,703</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4,856,914</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(415,511)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4,462,568</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13,704</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54,928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4,925,626</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(211,963)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4,740,692</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(24,682)</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(24,681)</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47,999</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47,999</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171,269</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4,949,023</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4,931,447</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-1143635</wp:posOffset>
            </wp:positionV>
            <wp:extent cx="8585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-2380615</wp:posOffset>
            </wp:positionV>
            <wp:extent cx="858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396,520</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155,899</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Realized and unrealized gain on equity investments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(77,193)</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114,391</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348,758</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long term investments</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(222,228)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and maturities of marketable securities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224,225</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(53,177)</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275,827</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2,953,120</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1,305,846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3,228,947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253,180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excise tax on repurchase of common stock</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as well as NIKTIMVO™ (axatilimab-csfr), which was approved for medical use in the United States in August 2024 and will be co-commercialized. Our operations are treated as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2024, the condensed consolidated statements of operations, comprehensive income (loss), and stockholders’ equity for the three and nine months ended September 30, 2024 and 2023, and the condensed consolidated statements of cash flows for the nine months ended September 30, 2024 and 2023,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2023 has been derived from our audited consolidated financial statements.</w:t>
      </w:r>
    </w:p>
    <w:p>
      <w:pPr>
        <w:spacing w:after="0" w:line="187"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 (the “SEC”).</w:t>
      </w:r>
    </w:p>
    <w:p>
      <w:pPr>
        <w:spacing w:after="0" w:line="15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2023.</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 issued Release Nos. 33-11275; 34-99678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to require public companies to provide certain climate-related information in their registration statements and annual reports. The compliance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1,898,605</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84,493</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62,989</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2,303,439</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95,779</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373,869</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3,062,519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2,682,308</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3"/>
                <w:szCs w:val="13"/>
                <w:color w:val="auto"/>
              </w:rPr>
            </w:pPr>
          </w:p>
        </w:tc>
        <w:tc>
          <w:tcPr>
            <w:tcW w:w="12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60" w:type="dxa"/>
            <w:vAlign w:val="bottom"/>
          </w:tcPr>
          <w:p>
            <w:pPr>
              <w:spacing w:after="0"/>
              <w:rPr>
                <w:sz w:val="16"/>
                <w:szCs w:val="16"/>
                <w:color w:val="auto"/>
              </w:rPr>
            </w:pPr>
          </w:p>
        </w:tc>
        <w:tc>
          <w:tcPr>
            <w:tcW w:w="12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467,235</w:t>
            </w:r>
          </w:p>
        </w:tc>
        <w:tc>
          <w:tcPr>
            <w:tcW w:w="0" w:type="dxa"/>
            <w:vAlign w:val="bottom"/>
          </w:tcPr>
          <w:p>
            <w:pPr>
              <w:spacing w:after="0"/>
              <w:rPr>
                <w:sz w:val="1"/>
                <w:szCs w:val="1"/>
                <w:color w:val="auto"/>
              </w:rPr>
            </w:pPr>
          </w:p>
        </w:tc>
      </w:tr>
      <w:tr>
        <w:trPr>
          <w:trHeight w:val="265"/>
        </w:trPr>
        <w:tc>
          <w:tcPr>
            <w:tcW w:w="380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3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889"/>
        </w:trPr>
        <w:tc>
          <w:tcPr>
            <w:tcW w:w="3800" w:type="dxa"/>
            <w:vAlign w:val="bottom"/>
          </w:tcPr>
          <w:p>
            <w:pPr>
              <w:spacing w:after="0"/>
              <w:rPr>
                <w:sz w:val="24"/>
                <w:szCs w:val="24"/>
                <w:color w:val="auto"/>
              </w:rPr>
            </w:pPr>
          </w:p>
        </w:tc>
        <w:tc>
          <w:tcPr>
            <w:tcW w:w="28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As of September 30, 2024 and December 31, 2023, the available-for-sale debt securities were held in U.S.-government 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 Additionally, we have short term equity investments, which we intended to sell within one year, classified as Level 1 that were valued using their respective closing stock prices on The Nasdaq Stock Market.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September 30, 2024 and December 31, 2023,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nine months ended September 30, 2024.</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3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1,304,109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1,304,109</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467,235</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r>
      <w:tr>
        <w:trPr>
          <w:trHeight w:val="243"/>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1,802,254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6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3,213,376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3,401,092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3,843,759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7"/>
                <w:szCs w:val="17"/>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3"/>
              <w:spacing w:after="0" w:line="128"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3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2024 and December 31, 2023 included a discount rate of 10% and updated projections of future net revenues of ICLUSIG in the European Union and other countries for the approved third line treatment. The change in fair value of the contingent consideration during the three and nine months ended September 30, 2024 was due primarily to fluctuations in foreign currency exchange rates impacting future revenue projections of ICLUSIG and the passage of time.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or any additional milestone payments earned in the previous quarter. At September 30, 2024 and December 31, 2023, contingent consideration earned but not yet paid was $19.3 million and $10.3 million, respectively, and was included in accrued and other current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21% and 20% of the accounts receivable balance as of September 30, 2024 and December 31, 2023, respectively. For further information relating to these collaboration and license agreements, refer to Note 8.</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Product Revenues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4"/>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Product Revenues for the</w:t>
            </w:r>
          </w:p>
        </w:tc>
        <w:tc>
          <w:tcPr>
            <w:tcW w:w="520" w:type="dxa"/>
            <w:vAlign w:val="bottom"/>
          </w:tcPr>
          <w:p>
            <w:pPr>
              <w:spacing w:after="0"/>
              <w:rPr>
                <w:sz w:val="14"/>
                <w:szCs w:val="14"/>
                <w:color w:val="auto"/>
              </w:rPr>
            </w:pPr>
          </w:p>
        </w:tc>
      </w:tr>
      <w:tr>
        <w:trPr>
          <w:trHeight w:val="186"/>
        </w:trPr>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192"/>
        </w:trPr>
        <w:tc>
          <w:tcPr>
            <w:tcW w:w="4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r>
      <w:tr>
        <w:trPr>
          <w:trHeight w:val="22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E and F comprised, in aggregate, 53% and 48% of the accounts receivable balance as of September 30, 2024 and December 31, 2023,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September 30, 2024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September 30, 2024 and December 31, 2023, we had no allowance for doubtful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February 5, 2024, we entered into a purchase agreement with MorphoSys AG and MorphoSys US Inc., a wholly-owned subsidiary of MorphoSys AG (together with MorphoSys AG, “MorphoSys”), under which we gained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will recognize revenue and costs for all U.S. commercialization and clinical development and MorphoSys will no longer be eligible to receive future milestone, profit split and royalty payments under the now-terminated 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18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Under the purchase agreement, we have also become the successor to MorphoSys under its collaboration and license agreement with Xencor, Inc. (“Xencor”), pursuant to which Xencor granted MorphoSys an exclusive, worldwide license, including the right to sublicense under certain conditions, for tafasitamab. Xencor is entitled to receive up to $186.5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("Escient")</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Escient’s lead molecule, INCB000262 (formerly EP262), is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related compensation expense of $31.5 million associated with the accelerated vesting for certain Escient stock awards in connection with the acquisition on our condensed consolidated statements of operations during the three months ended June 30, 2024.</w:t>
      </w:r>
    </w:p>
    <w:p>
      <w:pPr>
        <w:spacing w:after="0" w:line="18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allocation of the remaining U.S. GAAP consideration, net of compensation expense, across the net assets acquired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9"/>
        </w:trPr>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U.S. GAAP Consideration (net of compensation expense)</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753,511</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In-process research and development (“IPR&amp;D”) assets are related to acquired clinical-stage product candidates: lead candidate, INCB000262, and secondary candidate, INCB000547 (formerly EP547). The fair value of IPR&amp;D assets was based on the present value of future discounted cash flows, which was based on significant estimates. These estimates included the number of potential patients and market prices of future product candidates,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INCB000262 and INCB000547 was $644.8 million and $34.6 million, respectively. As both acquired IPR&amp;D assets do not have an alternative future use at the acquisition date, we recognized the full amount of $679.4 million as research and development expenses on our condensed consolidated statement of operations during the three months ended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September 30, 2024, $70.4 million of inventory was classified as current on the condensed consolidated balance sheet as we expect this inventory to be consumed for commercial use within the next twelve months. At September 30, 2024, $298.0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September 30, 2024, inventory with approximately $32.3 million of product costs incurred prior to regulatory approval had not yet been sold. We expect to sell the pre-commercialization inventory over the next 7 to 27 months and, as a result, cost of product revenues will reflect a lower average per unit cost of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September 30, 2024,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nine months ended September 30, 2024, such royalties on net sales within the United States totaled $36.3 million and $93.9 million, respectively, and were reflected in cost of product revenues on the condensed consolidated statements of operations. During the three and nine months ended September 30, 2023, such royalties on net sales within the United States totaled $31.1 million and $88.0 million, respectively, and were reflected in cost of product revenues on the condensed consolidated statements of operations. At September 30, 2024 and December 31, 2023, approximately $469.5 million and $375.6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had no milestone and contract revenue under the Novartis agreement for the three and nine months ended September 30, 2024. Milestone and contract revenue under the Novartis agreement was $5.0 million for both the three and nine months ended September 30, 2023. Product royalty revenue related to Novartis net sales of JAKAVI outside of the United States for the three and nine months ended September 30, 2024 was $115.7 million and $304.7 million, respectively. Product royalty revenue related to Novartis net sales of JAKAVI outside of the United States for the three and nine months ended September 30, 2023 was $96.6 million and $263.7 million, respectively. Product royalty revenue related to Novartis net sales of TABRECTA worldwide for the three and nine months ended September 30, 2024 was $5.9 million and $16.5 million, respectively. Product royalty revenue related to Novartis net sales of TABRECTA worldwide for the three and nine months ended September 30, 2023 was $4.1 million and $13.1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September 30, 2024,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and nine months ended September 30, 2024 was $34.8 million and $97.1 million, respectively. Product royalty revenue related to Lilly net sales of OLUMIANT outside of the United States for the three and nine months ended September 30, 2023 was $29.6 million and $95.8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Since the inception of the agreement through September 30, 2024, we have paid Agenus milestones totaling $30.0 million, and Agenus is eligible to receive up to an additional $500.0 million in future contingent development, regulatory and commercialization milestones across all programs in the collaboration.</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September 30, 2024, we held an investment of approximately 0.6 million shares of Agenus Inc. common stock. The fair market value of our equity investment in Agenus Inc. at September 30, 2024 and December 31, 2023 was $3.3 million and $10.0 million, respectively. For the three and nine months ended September 30, 2024, we recorded an unrealized loss of $6.8 million and $6.7 million, respectively, based on the change in fair value of Agenus Inc.’s common stock during the respective periods. For the three and nine months ended September 30, 2023, we recorded an unrealized loss of $5.6 million and $15.3 million, respectively, based on the change in fair value of Agenus Inc.’s common stock during the respective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the inception of the agreement through September 30, 2024, we have paid and expensed Merus milestones totaling $10.0 million.</w:t>
      </w:r>
    </w:p>
    <w:p>
      <w:pPr>
        <w:spacing w:after="0" w:line="21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2024, we sold approximately 3.0 million of Merus’ common shares for proceeds of $160.6 million. During the three months ended September 30, 2024, we sold our remaining approximately 1.0 million of Merus’ common shares for proceeds of $55.5 million. As of September 30, 2024, we had no remaining investment of Merus’ common shares. The fair market value of our equity investment in Merus at December 31, 2023 was $110.1 million. For the three and nine months ended September 30, 2024, we recorded realized and unrealized losses of $4.1 million and realized and unrealized gains of $106.1 million, respectively, based on the sale of shares and change in fair value of remaining Merus’ common shares during the respective periods. For the three and nine months ended September 30, 2023, we recorded an unrealized loss of $9.1 million and an unrealized gain of $29.5 million, respectively, based on the change in fair value of Merus’ common shares during the respective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September 30, 2024, and is being amortized through cost of product revenues over the estimated useful life of 13.5 years.</w:t>
      </w:r>
    </w:p>
    <w:p>
      <w:pPr>
        <w:spacing w:after="0" w:line="15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July 24, 2024, the parties amended the agreement, and Incyte agreed to pay MacroGenics $100.0 million in exchange for MacroGenics’ agreement that all milestones for squamous cell anal cancer and non-small cell lung cancer have been deemed either achieved or inapplicable and certain future milestones for non-small cell lung cancer were waived. This $100.0 million milestone payment was recorded as research and development expense in our condensed consolidated statements of operations during the three and nine months ended September 30, 2024. Since the inception of the agreement, inclusive of the July 2022 and July 2024 amendments to the agreement, through September 30, 2024,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2024 also included $15.5 million and $40.8 million, respectively, of development costs incurred pursuant to the MacroGenics agreement. Research and development expenses for the three and nine months ended September 30, 2023 also included $12.9 million and $42.8 million, respectively, of development costs incurred pursuant to the MacroGenics agreement. At September 30, 2024 and December 31, 2023, a total of $0.9 million and $0.3 million of such costs were included in accrued and other liabilities on the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6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During May 2024, as part of the Novartis tender offer for MorphoSys AG’s outstanding shares, we sold all of our 3.6 million American Depository Shares, each representing 0.25 of an ordinary share of MorphoSys AG, for proceeds of $66.6 million. The fair market value of our equity investment in MorphoSys AG as of December 31, 2023 was $35.9 million. For the nine months ended September 30, 2024, we recorded a realized gain of $30.7 million, based on the sale of shares and change in fair value of MorphoSys AG’s ordinary shares during the period. For the three and nine months ended September 30, 2023, we recorded an unrealized loss of $2.7 million and an unrealized gain of $11.4 million, respectively, based on the change in fair value of MorphoSys AG’s ordinary shares during the respective periods.</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condensed consolidated statement of operations. As described in Note 6, subsequent to the asset acquisition, we recognize revenue and costs for all commercialization and clinical development of tafasitamab in the United States. Our 50% share of the United States profit or loss for the commercialization of tafasitamab for the three and nine months ended September 30, 2023 was a profit of $1.1 million and $0.9 million, respectively, and is recorded as (profit) and loss sharing under collaboration agreements on the condensed consolidated statement of operations. Research and development expenses for the period from January 1, 2024 to the asset acquisition on February 5, 2024, includes $10.7 million, related to our 55% share of the co-development costs for tafasitamab. Research and development expenses for the three and nine months ended September 30, 2023, includes $13.0 million and $58.5 million, respectively, related to our 55% share of the co-development costs for tafasitamab. At September 30, 2024 and December 31, 2023, $0.0 million and $18.8 million, respectively, was included in accrued and other liabilities on the condensed consolidated balance sheets for amounts due to MorphoSys under the former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August 2024, we made a $12.5 million regulatory milestone payment to Syndax for the FDA approval of NIKTIMVO for the treatment of GVHD. This milestone payment was capitalized as an intangible asset and included in other intangible assets, net on the condensed consolidated balance sheet as of September 30, 2024, and is being amortized through cost of product revenues over the estimated useful life of 10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September 30, 2024,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September 30, 2024, we held an investment of approximately 1.4 million shares of Syndax common stock. The fair market value of our long term investment in Syndax as of September 30, 2024 and December 31, 2023 was $27.4 million and $30.7 million, respectively. For the three and nine months ended September 30, 2024, we recorded an unrealized loss of $1.9 million and $3.4 million, respectively, based on the change in fair value of Syndax’s common stock during the respective periods. For the three and nine months ended September 30, 2023, we recorded an unrealized loss of $9.2 million and $15.6 million, respectively, based on the change in fair value of Syndax’s common stock during the respective periods.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2024, includes $5.8 million and $17.6 million, respectively, related to our 55% share of the co-development costs for axatilimab. Research and development expenses for the three and nine months ended September 30, 2023, includes $5.1 million and $16.9 million, respectively, related to our 55% share of the co-development costs for axatilimab. At September 30, 2024 and December 31, 2023, $1.8 million and $1.8 million, respectively, was included in accrued and other liabilities on the condensed consolidated balance sheet for amounts due to Syndax under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during the first quarter of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147,570</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584,755</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r>
      <w:tr>
        <w:trPr>
          <w:trHeight w:val="218"/>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751,513</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During the nine months ended September 30, 2024, we capitalized $4.9 million of land and recorded approximately $47.2 million of construction in progress relating to the office buildings and parking garages.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r>
      <w:tr>
        <w:trPr>
          <w:trHeight w:val="25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279,914</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r>
      <w:tr>
        <w:trPr>
          <w:trHeight w:val="24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w:t>
            </w:r>
          </w:p>
        </w:tc>
      </w:tr>
      <w:tr>
        <w:trPr>
          <w:trHeight w:val="25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1,127,951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935,569</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restricted stock units (“RSUs”) and performance shares (“PSUs”).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In January 2024, our Board of Directors adopted the Incyte Corporation 2024 Inducement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“2024 Inducement Plan”). In reliance on Nasdaq Marketplace Rule 5635(c)(4), stockholder approval was not obtained. A total of 1,000,000 shares of common stock are reserved for issuance pursuant to the 2024 Inducement Plan.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Share Repurchase and Modified "Dutch Auction" Tender Offer. </w:t>
      </w:r>
      <w:r>
        <w:rPr>
          <w:rFonts w:ascii="Times New Roman" w:cs="Times New Roman" w:eastAsia="Times New Roman" w:hAnsi="Times New Roman"/>
          <w:sz w:val="18"/>
          <w:szCs w:val="18"/>
          <w:color w:val="auto"/>
        </w:rPr>
        <w:t>On May 13, 2024 we announced that our Board of Directors approved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On June 13, 2024 we completed the tender offer and repurchased 27,866,666 shares at a price of $60.00 per share for an aggregate price of approximately $1.672 billion, excluding fees and related expenses, pursuant to the tender offer.</w:t>
      </w:r>
    </w:p>
    <w:p>
      <w:pPr>
        <w:spacing w:after="0" w:line="18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is determined and paid in the tender offer. On June 26, 2024, we repurchased 5,459,183 shares at a price of $60.00 per share for an aggregate price of approximately $328.0 million pursuant to the terms of the stock purchase agreement with the Baker Entities.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condensed consolidated financial statements.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 total of 33,325,849 common shares were repurchased during June 2024 at a price of $60.00 per share for an aggregate purchase price of approximately $2.0 billion. We incurred $24.4 million in fees and expenses associated with the share repurchase, which included $19.2 million for excise taxes on share repurchases in accordance with the Inflation Reduction Act of 2022. We currently expect to pay the excise tax in the first half of 2025. These costs are recognized within (accumulated deficit) retained earnings on the condensed consolidated balance sheet as of September 30, 2024 as costs to repurchase our common stock. The purchased shares were cancelled and ceased to be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recorded $77.9 million and $194.3 million of stock compensation expense on our condensed consolidated statements of operations for the three and nine months ended September 30, 2024, respectively. We recorded $48.0 million and $155.9 million of stock compensation expense on our condensed consolidated statements of operations for the three and nine months ended September 30, 2023, respectively. Stock compensation expense included within our condensed consolidated statements of operations included research and development expense of $45.8 million, $117.1 million, $26.9 million and $90.7 million for the three and nine months ended September 30, 2024 and 2023, respectively. Stock compensation expense included within our condensed consolidated statements of operations also included selling, general and administrative expense of $31.5 million, $75.6 million, $20.3 million and $62.8 million for the three and nine months ended September 30, 2024 and 2023, respectively. Stock compensation expense included within our condensed consolidated statements of operations also included cost of product revenues of $0.6 million, $1.6 million, $0.8 million and $2.4 million, respectively, for the three and nine months ended September 30, 2024 and 2023.</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as described in Note 6, as part of the Escient acquisition, during the nine months ended September 30, 2024, we recognized related compensation expense of approximately $31.5 million associated with the accelerated vesting for certain Escient stock awards in connection with the acquisition on our condensed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9"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218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6780" w:space="1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25"/>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172"/>
        </w:trPr>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14.72</w:t>
            </w:r>
          </w:p>
        </w:tc>
      </w:tr>
    </w:tbl>
    <w:p>
      <w:pPr>
        <w:spacing w:after="0" w:line="2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2"/>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(472,808)</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13,246,321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3,392,462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8,683,824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nine months ended September 30, 2024 we recorded $12.3 million and $19.2 million, respectively, of stock compensation expense for PSUs on our condensed consolidated statements of operations. For the three and nine months ended September 30, 2023 we recorded $4.2 million and $13.4 million, respectively, of stock compensation expense for PSUs on our condensed consolidated statements of operations.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Each RSU and PSU grant reduces the available share pool by 2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10,815,026</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 - 2024 Inducement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5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(8,792,405)</w:t>
            </w:r>
          </w:p>
        </w:tc>
      </w:tr>
      <w:tr>
        <w:trPr>
          <w:trHeight w:val="246"/>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977,680</w:t>
            </w:r>
          </w:p>
        </w:tc>
      </w:tr>
      <w:tr>
        <w:trPr>
          <w:trHeight w:val="276"/>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4,000,301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September 30, 2024, was $26.2 million, which is expected to be recognized over the weighted average period of approximately 1.1 years. Total compensation cost of RSUs granted but not yet vested, as of September 30, 2024, was $280.1 million, which is expected to be recognized over the weighted average period of approximately 1.8 years. Total compensation cost of PSUs granted but not yet vested, as of September 30, 2024, was $25.4 million, which is expected to be recognized over the weighted average period of 1.2 years, should the underlying performance conditions be deemed probable of achievement.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19" w:lineRule="exact"/>
        <w:rPr>
          <w:sz w:val="20"/>
          <w:szCs w:val="20"/>
          <w:color w:val="auto"/>
        </w:rPr>
      </w:pPr>
    </w:p>
    <w:p>
      <w:pPr>
        <w:ind w:right="120" w:firstLine="636"/>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we recorded the following provisions for income taxes and effective tax rates as compared to our income before provision for income taxes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156,524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563,259</w:t>
            </w:r>
          </w:p>
        </w:tc>
      </w:tr>
      <w:tr>
        <w:trPr>
          <w:trHeight w:val="24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50,068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171,503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166,739</w:t>
            </w:r>
          </w:p>
        </w:tc>
      </w:tr>
      <w:tr>
        <w:trPr>
          <w:trHeight w:val="271"/>
        </w:trPr>
        <w:tc>
          <w:tcPr>
            <w:tcW w:w="4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bl>
    <w:p>
      <w:pPr>
        <w:spacing w:after="0" w:line="29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2024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nine months ended September 30, 2024 was higher than the U.S. statutory rate primarily due to non-deductible charges of $710.9 million associated with the Escient acquisition. Our effective tax rate for the three and nine months ended September 30, 2023 was higher than the U.S. statutory rate primarily due to foreign losses with no associated tax benefit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2024 was unfavorable as compared to the prior year period primarily due to an increase in our valuation allowance against certain U.S. federal and state deferred tax assets, partially offset by a decrease in foreign losses with no associated tax benefit. The effective tax rate for the nine months ended September 30, 2024 was unfavorable as compared to the prior year period primarily due to the non-deductible charges associated with the Escient acquisition.</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described in Note 6, as part of the Escient acquisition, we recorded $44.8 million of deferred tax assets predominately related to net operating losses and capitalized researched and development costs.</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$22.5 million during the nine months ended September 30, 2024. This movement was primarily driven by net increases related to prior period tax positions of $6.1 million, increases related to current period tax positions of $2.8 million, increases related to acquired reserves of $9.1 million, and $4.7 million of interest and penalties. We accrue interest and penalties related to unrecognized tax benefits as a component of the provision for income taxes. We do not expect any significant decreases in unrecognized tax benefits within the next 12 months.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2020. We are currently under U.S. federal audit for tax year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The Organization for Economic Cooperation and Development Pillar 2 guidelines, which were supported by over 130 countries worldwide, are designed to impose a 15% global minimum tax on adjusted financial results. Certain aspects of Pillar 2 took effect on January 1, 2024, while other aspects go into effect on January 1, 2025. We are evaluating the potential impact of Pillar 2 on our business, as many of the countries in which we operate are enacting legislation implementing Pillar 2. Although many aspects of Pillar 2 remain to be clarified, at this time there are no material impacts on our effective tax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(loss) per share was calculated as follows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1"/>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396,520</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192,629</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223,428</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3"/>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396,520</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192,629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223,428</w:t>
            </w:r>
          </w:p>
        </w:tc>
      </w:tr>
      <w:tr>
        <w:trPr>
          <w:trHeight w:val="225"/>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00"/>
        </w:trPr>
        <w:tc>
          <w:tcPr>
            <w:tcW w:w="5040" w:type="dxa"/>
            <w:vAlign w:val="bottom"/>
            <w:tcBorders>
              <w:top w:val="single" w:sz="8" w:color="CCEEFF"/>
            </w:tcBorders>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Weighted average shares used to compute diluted net income (loss)</w:t>
            </w: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5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195,838</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225,756</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4"/>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All stock options and stock awards were excluded from the diluted share calculation for the nine months ended September 30, 2024 because their effect would have been anti-dilutive, as we were in a net loss position. The potential common shares that were excluded from the diluted net income (loss) per share computation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180" w:type="dxa"/>
            <w:vAlign w:val="bottom"/>
            <w:gridSpan w:val="3"/>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2"/>
        </w:trPr>
        <w:tc>
          <w:tcPr>
            <w:tcW w:w="50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13,067,516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12,997,146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16,881,330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11,964,901</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2024 was $5.2 million and $15.8 million, respectively. Defined contribution expense for the three and nine months ended September 30, 2023 was $5.0 million and $14.6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Interest income and other, net on the condensed consolidated statements of operations. We expect to contribute a total of $10.0 million to the pension plans in 2024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September 30, 2024 and December 31, 2023, we had no outstanding borrowings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September 30, 2024, we have accrued approximately $106.9 million within accrued and other current liabilities on the condensed consolidated balance sheet, relating to the incremental rebates that would be owed were OPZELURA considered a line extension of JAKAFI. The impact on OPZELURA gross to net deductions for the quarter ending September 30, 2024 is approximately 6.7%.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addition, as described in Note 8, we have an outstanding contractual dispute with Novartis relating to royalties on JAKAFI net sales within the United States.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nine months ended September 30, 2024 should be read in conjunction with the unaudited condensed consolidated financial statements and notes to those statements included elsewhere in this Quarterly Report on Form 10-Q and our audited consolidated financial statements as of and for the year ended December 31, 2023 included in our Annual Report on Form 10-K for the year ended December 31, 2023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8" w:lineRule="exact"/>
        <w:rPr>
          <w:sz w:val="20"/>
          <w:szCs w:val="20"/>
          <w:color w:val="auto"/>
        </w:rPr>
      </w:pPr>
    </w:p>
    <w:p>
      <w:pPr>
        <w:jc w:val="both"/>
        <w:ind w:left="960" w:hanging="318"/>
        <w:spacing w:after="0" w:line="24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right="2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JAKAVI, OLUMIANT, TABRECTA and the drug candidates licensed from us;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 conflicts in the Middle East;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is our trademark.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8" w:lineRule="exact"/>
        <w:rPr>
          <w:sz w:val="20"/>
          <w:szCs w:val="20"/>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short term equity investments and long term equity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six approved products, which are JAKAFI (ruxolitinib), MONJUVI (tafasitamab-cxix)/MINJUVI (tafasitamab), PEMAZYRE (pemigatinib), ICLUSIG (ponatinib), ZYNYZ (retifanlimab-dlwr), and NIKTIMVO (axatilimab-csfr),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8"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4"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 dissimilar stem cells or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7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7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and as a result,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NCCN Clinical Practice Guidelines in Oncology for B-cell Lymphomas.</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(NMPA) of the People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fibroblast growth receptor 2 (FGFR2) fusion or rearrangement as confirmed by a validated diagnostic test that has progressed after at least one prior line of systemic 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under accelerated approval, for the treatment of adults with metastatic or recurrent locally advanced Merkel cell carcinoma (MCC). This represents the first regulatory approval for our PD-1 inhibitor.</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 September 2021, we and Syndax Pharmaceuticals, Inc. announced an exclusive worldwide collaboration and license agreement to develop and commercialize axatilimab, Syndax’s anti-CSF-1R monoclonal antibody. Together, we are developing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Plans are underway to initiate two combination trials with axatilimab in cGVHD in 2024, including a randomized Phase 2 combination trial with ruxolitinib and a randomized Phase 3 combination trial with steroids, both directed at treating patients with cGVHD in earlier lines of therapy.</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August 2024, we and Syndax announced the FDA approval of NIKTIMVO (axatilimab-csfr) for the treatment of chronic GVHD after failure of at least two prior lines of systemic therapy in adult and pediatric patients. NIKTIMVO is the first approved anti-CSF-1R antibody targeting the drivers of inflammation and fibrosis seen in chronic GVHD. In September, we and Syndax announced the New England Journal of Medicine publication of data from the pivotal AGAVE-201 trial of NIKTIMVO in chronic GVHD and the addition of NIKTIMVO to the NCCN Clinical Practice Guidelines in Oncology for the treatment of chronic GVHD. To facilitate patient dosing and limit product waste, following the FDA’s approval of NIKTIMVO, we, along with Syndax, have submitted to the FDA for the approval of two smaller vial sizes. Following the potential FDA approval of the new vial sizes, we currently anticipate launching NIKTIMVO in the United States in the first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and INCB00928 (Zilurgisertib) in patients with MF are ongoing with data presented demonstrating early signals of clinical activity of both agents in monotherapy and in combination with ruxolitinib.</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American Society of Hematology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1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August 2024, we announced positive topline results from the Phase 3 clinical study evaluating tafasitamab in relapsed or refractory follicular lymphoma (FL). The pivotal Phase 3 inMIND trial evaluating the efficacy and safety of tafasitamab or placebo in combination with lenalidomide and rituximab compared to lenalidomide and rituximab alone, met the primary endpoint of progression free survival (PFS) by investigator assessment in FL. The trial also met key secondary endpoints of PFS in the overall population by investigator assessment as well as the positron-emission tomography-complete response rate in the FDG-avid FL population. No new safety signals with tafasitamab were observed. The full dataset is anticipated to be presented at an upcoming medical meeting in 2024 and we currently expect to file a supplemental Biologics License Application (sBLA) for tafasitamab in combination with lenalidomide and rituximab in FL by the end of 2024.</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July 2024, we announced positive topline results from both the two Phase 3 clinical studies evaluating retifanlimab, a humanized monoclonal antibody targeting programmed cell death receptor-1 (PD-1), in SCAC and NSCLC. The phase 3 study in SCAC met its primary endpoint of progression free survival while the Phase 3 study in NSCLC meet its primary endpoint of overall survival. The safety analysis from both studies showed retifanlimab was generally well-tolerated with no new safety signals observed. We plan to share the full datasets from both studies in the second half of 2024. POD1UM-303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September 2024, we presented late-breaking Phase 3 results for retifanlimab that were featured during the 2024 European Society for Medical Oncology (ESMO) Presidential Symposium. The Phase 3 POD1UM-303/InterAACT2 trial for retifanlimab met the primary endpoint of PFS and demonstrated improvement across key secondary endpoints in patients with SCAC receiving retifanlimab in combination with platinum-based chemotherapy (carboplatin-paclitaxel). Incyte plans to file an sBLA for retifanlimab in SCAC by the end of 2024. A potential approval in 2025 could represent the first PD-(L)1 antibody for patients with SCAC.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536575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3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8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800" w:type="dxa"/>
            <w:vAlign w:val="bottom"/>
            <w:shd w:val="clear" w:color="auto" w:fill="CCEEFF"/>
          </w:tcPr>
          <w:p>
            <w:pPr>
              <w:spacing w:after="0"/>
              <w:rPr>
                <w:sz w:val="19"/>
                <w:szCs w:val="19"/>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zilurgisertib</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ALK2i)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Chronic GVHD: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Chronic GVHD: Phase 3 in preparation</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INCA33989</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(mCALR)</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INCB160058</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1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33"/>
        </w:trPr>
        <w:tc>
          <w:tcPr>
            <w:tcW w:w="344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Relapsed or refractory follicular lymphoma (FL):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2"/>
                <w:szCs w:val="22"/>
                <w:b w:val="1"/>
                <w:bCs w:val="1"/>
                <w:color w:val="auto"/>
                <w:vertAlign w:val="superscript"/>
              </w:rPr>
              <w:t>2</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Solid tumors with Amplification/ Overexpression of CCNE1: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800" w:type="dxa"/>
            <w:vAlign w:val="bottom"/>
          </w:tcPr>
          <w:p>
            <w:pPr>
              <w:spacing w:after="0"/>
              <w:rPr>
                <w:sz w:val="20"/>
                <w:szCs w:val="20"/>
                <w:color w:val="auto"/>
              </w:rPr>
            </w:pPr>
          </w:p>
        </w:tc>
      </w:tr>
      <w:tr>
        <w:trPr>
          <w:trHeight w:val="26"/>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Advanced metastatic solid tumors with a KRASG12D mutation: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INCA33890</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Advanced or metastatic solid tumors: Phase 1</w:t>
            </w:r>
          </w:p>
        </w:tc>
      </w:tr>
      <w:tr>
        <w:trPr>
          <w:trHeight w:val="26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(TGFßR2×PD-1)</w:t>
            </w:r>
            <w:r>
              <w:rPr>
                <w:rFonts w:ascii="Times New Roman" w:cs="Times New Roman" w:eastAsia="Times New Roman" w:hAnsi="Times New Roman"/>
                <w:sz w:val="22"/>
                <w:szCs w:val="22"/>
                <w:b w:val="1"/>
                <w:bCs w:val="1"/>
                <w:color w:val="auto"/>
                <w:vertAlign w:val="superscript"/>
              </w:rPr>
              <w:t>3</w:t>
            </w:r>
          </w:p>
        </w:tc>
        <w:tc>
          <w:tcPr>
            <w:tcW w:w="7800" w:type="dxa"/>
            <w:vAlign w:val="bottom"/>
            <w:tcBorders>
              <w:bottom w:val="single" w:sz="8" w:color="auto"/>
            </w:tcBorders>
          </w:tcPr>
          <w:p>
            <w:pPr>
              <w:spacing w:after="0"/>
              <w:rPr>
                <w:sz w:val="22"/>
                <w:szCs w:val="22"/>
                <w:color w:val="auto"/>
              </w:rPr>
            </w:pPr>
          </w:p>
        </w:tc>
      </w:tr>
    </w:tbl>
    <w:p>
      <w:pPr>
        <w:spacing w:after="0" w:line="41" w:lineRule="exact"/>
        <w:rPr>
          <w:sz w:val="20"/>
          <w:szCs w:val="20"/>
          <w:color w:val="auto"/>
        </w:rPr>
      </w:pPr>
    </w:p>
    <w:p>
      <w:pPr>
        <w:ind w:left="160" w:hanging="154"/>
        <w:spacing w:after="0"/>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Clinical development of axatilimab in GVHD conducted in collaboration with Syndax Pharmaceuticals.</w:t>
      </w: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191" w:lineRule="auto"/>
        <w:tabs>
          <w:tab w:leader="none" w:pos="1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July 2024, we announced a strategic review of our pipeline with an increased focus on high potential impact programs. We will discontinue further development of both oral, small molecule PD-L1 inhibitors. Additionally, we plan to forgo further development of our LAG-3 monoclonal antibody, TIM-3 monoclonal antibody and LAG-3xPD-1 bispecific program and in parallel, seek partners to advance further development of these programs.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2023, we presented data at the American Association for Cancer Research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(PR) across multiple tumor types including ovarian cancer patients with CCNE1 amplification and/or over expression. The safety data seen during this disclosure aligns with CDK2 mechanism of action. Additional data from this trial is anticipated in 2024.</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2024, we presented initial data from the Phase 1 CDK2 inhibitor program at the 2024 ESMO Congress. Phase 1 data of INCB123667 were presented demonstrating single-agent antitumor activity across a range of doses and regimens, notably in patients with ovarian cancer and endometrial cancer whose tumors overexpress Cyclin E1. The Phase 1 trial is ongoing with INCB123667 in combination with other agents. We currently anticipate initiating a pivotal trial in ovarian cancer in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(KRASG12D)</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A Phase 1 study evaluating INCB161734 (KRASG12D) was initiated in the first quarter of 2024. INCB161734 is a potent, selective and orally bioavailable KRAS G12D inhibitor and, as highlighted at AACR in April 2024, has shown excellent efficacy in several preclinical models. With no currently approved G12D-targeting agents, INCB161734 could address an important patient need as the KRASG12D mutation is found in 40% of pancreatic ductal adenocarcinoma, 15% of colorectal cancers, and 5% of non-small cell lung cancers. Data from the ongoing Phase 1 study is expected in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r>
        <w:rPr>
          <w:rFonts w:ascii="Times New Roman" w:cs="Times New Roman" w:eastAsia="Times New Roman" w:hAnsi="Times New Roman"/>
          <w:sz w:val="22"/>
          <w:szCs w:val="22"/>
          <w:b w:val="1"/>
          <w:bCs w:val="1"/>
          <w:i w:val="1"/>
          <w:iCs w:val="1"/>
          <w:color w:val="auto"/>
          <w:vertAlign w:val="superscript"/>
        </w:rPr>
        <w:t>1</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 Data from the ongoing Phase 1 study is expected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IAI efforts also include numerous clinical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 Incyte’s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1682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91" w:lineRule="exact"/>
        <w:rPr>
          <w:sz w:val="20"/>
          <w:szCs w:val="20"/>
          <w:color w:val="auto"/>
        </w:rPr>
      </w:pPr>
    </w:p>
    <w:p>
      <w:pPr>
        <w:ind w:left="100" w:hanging="94"/>
        <w:spacing w:after="0"/>
        <w:tabs>
          <w:tab w:leader="none" w:pos="1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collaboration with Merus.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approval of OPZELURA was based on data from two randomized, double-blind, vehicle-controlled Phase 3 studies (TRuE-AD1 and TRuE-AD</w:t>
      </w:r>
    </w:p>
    <w:p>
      <w:pPr>
        <w:spacing w:after="0" w:line="36" w:lineRule="exact"/>
        <w:rPr>
          <w:sz w:val="20"/>
          <w:szCs w:val="20"/>
          <w:color w:val="auto"/>
        </w:rPr>
      </w:pPr>
    </w:p>
    <w:p>
      <w:pPr>
        <w:jc w:val="both"/>
        <w:ind w:firstLine="6"/>
        <w:spacing w:after="0" w:line="246" w:lineRule="auto"/>
        <w:tabs>
          <w:tab w:leader="none" w:pos="2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89"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2024, OPZELURA cream 1.5% was granted a Notice of Compliance by Health Canada for the topical treatment of both mild to moderate atopic dermatitis and nonsegmental vitiligo in patients 12 years of age and 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Ruxolitinib cream is a potent, selective inhibitor of JAK1 and JAK2 that provides the opportunity to directly target diverse pathogenic pathways that underlie certain dermatologic conditions, including AD, vitiligo, lichen planus, lichen sclerosus, hidradenitis suppurativa (HS) and prurigo nodularis (PN).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2021, we announced the validation of the European marketing authorization application (MAA) for ruxolitinib cream as a potential treatment for adolescents and adults (age ≥12 years) with nonsegmental vitiligo with facial involvement.</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January 2024, we announced positive topline results from a randomized controlled Phase 2 study evaluating ruxolitinib cream in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expected to initiate in 2025.</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2024, we disclosed results from the Phase 2 study of ruxolitinib cream in patients with cutaneous lichen planus. At this time, we do not plan to advance ruxolitinib cream into a registrational study for lichen planus and plan to publish the results of this study in the future. Additionally, the Phase 2 study evaluating ruxolitinib cream for lichen sclerosus did not meet our internal bar for success and at this time, we are not planning to advance this indication into a registrational study.</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2024, we announced the Phase 3 trial for ruxolitinib cream in mild to moderate HS is on track to initiate in the first half of 2025 following achieving alignment on the study design with the FDA. Ruxolitinib cream has the potential to provide a new therapeutic option for mild to moderate HS patients.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(formerly INCB54707), which is an oral small molecule selective JAK1 inhibitor. Povorcitinib is undergoing evaluation in patients with hidradenitis suppurativa, nonsegmental vitiligo, prurigo nodularis, asthma and chronic spontaneous urticaria (CSU).</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7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in patients with PN were initiated.</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uncontrolled asthma and in chronic spontaneous urticaria. Data for CSU are anticipated in the first half of 2025 and data in asthma are anticipated in the second half of 2025.</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INCB000262 (MRGPRX2) &amp; INCB000547 (MRGPRX4)</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more fully described in Note 6 to the Condensed Consolidated Financial Statements, in May 2024, we acquired Escient Pharmaceuticals, Inc. (“Escient”). Escient is a clinical-stage drug discovery and development company advancing novel small molecule therapeutics for systemic immune and neuro-immune disorders. Escient’s clinical development portfolio includes INCB000262, a first-in-class, potent, highly selective, once-daily small molecule antagonist of Mas-related G protein-coupled receptor (MRGPRX2) and INCB000547, a first-in-class oral MRGPRX4 antagonist.</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INCB000262 is a specific, novel mechanism for blocking mast cell activation, independent from IgE, and has been a high priority target to add to our IAI pipeline. INCB000547 is a first-in-class medicine that entered the clinic in January 2023 and is currently being evaluated in the clinic. In the Phase 1 healthy volunteer study, INCB000547 was well-tolerated, had low inter-patient PK variability and achieved exposures well above predicted efficacious levels. INCB000547 is currently in a phase 1b open label study in chronic inducible urticaria (CIndU) and in two randomized phase 2 studies in CSU and AD with data for all three studies expected by early 2025.</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INCB000547 is a potent and highly-selective antagonist of MRGPRX4. MRGPRX4 is expressed on neurons in the dorsal root ganglia and specifically activated by bile acids that are increased in cholestatic patients. Initial evaluation is being conducted in cholestatic pruritus with clinical proof-of-concept for cholestatic pruritus associated with primary biliary cholangitis (PBC) and primary sclerosing cholangitis (PSC), anticipated by early 2025.</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Indication expansion opportunities for both INCB000262 and INCB000547 are under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2"/>
                <w:szCs w:val="22"/>
                <w:b w:val="1"/>
                <w:bCs w:val="1"/>
                <w:color w:val="auto"/>
                <w:vertAlign w:val="superscript"/>
              </w:rPr>
              <w:t>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3 pediatric study (TRuE-AD3)</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2; Phase 3 expected to initiate in 2025</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1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Prurigo nodularis: Phase 3 (STOP-PN1, STOP-PN2)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31"/>
        </w:trPr>
        <w:tc>
          <w:tcPr>
            <w:tcW w:w="2720" w:type="dxa"/>
            <w:vAlign w:val="bottom"/>
          </w:tcPr>
          <w:p>
            <w:pPr>
              <w:spacing w:after="0"/>
              <w:rPr>
                <w:sz w:val="20"/>
                <w:szCs w:val="20"/>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5"/>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INCB000262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(MRGPRX2)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Chronic inducible urticaria: Phase 1b</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2a</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INCB000547</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Cholestatic pruritus: Phase 2a</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(MRGPRX4)</w:t>
            </w:r>
          </w:p>
        </w:tc>
        <w:tc>
          <w:tcPr>
            <w:tcW w:w="8520" w:type="dxa"/>
            <w:vAlign w:val="bottom"/>
          </w:tcPr>
          <w:p>
            <w:pPr>
              <w:spacing w:after="0"/>
              <w:rPr>
                <w:sz w:val="20"/>
                <w:szCs w:val="20"/>
                <w:color w:val="auto"/>
              </w:rPr>
            </w:pPr>
          </w:p>
        </w:tc>
      </w:tr>
      <w:tr>
        <w:trPr>
          <w:trHeight w:val="25"/>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Phase 1</w:t>
            </w:r>
          </w:p>
        </w:tc>
      </w:tr>
      <w:tr>
        <w:trPr>
          <w:trHeight w:val="23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(anti-CD122)</w:t>
            </w:r>
          </w:p>
        </w:tc>
        <w:tc>
          <w:tcPr>
            <w:tcW w:w="852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8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ind w:firstLine="6"/>
        <w:spacing w:after="0" w:line="225" w:lineRule="auto"/>
        <w:tabs>
          <w:tab w:leader="none" w:pos="15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 (anti-CD122)</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Other IAI</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IAI Program</w:t>
            </w:r>
          </w:p>
        </w:tc>
        <w:tc>
          <w:tcPr>
            <w:tcW w:w="9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21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9060" w:type="dxa"/>
            <w:vAlign w:val="bottom"/>
            <w:shd w:val="clear" w:color="auto" w:fill="CCEEFF"/>
          </w:tcPr>
          <w:p>
            <w:pPr>
              <w:ind w:left="680"/>
              <w:spacing w:after="0" w:line="185"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5"/>
        </w:trPr>
        <w:tc>
          <w:tcPr>
            <w:tcW w:w="2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9060" w:type="dxa"/>
            <w:vAlign w:val="bottom"/>
            <w:tcBorders>
              <w:bottom w:val="single" w:sz="8" w:color="auto"/>
            </w:tcBorders>
            <w:shd w:val="clear" w:color="auto" w:fill="CCEEFF"/>
          </w:tcPr>
          <w:p>
            <w:pPr>
              <w:spacing w:after="0"/>
              <w:rPr>
                <w:sz w:val="19"/>
                <w:szCs w:val="19"/>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an MAA to the European Medicines Agency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COVID-19. </w:t>
      </w:r>
      <w:r>
        <w:rPr>
          <w:rFonts w:ascii="Times New Roman" w:cs="Times New Roman" w:eastAsia="Times New Roman" w:hAnsi="Times New Roman"/>
          <w:sz w:val="17"/>
          <w:szCs w:val="17"/>
          <w:color w:val="auto"/>
        </w:rPr>
        <w:t>In May 2020, we amended our agreement with Lilly to enable Lilly to commercialize baricitinib for the treatment of COVID-19.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2"/>
                <w:szCs w:val="22"/>
                <w:b w:val="1"/>
                <w:bCs w:val="1"/>
                <w:color w:val="auto"/>
                <w:vertAlign w:val="superscript"/>
              </w:rPr>
              <w:t>1</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18"/>
        </w:trPr>
        <w:tc>
          <w:tcPr>
            <w:tcW w:w="23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2"/>
                <w:szCs w:val="22"/>
                <w:b w:val="1"/>
                <w:bCs w:val="1"/>
                <w:color w:val="auto"/>
                <w:vertAlign w:val="superscript"/>
              </w:rPr>
              <w:t>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5"/>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2"/>
                <w:szCs w:val="22"/>
                <w:b w:val="1"/>
                <w:bCs w:val="1"/>
                <w:color w:val="auto"/>
                <w:vertAlign w:val="superscript"/>
              </w:rPr>
              <w:t>3</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888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Ruxolitinib (Jakavi) licensed to Novartis outside of the United States for use in hematology and oncology excluding topical administration.</w:t>
      </w:r>
    </w:p>
    <w:p>
      <w:pPr>
        <w:ind w:firstLine="6"/>
        <w:spacing w:after="0" w:line="221" w:lineRule="auto"/>
        <w:tabs>
          <w:tab w:leader="none" w:pos="159"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(Olumiant) licensed to Lilly: approved as Olumiant in multiple territories globally for certain patients with moderate-to-severe rheumatoid arthritis; approved as Olumiant in EU and Japan for certain patients with atopic dermatitis.</w:t>
      </w:r>
    </w:p>
    <w:p>
      <w:pPr>
        <w:ind w:left="140" w:hanging="134"/>
        <w:spacing w:after="0" w:line="192" w:lineRule="auto"/>
        <w:tabs>
          <w:tab w:leader="none" w:pos="1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(Tabrecta) licensed to Novartis.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at Note 8 of Notes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Holdings Limited (CMSHL), through a wholly-owned dermatology medical aesthetic subsidiary CMS Skinhealth, for the development and commercialization of povorcitinib, a selective oral JAK1 inhibitor, to research, develop, register and commercialize in mainland China, Hong Kong, Macau, Taiwan and certain countries in Southeast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Axatilimab was granted Orphan Drug Designation by the FDA in March 2021 for the treatment of chronic GVHD and again in April 2021 for the treatment of idiopathic pulmonary fibrosis. In August 2024, Incyte and Syndax announced the FDA approval of NIKTIMVO (axatilimab-csfr) for the treatment of chronic graft-versus-host disease after failure of at least two prior lines of systemic therapy in adult and pediatric patients. Under the terms of this agreement, we received exclusive commercialization rights to axatilimab outside of the United States, and co-commercialization rights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2023. There have been no significant changes to our critical accounting policies or estimates during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ASU No. 2023-07, “</w:t>
      </w:r>
      <w:r>
        <w:rPr>
          <w:rFonts w:ascii="Times New Roman" w:cs="Times New Roman" w:eastAsia="Times New Roman" w:hAnsi="Times New Roman"/>
          <w:sz w:val="17"/>
          <w:szCs w:val="17"/>
          <w:i w:val="1"/>
          <w:iCs w:val="1"/>
          <w:color w:val="auto"/>
        </w:rPr>
        <w:t>Segment Reporting (Topic 280):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Reportable Segment Disclosures</w:t>
      </w:r>
      <w:r>
        <w:rPr>
          <w:rFonts w:ascii="Times New Roman" w:cs="Times New Roman" w:eastAsia="Times New Roman" w:hAnsi="Times New Roman"/>
          <w:sz w:val="17"/>
          <w:szCs w:val="17"/>
          <w:color w:val="auto"/>
        </w:rPr>
        <w:t>.” This amended guidance applies to all public entities and aims to improve reportable segment disclosure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evaluating the impact that ASU No. 2023-07 will have on our annual consolidated financial statements.</w:t>
      </w:r>
    </w:p>
    <w:p>
      <w:pPr>
        <w:spacing w:after="0" w:line="16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evaluating the impact that ASU No. 2023-09 will have on our consolidated financial statements.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March 2024, the Securities and Exchange Commission (SEC) issued Release Nos. 33-11275; 34-99678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to require public companies to provide certain climate-related information in their registration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The compliance dates for the rules amended by this release begin in fiscal year 2025 for large accelerated filers. On April 4, 2024, the SEC issued an order staying the newly adopted rules. We are currently evaluating the impact of this release on our financial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recorded net income of $106.5 million and basic net income per share of $0.55 and diluted net income per share of $0.54 for the three months ended September 30, 2024, as compared to net income of $171.3 million and basic and diluted net income per share of $0.76 in the corresponding period in 2023. We recorded net loss of $168.6 million and basic and diluted net loss per share of $0.80 for the nine months ended September 30, 2024, as compared to net income of $396.5 million and basic net income per share of $1.77 and diluted net income per share of $1.76 in the corresponding period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1"/>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JAKAFI product revenues for the three months ended September 30, 2024 as compared to the corresponding period in 2023 was comprised of a volume increase of $78.2 million and a price increase of $26.7 million. The increase in JAKAFI net product revenues for the nine months ended September 30, 2024 as compared to the corresponding period in 2023 reflected a volume increase of $74.8 million and a price increase of $45.6 million. The increase for the three and nine months ended September 30, 2024 as compared to the corresponding periods in 2023 was primarily driven by an increase in paid demand across all indications.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OPZELURA net product revenues for the three months ended September 30, 2024 as compared to the corresponding period in 2023 was comprised of a volume increase of $45.8 million and a price increase of $1.7 million. The increase in OPZELURA net product revenues for the nine months ended September 30, 2024 as compared to the corresponding period in 2023 was comprised of a volume increase of $109.2 million and a price increase of $8.9 million. The increase in OPZELURA net product revenues for the three and nine months ended September 30, 2024 was driven by continued growth in new patient starts and refills and approximately $20.4 million of net product revenues in the third quarter of 2024 were from Europe.</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increase in MINJUVI/MONJUVI net product revenues for the three and nine months ended September 30, 2024 was driven by the acquisition completed in February 2024, under which we gained exclusive global rights to tafasitamab marketed in the United States as MONJUVI (tafasitamab-cxix). Refer to Note 6 of Notes to the Condensed Consolidated Financial Statements for further information related to the acquisition.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3"/>
                <w:szCs w:val="13"/>
                <w:color w:val="auto"/>
              </w:rPr>
            </w:pPr>
          </w:p>
        </w:tc>
        <w:tc>
          <w:tcPr>
            <w:tcW w:w="124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308,938</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1,140,216</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(935,009)</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(129,005)</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388,016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September 30, 2024, we have accrued approximately $106.9 million within accrued and other current liabilities on the condensed consolidated balance sheet, relating to the incremental rebates that would be owed were OPZELURA considered a line extension of JAKAFI. The impact on OPZELURA gross to net deductions for the quarter ending September 30, 2024 is approximately 6.7%.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Product royalty revenues on commercial sales of PEMAZYRE by Innovent are based on net sales of licensed products in licensed territories as provided by Innovent.</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milestone and contract revenues for the nine months ended September 30, 2024, was derived from a $25.0 million upfront payment received during the first quarter of 2024 upon our transfer of functional intellectual property to CMSHL, and we recognized $18.0 million of upfront and milestone payments from two of our collaboration partners during the three months ended September 30,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and nine months ended September 30, 2024 as compared to the same periods in 2023 was primarily due to growth in net product revenues, increased royalty expense and increased manufacturing related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IPR&amp;D expense</w:t>
            </w:r>
          </w:p>
        </w:tc>
        <w:tc>
          <w:tcPr>
            <w:tcW w:w="8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7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nine months ended September 30, 2024 as compared to the corresponding period in 2023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second quarter of 2024, we recognized compensation expense in research and development of approximately $11.3 million associated with the accelerated vesting for certain Escient stock awards in connection with the acquisition on our condensed consolidated statements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Research and development expenses for the nine months ended September 30, 2024 also include the $679.4 million of expense related to the acquired in-process research and development assets as part of the Escient acquisition, as described in Note 6 to the Condensed Consolidated Financial Statements. The increase in clinical research and outside services expense for the three months ended September 30, 2024 as compared to the corresponding period in 2023, was primarily due to continued investment in our late stage development assets, additional research and development expenses resulting from the Escient acquisition and timing of certain expenses. Research and development expenses include upfront and milestone expenses related to our collaborative agreements of $100.0 million and $101.4 million, respectively, for the three and nine months ended September 30, 2024. Research and development expenses include upfront and milestone expenses related to our collaborative agreements of $3.0 million and $12.7 million, respectively, for the three and nine months ended September 30, 2023. Research and development expenses for the three and nine months ended September 30, 2024 and 2023 were net of approximately $3.8 million, $25.1 million, $11.3 million and $37.0 million, respectively, of costs reimbursed by our collaborative partners.</w:t>
      </w:r>
    </w:p>
    <w:p>
      <w:pPr>
        <w:spacing w:after="0" w:line="17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8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86"/>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87"/>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4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5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7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and nine months ended September 30, 2024 as compared to the corresponding period in 2023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Additionally, as described in Note 6 to the Condensed Consolidated Financial Statements, as part of the Escient acquisition, during the second quarter of 2024, we recognized compensation expense in selling, general and administrative expenses of approximately $20.2 million associated with the accelerated vesting for certain Escient stock awards in connection with the acquisition on our condensed consolidated statements of operations. The increase in other contract services and outside costs for the three months ended September 30, 2024, as compared to the corresponding period in 2023, was primarily due to the timing of consumer marketing activities and of certain other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change in fair value of acquisition-related contingent consideration</w:t>
      </w:r>
    </w:p>
    <w:p>
      <w:pPr>
        <w:spacing w:after="0" w:line="219"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nine months ended September 30, 2024 was a loss of $23.4 million and $23.8 million, respectively, which is recorded in loss (gain) on change in fair value of acquisition-related contingent consideration on the condensed consolidated statements of operations. The change in fair value of the acquisition-related contingent consideration for the three and nine months ended September 30, 2023 was a gain of $0.4 million and a loss of $14.1 million, respectively, which is recorded in loss (gain) on change in fair value of acquisition-related contingent consideration on the condensed consolidated statements of operations. The change in fair value of the contingent consideration during the three and nine months ended September 30, 2024 was due primarily to fluctuations in foreign currency exchange rates impacting future revenue projections of ICLUSIG and the passage of time. The change in fair value of the contingent consideration during the three and nine months ended September 30, 2023 was due primarily to fluctuations in foreign currency exchange rates impacting future revenue projections of ICLUSIG and the passage of time.</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and (profit) sharing under collaboration agreements</w:t>
      </w:r>
    </w:p>
    <w:p>
      <w:pPr>
        <w:spacing w:after="0" w:line="21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Under the former collaboration and license agreement with MorphoSys, which was executed in March 2020 and continued through February 5, 2024 as described further in Note 6 of Notes to the Condensed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loss and (profit) sharing under collaboration agreements on the condensed consolidated statement of operations. For the three and nine months ended September 30, 2023, our 50% share of the losses and profits for tafasitamab was a loss of $1.1 million and a profit of $0.9 million, respectively, as recorded in loss and (profit) sharing under collaboration agreements on the condensed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 and other, net</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Interest income and other, net for the three and nine months ended September 30, 2024 was $24.2 million and $118.7 million, respectively. Interest income and other, net for the three and nine months ended September 30, 2023 was $46.4 million and $121.9 million, respectively. The decrease in Interest income and other, net for the three and nine months ended September 30, 2024 primarily relates to a decrease in interest earned on our cash equivalents and marketable securities generally due to lower cash equivalent and marketable securities balance in third quarter of 2024 as compared to the corresponding period in 2023.</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Realized and unrealized (loss) gain on equity investments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Realized and unrealized losses and gains on equity investments will fluctuate from period to period, based on sales of securities and the change in fair value of the securities we hold in our publicly held collaboration partners. The following table provides a summary of those realized and unrealized (losses) gains: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60" w:type="dxa"/>
            <w:vAlign w:val="bottom"/>
            <w:gridSpan w:val="4"/>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164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8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5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1"/>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(loss) gain on equity investments</w:t>
            </w:r>
          </w:p>
        </w:tc>
        <w:tc>
          <w:tcPr>
            <w:tcW w:w="1640" w:type="dxa"/>
            <w:vAlign w:val="bottom"/>
            <w:gridSpan w:val="2"/>
          </w:tcPr>
          <w:p>
            <w:pPr>
              <w:jc w:val="right"/>
              <w:ind w:right="62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w:t>
            </w:r>
          </w:p>
        </w:tc>
        <w:tc>
          <w:tcPr>
            <w:tcW w:w="100" w:type="dxa"/>
            <w:vAlign w:val="bottom"/>
          </w:tcPr>
          <w:p>
            <w:pPr>
              <w:spacing w:after="0"/>
              <w:rPr>
                <w:sz w:val="21"/>
                <w:szCs w:val="21"/>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2024 was $50.1 million and $171.5 million, respectively. The provision for income taxes for the three and nine months ended September 30, 2023 was $62.5 million and $166.7 million, respectively.</w:t>
      </w:r>
    </w:p>
    <w:p>
      <w:pPr>
        <w:spacing w:after="0" w:line="16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2024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nine months ended September 30, 2024 was higher than the U.S. statutory rate primarily due to non-deductible charges of $710.9 million associated with the Escient acquisition. Our effective tax rate for the three and nine months ended September 30, 2023 was higher than the U.S. statutory rate primarily due to foreign losses with no associated tax benefit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September 30, 2024, we had available cash, cash equivalents and marketable securities of $1.8 billion. Our cash and marketable securities balances are primarily held in a variety of interest-bearing instruments, including money market accounts and U.S. government debt securities. Additionally, we had short term equity investments of $3.3 million as of September 30, 2024. Available cash is invested in accordance with our investment policy’s primary objectives of liquidity, safety of principal and diversity of investments.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$45.9 million and net cash provided by operating activities for the nine months ended September 30, 2023 was $348.8 million. The decrease in cash provided by operating activities was due primarily to the Escient acquisition and changes in working capital.</w:t>
      </w:r>
    </w:p>
    <w:p>
      <w:pPr>
        <w:spacing w:after="0" w:line="17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Our investing activities, other than purchases, sales and maturities of marketable securities, have consisted predominantly of capital expenditures and sales of equity investments. Net cash provided by investing activities was $179.0 million for the nine months ended September 30, 2024, which primarily represented sales of equity investments of $282.9 million and sale and maturities of marketable securities of $207.9 million, offset in part by purchases of marketable securities of $229.0 million, capital expenditures of $68.9 million and payments for intangible assets of $13.9 million. Net cash used in investing activities was $53.2 million for the nine months ended September 30, 2023, which represented purchases of marketable securities of $222.2 million, payments for intangible assets of $15.0 million, purchases of equity investments of $10.0 million and capital expenditures of $30.2 million, offset in part by the sales and maturities of marketable securities of $224.2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was $2.0 billion for the nine months ended September 30, 2024 and was primarily driven by expenditures associated with the share repurchase of $2.0 billion. Net cash used in financing activities was $20.4 million for the nine months ended September 30, 2023, primarily representing cash paid to ARIAD/Takeda for contingent consideration.</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2021, we entered into a $500.0 million, revolving credit and guaranty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2024, we had no outstanding borrowings and were in compliance with all covenants under this facility.</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Due to the full utilization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2024, marketable securities were $467.2 million. Due to the nature of these investments, if market interest rates were to increase immediately and uniformly by 10% from levels as of September 30, 2024, the decline in fair value would not be material.</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Additionally, we have short term equity investments of $3.3 million as of September 30, 2024. To the extent that we continue to hold strategic equity investments in publicly traded companies, we expect that due to the volatility of the stock price of biotechnology companies, our Realized and unrealized (loss) gain on equity investments will fluctuate in future periods based on increases or decreases in the fair value of our strategic equity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September 30, 2024,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ZYNYZ and NIKTIMVO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8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6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 For example, a recent decision from the U.S. Supreme Court in July 2024 which overturned the precedent to defer to a regulatory agency’s reasonable interpretation of an ambiguous statute that the regulatory agency administers may lead to an increase in litigation against regulatory agencies that could create uncertainty and thus negatively impact our business.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ZYNYZ and NIKTIMVO, the manufacturing, marketing and sale of JAKAFI, PEMAZYRE, OPZELURA and NIKTIMVO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ZYNYZ and NIKTIMVO.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2023 for additional information regarding the effects of competition. If we are unable to compete successfully, our commercial opportunities will be reduced and our business, results of operations and financial conditions may be materially harmed.</w:t>
      </w:r>
    </w:p>
    <w:p>
      <w:pPr>
        <w:spacing w:after="0" w:line="198"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June 2028. To date, to our knowledge, the FDA has taken no action with respect to this ANDA. Subsequently, we received a notice letter in February 2024 challenging the patent covering ruxolitinib composition of matter and its use, which expires in June 2028.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respect to deuterated ruxolitinib, in January 2018 the Patent Trial and Appeal Board (PTAB) of United States Patent and Trademark Office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denied a petition challenging our patent covering deuterated ruxolitinib analogs. The PTAB subsequently denied the petitioner’s request for rehearing in May 2018, a decision that was upheld by the United States Court of Appeals for the Federal Circuit. Nevertheless, the petitioner still has the right separately to challenge the validity of our patent in federal court.</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 of prescription treatments. In September 2023, we received a notice letter regarding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9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9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7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 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OPZELURA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drug candidates or drug products, whether through conditions affecting the cost and availability of raw materials, such as inflation, decreases in available manufacturing capacity, or otherwise, would adversely affect our results of operations.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67" w:lineRule="exact"/>
        <w:rPr>
          <w:sz w:val="20"/>
          <w:szCs w:val="20"/>
          <w:color w:val="auto"/>
        </w:rPr>
      </w:pPr>
    </w:p>
    <w:p>
      <w:pPr>
        <w:jc w:val="both"/>
        <w:ind w:left="960" w:hanging="318"/>
        <w:spacing w:after="0" w:line="259"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operations, future revenues and financial condition and increase our costs and expenses.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ZYNYZ and NIKTIMVO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ZYNYZ and NIKTIMVO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short term equity investments and long term equity investments are subject to risks that could adversely affect our overall financial position.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short-term instruments, money market funds,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backed-funds and Treasury securities, which are investment grade and historically have been highly liquid and carried relatively low risk.</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5"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short and long term equity investments could adversely affect our financial position on the consolidated balance sheets and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Times New Roman" w:cs="Times New Roman" w:eastAsia="Times New Roman" w:hAnsi="Times New Roman"/>
          <w:sz w:val="18"/>
          <w:szCs w:val="18"/>
          <w:color w:val="222222"/>
        </w:rPr>
        <w:t>the European Union member states agreed to implement in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domestic tax laws a 15% global minimum tax on the profits of large multinational enterprises with a target effective date for fiscal years beginning on or after December 31, 2023. Although </w:t>
      </w:r>
      <w:r>
        <w:rPr>
          <w:rFonts w:ascii="Times New Roman" w:cs="Times New Roman" w:eastAsia="Times New Roman" w:hAnsi="Times New Roman"/>
          <w:sz w:val="18"/>
          <w:szCs w:val="18"/>
          <w:color w:val="000000"/>
        </w:rPr>
        <w:t>we continue to evaluate and assess the potential impact of the recent U.S. legislation and BEPS 2.0 on us, the minimum tax</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derived a substantial portion of our revenues for the year ended December 31, 2023 and the nine months ended September 30, 2024 from JAKAVI and OLUMIANT product royalties and, in prior periods, we derived a substantial portion of our revenues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19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8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72" w:lineRule="auto"/>
        <w:tabs>
          <w:tab w:leader="none" w:pos="8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September 30, 2024, the following director and officers (as defined in Rule 16a-1(f) under the Securities Exchange Act of 1934) of our Company adopted a prearranged trading plan relating to our common stock and intended to satisfy the affirmative defense of Rule 10b5–</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1(c) under the Securities Exchange Act of 1934:</w:t>
      </w:r>
    </w:p>
    <w:p>
      <w:pPr>
        <w:spacing w:after="0" w:line="198"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Paul J. Clancy, a member of our Board of Directors, adopted a trading plan on August 20, 2024 providing for the sale of up to an aggregate of 45,000 shares of our common stock until August 20, 2025.</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Steven Stein, our Executive Vice President and Chief Medical Officer, adopted a trading plan on August 29, 2024 providing for the sale of up to an aggregate of 29,745 shares of our common stock until August 29, 2025.</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Vijay Iyengar, our Executive Vice President, Global Medical Affairs, Product, and Partnership Strategy, adopted a trading plan on August 29, 2024 providing for the sale of up to an aggregate of 77,316 shares of our common stock until August 29,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Chief Accounting Officer, adopted a trading plan on September 13, 2024 providing for the sale of up to an aggregate of 1,300 shares of our common stock until September 15, 2025.</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40" w:type="dxa"/>
            <w:vAlign w:val="bottom"/>
            <w:gridSpan w:val="7"/>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780" w:type="dxa"/>
            <w:vAlign w:val="bottom"/>
            <w:tcBorders>
              <w:top w:val="single" w:sz="8" w:color="auto"/>
            </w:tcBorders>
            <w:gridSpan w:val="11"/>
          </w:tcPr>
          <w:p>
            <w:pPr>
              <w:spacing w:after="0" w:line="198" w:lineRule="exact"/>
              <w:rPr>
                <w:sz w:val="20"/>
                <w:szCs w:val="20"/>
                <w:color w:val="auto"/>
              </w:rPr>
            </w:pPr>
            <w:r>
              <w:rPr>
                <w:rFonts w:ascii="Times New Roman" w:cs="Times New Roman" w:eastAsia="Times New Roman" w:hAnsi="Times New Roman"/>
                <w:sz w:val="18"/>
                <w:szCs w:val="18"/>
                <w:color w:val="0000FF"/>
                <w:w w:val="98"/>
              </w:rPr>
              <w:t>Form of U.S. Stock Option Agreement for Executive Officers under the Incyte Corporation Amended and Restated 2010 Stock Incentive</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79" w:lineRule="exact"/>
              <w:rPr>
                <w:sz w:val="20"/>
                <w:szCs w:val="20"/>
                <w:color w:val="auto"/>
              </w:rPr>
            </w:pPr>
            <w:r>
              <w:rPr>
                <w:rFonts w:ascii="Times New Roman" w:cs="Times New Roman" w:eastAsia="Times New Roman" w:hAnsi="Times New Roman"/>
                <w:sz w:val="18"/>
                <w:szCs w:val="18"/>
                <w:color w:val="0000FF"/>
              </w:rPr>
              <w:t>Plan.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Form of U.S. Restricted Stock Unit Award Agreement under the Incyte Corporation Amended and Restated 2010 Stock Incentive Plan.</w:t>
            </w:r>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U.S. Nonstatutory Stock Option Agreement for Executive Officers under the Incyte Corporation 2024 Inducement Stock</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FF"/>
            </w:tcBorders>
            <w:gridSpan w:val="10"/>
          </w:tcPr>
          <w:p>
            <w:pPr>
              <w:spacing w:after="0" w:line="179" w:lineRule="exact"/>
              <w:rPr>
                <w:sz w:val="20"/>
                <w:szCs w:val="20"/>
                <w:color w:val="auto"/>
              </w:rPr>
            </w:pPr>
            <w:r>
              <w:rPr>
                <w:rFonts w:ascii="Times New Roman" w:cs="Times New Roman" w:eastAsia="Times New Roman" w:hAnsi="Times New Roman"/>
                <w:sz w:val="18"/>
                <w:szCs w:val="18"/>
                <w:color w:val="0000FF"/>
              </w:rPr>
              <w:t>Incentive Plan.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U.S. Restricted Stock Unit Award Agreement for Executive Officers under the Incyte Corporation 2024 Inducement Stock</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tcBorders>
              <w:top w:val="single" w:sz="8" w:color="0000FF"/>
            </w:tcBorders>
            <w:gridSpan w:val="7"/>
          </w:tcPr>
          <w:p>
            <w:pPr>
              <w:spacing w:after="0" w:line="179" w:lineRule="exact"/>
              <w:rPr>
                <w:sz w:val="20"/>
                <w:szCs w:val="20"/>
                <w:color w:val="auto"/>
              </w:rPr>
            </w:pPr>
            <w:r>
              <w:rPr>
                <w:rFonts w:ascii="Times New Roman" w:cs="Times New Roman" w:eastAsia="Times New Roman" w:hAnsi="Times New Roman"/>
                <w:sz w:val="18"/>
                <w:szCs w:val="18"/>
                <w:color w:val="0000FF"/>
              </w:rPr>
              <w:t>Incentive Plan.</w:t>
            </w:r>
          </w:p>
        </w:tc>
        <w:tc>
          <w:tcPr>
            <w:tcW w:w="5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5"/>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p>
        </w:tc>
        <w:tc>
          <w:tcPr>
            <w:tcW w:w="75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2024</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HERVÉ HOPPENOT</w:t>
            </w:r>
          </w:p>
        </w:tc>
      </w:tr>
      <w:tr>
        <w:trPr>
          <w:trHeight w:val="239"/>
        </w:trPr>
        <w:tc>
          <w:tcPr>
            <w:tcW w:w="3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Hervé Hoppenot</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2024</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239"/>
        </w:trPr>
        <w:tc>
          <w:tcPr>
            <w:tcW w:w="3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Christiana Stamoulis</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1"/>
        </w:trPr>
        <w:tc>
          <w:tcPr>
            <w:tcW w:w="3640" w:type="dxa"/>
            <w:vAlign w:val="bottom"/>
          </w:tcPr>
          <w:p>
            <w:pPr>
              <w:spacing w:after="0"/>
              <w:rPr>
                <w:sz w:val="24"/>
                <w:szCs w:val="24"/>
                <w:color w:val="auto"/>
              </w:rPr>
            </w:pPr>
          </w:p>
        </w:tc>
        <w:tc>
          <w:tcPr>
            <w:tcW w:w="24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87</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1064895</wp:posOffset>
            </wp:positionV>
            <wp:extent cx="7134860"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2"/>
        </w:trPr>
        <w:tc>
          <w:tcPr>
            <w:tcW w:w="4940" w:type="dxa"/>
            <w:vAlign w:val="bottom"/>
          </w:tcPr>
          <w:p>
            <w:pPr>
              <w:spacing w:after="0"/>
              <w:rPr>
                <w:sz w:val="21"/>
                <w:szCs w:val="21"/>
                <w:color w:val="auto"/>
              </w:rPr>
            </w:pPr>
          </w:p>
        </w:tc>
        <w:tc>
          <w:tcPr>
            <w:tcW w:w="6300" w:type="dxa"/>
            <w:vAlign w:val="bottom"/>
            <w:gridSpan w:val="2"/>
          </w:tcPr>
          <w:p>
            <w:pPr>
              <w:ind w:left="220"/>
              <w:spacing w:after="0"/>
              <w:rPr>
                <w:sz w:val="20"/>
                <w:szCs w:val="20"/>
                <w:color w:val="auto"/>
              </w:rPr>
            </w:pPr>
            <w:r>
              <w:rPr>
                <w:rFonts w:ascii="Arial" w:cs="Arial" w:eastAsia="Arial" w:hAnsi="Arial"/>
                <w:sz w:val="21"/>
                <w:szCs w:val="21"/>
                <w:b w:val="1"/>
                <w:bCs w:val="1"/>
                <w:color w:val="auto"/>
              </w:rPr>
              <w:t>Incyte Corporation</w:t>
            </w:r>
          </w:p>
        </w:tc>
      </w:tr>
      <w:tr>
        <w:trPr>
          <w:trHeight w:val="252"/>
        </w:trPr>
        <w:tc>
          <w:tcPr>
            <w:tcW w:w="4940" w:type="dxa"/>
            <w:vAlign w:val="bottom"/>
          </w:tcPr>
          <w:p>
            <w:pPr>
              <w:ind w:left="260"/>
              <w:spacing w:after="0"/>
              <w:rPr>
                <w:sz w:val="20"/>
                <w:szCs w:val="20"/>
                <w:color w:val="auto"/>
              </w:rPr>
            </w:pPr>
            <w:r>
              <w:rPr>
                <w:rFonts w:ascii="Arial" w:cs="Arial" w:eastAsia="Arial" w:hAnsi="Arial"/>
                <w:sz w:val="21"/>
                <w:szCs w:val="21"/>
                <w:b w:val="1"/>
                <w:bCs w:val="1"/>
                <w:color w:val="auto"/>
              </w:rPr>
              <w:t>Notice of Grant of Stock Options and Option</w:t>
            </w:r>
          </w:p>
        </w:tc>
        <w:tc>
          <w:tcPr>
            <w:tcW w:w="980" w:type="dxa"/>
            <w:vAlign w:val="bottom"/>
          </w:tcPr>
          <w:p>
            <w:pPr>
              <w:ind w:left="220"/>
              <w:spacing w:after="0"/>
              <w:rPr>
                <w:sz w:val="20"/>
                <w:szCs w:val="20"/>
                <w:color w:val="auto"/>
              </w:rPr>
            </w:pPr>
            <w:r>
              <w:rPr>
                <w:rFonts w:ascii="Arial" w:cs="Arial" w:eastAsia="Arial" w:hAnsi="Arial"/>
                <w:sz w:val="21"/>
                <w:szCs w:val="21"/>
                <w:b w:val="1"/>
                <w:bCs w:val="1"/>
                <w:color w:val="auto"/>
              </w:rPr>
              <w:t>ID: [</w:t>
            </w:r>
          </w:p>
        </w:tc>
        <w:tc>
          <w:tcPr>
            <w:tcW w:w="5320" w:type="dxa"/>
            <w:vAlign w:val="bottom"/>
          </w:tcPr>
          <w:p>
            <w:pPr>
              <w:jc w:val="right"/>
              <w:ind w:right="4794"/>
              <w:spacing w:after="0"/>
              <w:rPr>
                <w:sz w:val="20"/>
                <w:szCs w:val="20"/>
                <w:color w:val="auto"/>
              </w:rPr>
            </w:pPr>
            <w:r>
              <w:rPr>
                <w:rFonts w:ascii="Arial" w:cs="Arial" w:eastAsia="Arial" w:hAnsi="Arial"/>
                <w:sz w:val="21"/>
                <w:szCs w:val="21"/>
                <w:b w:val="1"/>
                <w:bCs w:val="1"/>
                <w:color w:val="auto"/>
              </w:rPr>
              <w:t>]</w:t>
            </w:r>
          </w:p>
        </w:tc>
      </w:tr>
      <w:tr>
        <w:trPr>
          <w:trHeight w:val="214"/>
        </w:trPr>
        <w:tc>
          <w:tcPr>
            <w:tcW w:w="4940" w:type="dxa"/>
            <w:vAlign w:val="bottom"/>
          </w:tcPr>
          <w:p>
            <w:pPr>
              <w:ind w:left="260"/>
              <w:spacing w:after="0" w:line="214" w:lineRule="exact"/>
              <w:rPr>
                <w:sz w:val="20"/>
                <w:szCs w:val="20"/>
                <w:color w:val="auto"/>
              </w:rPr>
            </w:pPr>
            <w:r>
              <w:rPr>
                <w:rFonts w:ascii="Arial" w:cs="Arial" w:eastAsia="Arial" w:hAnsi="Arial"/>
                <w:sz w:val="21"/>
                <w:szCs w:val="21"/>
                <w:b w:val="1"/>
                <w:bCs w:val="1"/>
                <w:color w:val="auto"/>
              </w:rPr>
              <w:t>Agreement</w:t>
            </w:r>
          </w:p>
        </w:tc>
        <w:tc>
          <w:tcPr>
            <w:tcW w:w="6300" w:type="dxa"/>
            <w:vAlign w:val="bottom"/>
            <w:gridSpan w:val="2"/>
          </w:tcPr>
          <w:p>
            <w:pPr>
              <w:ind w:left="220"/>
              <w:spacing w:after="0"/>
              <w:rPr>
                <w:sz w:val="20"/>
                <w:szCs w:val="20"/>
                <w:color w:val="auto"/>
              </w:rPr>
            </w:pPr>
            <w:r>
              <w:rPr>
                <w:rFonts w:ascii="Arial" w:cs="Arial" w:eastAsia="Arial" w:hAnsi="Arial"/>
                <w:sz w:val="16"/>
                <w:szCs w:val="16"/>
                <w:color w:val="auto"/>
              </w:rPr>
              <w:t>1801 Augustine Cut-Off</w:t>
            </w:r>
          </w:p>
        </w:tc>
      </w:tr>
      <w:tr>
        <w:trPr>
          <w:trHeight w:val="245"/>
        </w:trPr>
        <w:tc>
          <w:tcPr>
            <w:tcW w:w="494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Wilmington, DE 19803</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[Optionee Name]</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[Optionee Address]</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 Number: [ ]</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Plan: 2010</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ID: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&lt;Date&gt;, you have been granted [an Incentive/ a Nonstatutory] Stock Option Agreement to buy [______] shares of Incyte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Corporation (Incyte) stock at $[______] per share.</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option price of the shares granted is $[_______].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28" w:lineRule="exact"/>
        <w:rPr>
          <w:sz w:val="20"/>
          <w:szCs w:val="20"/>
          <w:color w:val="auto"/>
        </w:rPr>
      </w:pPr>
    </w:p>
    <w:p>
      <w:pPr>
        <w:ind w:left="460"/>
        <w:spacing w:after="0"/>
        <w:tabs>
          <w:tab w:leader="none" w:pos="1400" w:val="left"/>
          <w:tab w:leader="none" w:pos="2560" w:val="left"/>
          <w:tab w:leader="none" w:pos="364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Vest Type</w:t>
      </w:r>
      <w:r>
        <w:rPr>
          <w:sz w:val="20"/>
          <w:szCs w:val="20"/>
          <w:color w:val="auto"/>
        </w:rPr>
        <w:tab/>
      </w:r>
      <w:r>
        <w:rPr>
          <w:rFonts w:ascii="Arial" w:cs="Arial" w:eastAsia="Arial" w:hAnsi="Arial"/>
          <w:sz w:val="18"/>
          <w:szCs w:val="18"/>
          <w:color w:val="auto"/>
        </w:rPr>
        <w:t>Full Vest</w:t>
      </w:r>
      <w:r>
        <w:rPr>
          <w:sz w:val="20"/>
          <w:szCs w:val="20"/>
          <w:color w:val="auto"/>
        </w:rPr>
        <w:tab/>
      </w:r>
      <w:r>
        <w:rPr>
          <w:rFonts w:ascii="Arial" w:cs="Arial" w:eastAsia="Arial" w:hAnsi="Arial"/>
          <w:sz w:val="17"/>
          <w:szCs w:val="17"/>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636270</wp:posOffset>
            </wp:positionV>
            <wp:extent cx="7134860"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-10795</wp:posOffset>
            </wp:positionV>
            <wp:extent cx="26479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47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right="320"/>
        <w:spacing w:after="0" w:line="260" w:lineRule="auto"/>
        <w:rPr>
          <w:sz w:val="20"/>
          <w:szCs w:val="20"/>
          <w:color w:val="auto"/>
        </w:rPr>
      </w:pPr>
      <w:r>
        <w:rPr>
          <w:rFonts w:ascii="Arial" w:cs="Arial" w:eastAsia="Arial" w:hAnsi="Arial"/>
          <w:sz w:val="18"/>
          <w:szCs w:val="18"/>
          <w:color w:val="auto"/>
        </w:rPr>
        <w:t>You and Incyte agree that these options are granted under and governed by the terms and conditions of Incyte’s Amended and Restated 2010 Stock Incentive Plan and the Stock Option Agreement that can be reviewed by clicking the link provided above. By accepting this Notice, you are agreeing to all of those terms and conditions.</w:t>
      </w:r>
    </w:p>
    <w:p>
      <w:pPr>
        <w:spacing w:after="0" w:line="202" w:lineRule="exact"/>
        <w:rPr>
          <w:sz w:val="20"/>
          <w:szCs w:val="20"/>
          <w:color w:val="auto"/>
        </w:rPr>
      </w:pPr>
    </w:p>
    <w:p>
      <w:pPr>
        <w:ind w:left="260" w:right="720"/>
        <w:spacing w:after="0" w:line="260" w:lineRule="auto"/>
        <w:rPr>
          <w:sz w:val="20"/>
          <w:szCs w:val="20"/>
          <w:color w:val="auto"/>
        </w:rPr>
      </w:pPr>
      <w:r>
        <w:rPr>
          <w:rFonts w:ascii="Arial" w:cs="Arial" w:eastAsia="Arial" w:hAnsi="Arial"/>
          <w:sz w:val="18"/>
          <w:szCs w:val="18"/>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- 1 -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240"/>
          </w:cols>
          <w:pgMar w:left="320" w:top="1440" w:right="339" w:bottom="1440" w:gutter="0" w:footer="0" w:header="0"/>
        </w:sectPr>
      </w:pPr>
    </w:p>
    <w:bookmarkStart w:id="88" w:name="page89"/>
    <w:bookmarkEnd w:id="88"/>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AMENDED AND RESTATED 2010 STOCK INCENTIVE PLAN:</w:t>
      </w:r>
    </w:p>
    <w:p>
      <w:pPr>
        <w:spacing w:after="0" w:line="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U.S. [INCENTIVE/ NONSTATUTORY] STOCK OPTION AGREEMENT</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FOR EXECUTIVE OFFICERS</w:t>
      </w:r>
    </w:p>
    <w:p>
      <w:pPr>
        <w:sectPr>
          <w:pgSz w:w="11900" w:h="16838" w:orient="portrait"/>
          <w:cols w:equalWidth="0" w:num="1">
            <w:col w:w="11160"/>
          </w:cols>
          <w:pgMar w:left="400" w:top="1393" w:right="339" w:bottom="1440" w:gutter="0" w:footer="0" w:header="0"/>
        </w:sectPr>
      </w:pPr>
    </w:p>
    <w:p>
      <w:pPr>
        <w:spacing w:after="0" w:line="28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1"/>
          <w:szCs w:val="21"/>
          <w:b w:val="1"/>
          <w:bCs w:val="1"/>
          <w:color w:val="auto"/>
        </w:rPr>
        <w:t>[Incentive/ Nonstatutory] Stock Option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1"/>
          <w:szCs w:val="21"/>
          <w:i w:val="1"/>
          <w:iCs w:val="1"/>
          <w:color w:val="auto"/>
        </w:rPr>
        <w:t xml:space="preserve">[For incentive stock options] </w:t>
      </w:r>
      <w:r>
        <w:rPr>
          <w:rFonts w:ascii="Times New Roman" w:cs="Times New Roman" w:eastAsia="Times New Roman" w:hAnsi="Times New Roman"/>
          <w:sz w:val="21"/>
          <w:szCs w:val="21"/>
          <w:color w:val="auto"/>
        </w:rPr>
        <w:t>This option is intended to be an incentive stock option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422 of the Internal Revenue Code and will be interpreted accordingly.</w:t>
      </w:r>
    </w:p>
    <w:p>
      <w:pPr>
        <w:spacing w:after="0" w:line="164" w:lineRule="exact"/>
        <w:rPr>
          <w:sz w:val="20"/>
          <w:szCs w:val="20"/>
          <w:color w:val="auto"/>
        </w:rPr>
      </w:pPr>
    </w:p>
    <w:p>
      <w:pPr>
        <w:sectPr>
          <w:pgSz w:w="11900" w:h="16838" w:orient="portrait"/>
          <w:cols w:equalWidth="0" w:num="2">
            <w:col w:w="2280" w:space="520"/>
            <w:col w:w="8360"/>
          </w:cols>
          <w:pgMar w:left="400" w:top="1393" w:right="339" w:bottom="1440" w:gutter="0" w:footer="0" w:header="0"/>
          <w:type w:val="continuous"/>
        </w:sectPr>
      </w:pPr>
    </w:p>
    <w:p>
      <w:pPr>
        <w:ind w:left="2800" w:right="80"/>
        <w:spacing w:after="0" w:line="282" w:lineRule="auto"/>
        <w:rPr>
          <w:sz w:val="20"/>
          <w:szCs w:val="20"/>
          <w:color w:val="auto"/>
        </w:rPr>
      </w:pPr>
      <w:r>
        <w:rPr>
          <w:rFonts w:ascii="Times New Roman" w:cs="Times New Roman" w:eastAsia="Times New Roman" w:hAnsi="Times New Roman"/>
          <w:sz w:val="21"/>
          <w:szCs w:val="21"/>
          <w:i w:val="1"/>
          <w:iCs w:val="1"/>
          <w:color w:val="auto"/>
        </w:rPr>
        <w:t xml:space="preserve">[For nonstatutory stock options] </w:t>
      </w:r>
      <w:r>
        <w:rPr>
          <w:rFonts w:ascii="Times New Roman" w:cs="Times New Roman" w:eastAsia="Times New Roman" w:hAnsi="Times New Roman"/>
          <w:sz w:val="21"/>
          <w:szCs w:val="21"/>
          <w:color w:val="auto"/>
        </w:rPr>
        <w:t>This option is not intended to be an incentive stock option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422 of the Internal Revenue Code.</w:t>
      </w:r>
    </w:p>
    <w:p>
      <w:pPr>
        <w:sectPr>
          <w:pgSz w:w="11900" w:h="16838" w:orient="portrait"/>
          <w:cols w:equalWidth="0" w:num="1">
            <w:col w:w="11160"/>
          </w:cols>
          <w:pgMar w:left="400" w:top="139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20" w:lineRule="exact"/>
        <w:rPr>
          <w:sz w:val="20"/>
          <w:szCs w:val="20"/>
          <w:color w:val="auto"/>
        </w:rPr>
      </w:pPr>
      <w:r>
        <w:rPr>
          <w:sz w:val="20"/>
          <w:szCs w:val="20"/>
          <w:color w:val="auto"/>
        </w:rPr>
        <w:br w:type="column"/>
      </w:r>
    </w:p>
    <w:p>
      <w:pPr>
        <w:jc w:val="both"/>
        <w:ind w:right="60"/>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[Installment vesting] </w:t>
      </w:r>
      <w:r>
        <w:rPr>
          <w:rFonts w:ascii="Times New Roman" w:cs="Times New Roman" w:eastAsia="Times New Roman" w:hAnsi="Times New Roman"/>
          <w:sz w:val="21"/>
          <w:szCs w:val="21"/>
          <w:color w:val="auto"/>
        </w:rPr>
        <w:t>Your right to exercise this option vests in [37] installments over a [4]-year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period, as shown on the Notice of Grant of Stock Options (the “grant notice”). The first installment consists of [25]% of the total number of shares covered by this option. It becomes exercisable on the “full vest” date shown on the grant notice. Each of the subsequent installments consists of [2.08333]% of the total number of shares covered by this option. The subsequent installments become exercisable at the end of each of the [36] months following the full vest date of the first installment. The number of shares in each installment will be rounded to the nearest whole number. No additional shares subject to this option will vest after your service as an employee, director, consultant or advisor of Incyte (or any subsidiary) has terminated for any reason, except in the event of your full retirement or as provided below under “Change in Control.”</w:t>
      </w:r>
    </w:p>
    <w:p>
      <w:pPr>
        <w:spacing w:after="0" w:line="174" w:lineRule="exact"/>
        <w:rPr>
          <w:sz w:val="20"/>
          <w:szCs w:val="20"/>
          <w:color w:val="auto"/>
        </w:rPr>
      </w:pPr>
    </w:p>
    <w:p>
      <w:pPr>
        <w:sectPr>
          <w:pgSz w:w="11900" w:h="16838" w:orient="portrait"/>
          <w:cols w:equalWidth="0" w:num="2">
            <w:col w:w="2080" w:space="720"/>
            <w:col w:w="8360"/>
          </w:cols>
          <w:pgMar w:left="400" w:top="1393" w:right="339" w:bottom="1440" w:gutter="0" w:footer="0" w:header="0"/>
          <w:type w:val="continuous"/>
        </w:sectPr>
      </w:pPr>
    </w:p>
    <w:p>
      <w:pPr>
        <w:jc w:val="both"/>
        <w:ind w:left="2800" w:right="60"/>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[Cliff vesting] </w:t>
      </w:r>
      <w:r>
        <w:rPr>
          <w:rFonts w:ascii="Times New Roman" w:cs="Times New Roman" w:eastAsia="Times New Roman" w:hAnsi="Times New Roman"/>
          <w:sz w:val="21"/>
          <w:szCs w:val="21"/>
          <w:color w:val="auto"/>
        </w:rPr>
        <w:t>Your right to exercise this option vests on a “cliff” basis over a [4]-year period,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shown on the Notice of Grant of Stock Options (the “grant notice”). The option vests and becomes exercisable in full on the [4th] anniversary of the Date of Grant, which is the “full vest” date shown on the grant notice. If your service with Incyte terminates for any reason prior to the full vest date, no portion of this option will vest or be exercisable, except in the event of your full retirement or as provided below under “Change in Control.”</w:t>
      </w:r>
    </w:p>
    <w:p>
      <w:pPr>
        <w:spacing w:after="0" w:line="168" w:lineRule="exact"/>
        <w:rPr>
          <w:sz w:val="20"/>
          <w:szCs w:val="20"/>
          <w:color w:val="auto"/>
        </w:rPr>
      </w:pPr>
    </w:p>
    <w:p>
      <w:pPr>
        <w:jc w:val="both"/>
        <w:ind w:left="2800" w:right="80"/>
        <w:spacing w:after="0" w:line="258" w:lineRule="auto"/>
        <w:rPr>
          <w:sz w:val="20"/>
          <w:szCs w:val="20"/>
          <w:color w:val="auto"/>
        </w:rPr>
      </w:pPr>
      <w:r>
        <w:rPr>
          <w:rFonts w:ascii="Times New Roman" w:cs="Times New Roman" w:eastAsia="Times New Roman" w:hAnsi="Times New Roman"/>
          <w:sz w:val="21"/>
          <w:szCs w:val="21"/>
          <w:color w:val="auto"/>
        </w:rPr>
        <w:t>In the event of your full retirement, this option will continue to vest after your retirement in accordance with the vesting schedule set forth in this Agreement and the grant notice, provided your date of retirement is at least one year after the date of grant. If your date of retirement is less than one year after the date of grant, this option will be forfeited in its entirety. For this purpose, “full retirement” means your termination of service as an employee of Incyte (or any subsidiary) on or after the date you have attained age 65 and performed at least 10 years of service as an employee of Incyte (or any subsidiary).</w:t>
      </w:r>
    </w:p>
    <w:p>
      <w:pPr>
        <w:sectPr>
          <w:pgSz w:w="11900" w:h="16838" w:orient="portrait"/>
          <w:cols w:equalWidth="0" w:num="1">
            <w:col w:w="11160"/>
          </w:cols>
          <w:pgMar w:left="400" w:top="139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Your option will expire in any event at the close of business at Incyte headquarters on the day before the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1"/>
          <w:szCs w:val="21"/>
          <w:color w:val="auto"/>
        </w:rPr>
        <w:t>] anniversary of the Date of Grant, as shown on the grant notice. (It will expire earlier if your service terminates, as described below.)</w:t>
      </w:r>
    </w:p>
    <w:p>
      <w:pPr>
        <w:spacing w:after="0" w:line="200" w:lineRule="exact"/>
        <w:rPr>
          <w:sz w:val="20"/>
          <w:szCs w:val="20"/>
          <w:color w:val="auto"/>
        </w:rPr>
      </w:pPr>
    </w:p>
    <w:p>
      <w:pPr>
        <w:sectPr>
          <w:pgSz w:w="11900" w:h="16838" w:orient="portrait"/>
          <w:cols w:equalWidth="0" w:num="2">
            <w:col w:w="2080" w:space="720"/>
            <w:col w:w="8360"/>
          </w:cols>
          <w:pgMar w:left="400" w:top="1393"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- 2 -</w:t>
      </w:r>
    </w:p>
    <w:p>
      <w:pPr>
        <w:spacing w:after="0" w:line="254"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393" w:right="339" w:bottom="1440" w:gutter="0" w:footer="0" w:header="0"/>
          <w:type w:val="continuous"/>
        </w:sectPr>
      </w:pPr>
    </w:p>
    <w:bookmarkStart w:id="89" w:name="page90"/>
    <w:bookmarkEnd w:id="89"/>
    <w:p>
      <w:pPr>
        <w:spacing w:after="0" w:line="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1"/>
          <w:szCs w:val="21"/>
          <w:b w:val="1"/>
          <w:bCs w:val="1"/>
          <w:color w:val="auto"/>
        </w:rPr>
        <w:t>Regular Termination or</w:t>
      </w:r>
      <w:r>
        <w:rPr>
          <w:sz w:val="20"/>
          <w:szCs w:val="20"/>
          <w:color w:val="auto"/>
        </w:rPr>
        <w:tab/>
      </w:r>
      <w:r>
        <w:rPr>
          <w:rFonts w:ascii="Times New Roman" w:cs="Times New Roman" w:eastAsia="Times New Roman" w:hAnsi="Times New Roman"/>
          <w:sz w:val="21"/>
          <w:szCs w:val="21"/>
          <w:color w:val="auto"/>
        </w:rPr>
        <w:t>If your service as an executive officer or director of Incyte terminates for any reason other than</w:t>
      </w:r>
    </w:p>
    <w:p>
      <w:pPr>
        <w:spacing w:after="0" w:line="38" w:lineRule="exact"/>
        <w:rPr>
          <w:sz w:val="20"/>
          <w:szCs w:val="20"/>
          <w:color w:val="auto"/>
        </w:rPr>
      </w:pPr>
    </w:p>
    <w:p>
      <w:pPr>
        <w:ind w:left="2800" w:right="60" w:hanging="2799"/>
        <w:spacing w:after="0" w:line="261" w:lineRule="auto"/>
        <w:tabs>
          <w:tab w:leader="none" w:pos="2780" w:val="left"/>
        </w:tabs>
        <w:rPr>
          <w:sz w:val="20"/>
          <w:szCs w:val="20"/>
          <w:color w:val="auto"/>
        </w:rPr>
      </w:pPr>
      <w:r>
        <w:rPr>
          <w:rFonts w:ascii="Times New Roman" w:cs="Times New Roman" w:eastAsia="Times New Roman" w:hAnsi="Times New Roman"/>
          <w:sz w:val="21"/>
          <w:szCs w:val="21"/>
          <w:b w:val="1"/>
          <w:bCs w:val="1"/>
          <w:color w:val="auto"/>
        </w:rPr>
        <w:t>Disability</w:t>
      </w:r>
      <w:r>
        <w:rPr>
          <w:sz w:val="20"/>
          <w:szCs w:val="20"/>
          <w:color w:val="auto"/>
        </w:rPr>
        <w:tab/>
      </w:r>
      <w:r>
        <w:rPr>
          <w:rFonts w:ascii="Times New Roman" w:cs="Times New Roman" w:eastAsia="Times New Roman" w:hAnsi="Times New Roman"/>
          <w:sz w:val="21"/>
          <w:szCs w:val="21"/>
          <w:color w:val="auto"/>
        </w:rPr>
        <w:t>death, your option will expire at the close of business at Incyte headquarters on whichever of the following dates applies to you:</w:t>
      </w:r>
    </w:p>
    <w:p>
      <w:pPr>
        <w:spacing w:after="0" w:line="74" w:lineRule="exact"/>
        <w:rPr>
          <w:sz w:val="20"/>
          <w:szCs w:val="20"/>
          <w:color w:val="auto"/>
        </w:rPr>
      </w:pPr>
    </w:p>
    <w:p>
      <w:pPr>
        <w:ind w:left="3440" w:right="60" w:hanging="321"/>
        <w:spacing w:after="0" w:line="285" w:lineRule="auto"/>
        <w:tabs>
          <w:tab w:leader="none" w:pos="343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 months after your service terminates, if the termination occurs because of your total and permanent disability (as defined below);</w:t>
      </w:r>
    </w:p>
    <w:p>
      <w:pPr>
        <w:spacing w:after="0" w:line="35" w:lineRule="exact"/>
        <w:rPr>
          <w:rFonts w:ascii="Times New Roman" w:cs="Times New Roman" w:eastAsia="Times New Roman" w:hAnsi="Times New Roman"/>
          <w:sz w:val="21"/>
          <w:szCs w:val="21"/>
          <w:color w:val="auto"/>
        </w:rPr>
      </w:pPr>
    </w:p>
    <w:p>
      <w:pPr>
        <w:ind w:left="3440" w:right="60" w:hanging="321"/>
        <w:spacing w:after="0" w:line="285" w:lineRule="auto"/>
        <w:tabs>
          <w:tab w:leader="none" w:pos="343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of this option specified in the grant notice, if the termination occurs because of your full retirement as defined in “Vesting” above; or</w:t>
      </w:r>
    </w:p>
    <w:p>
      <w:pPr>
        <w:spacing w:after="0" w:line="141" w:lineRule="exact"/>
        <w:rPr>
          <w:rFonts w:ascii="Times New Roman" w:cs="Times New Roman" w:eastAsia="Times New Roman" w:hAnsi="Times New Roman"/>
          <w:sz w:val="21"/>
          <w:szCs w:val="21"/>
          <w:color w:val="auto"/>
        </w:rPr>
      </w:pPr>
    </w:p>
    <w:p>
      <w:pPr>
        <w:ind w:left="3440" w:right="80" w:hanging="321"/>
        <w:spacing w:after="0" w:line="298" w:lineRule="auto"/>
        <w:tabs>
          <w:tab w:leader="none" w:pos="343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your service terminates, if the termination occurs because of any reason other than your total and permanent disability, full retirement or death.</w:t>
      </w:r>
    </w:p>
    <w:p>
      <w:pPr>
        <w:spacing w:after="0" w:line="23" w:lineRule="exact"/>
        <w:rPr>
          <w:sz w:val="20"/>
          <w:szCs w:val="20"/>
          <w:color w:val="auto"/>
        </w:rPr>
      </w:pPr>
    </w:p>
    <w:p>
      <w:pPr>
        <w:jc w:val="both"/>
        <w:ind w:left="2800" w:right="60"/>
        <w:spacing w:after="0" w:line="267" w:lineRule="auto"/>
        <w:rPr>
          <w:sz w:val="20"/>
          <w:szCs w:val="20"/>
          <w:color w:val="auto"/>
        </w:rPr>
      </w:pPr>
      <w:r>
        <w:rPr>
          <w:rFonts w:ascii="Times New Roman" w:cs="Times New Roman" w:eastAsia="Times New Roman" w:hAnsi="Times New Roman"/>
          <w:sz w:val="21"/>
          <w:szCs w:val="21"/>
          <w:color w:val="auto"/>
        </w:rPr>
        <w:t>If your service as an employee (other than as an executive officer), consultant or advisor of Incyte (or any subsidiary) terminates for any reason other than death, your option will expire at the close of business at Incyte headquarters on whichever of the following dates applies to you:</w:t>
      </w:r>
    </w:p>
    <w:p>
      <w:pPr>
        <w:spacing w:after="0" w:line="55" w:lineRule="exact"/>
        <w:rPr>
          <w:sz w:val="20"/>
          <w:szCs w:val="20"/>
          <w:color w:val="auto"/>
        </w:rPr>
      </w:pPr>
    </w:p>
    <w:p>
      <w:pPr>
        <w:ind w:left="3440" w:right="60" w:hanging="321"/>
        <w:spacing w:after="0" w:line="285" w:lineRule="auto"/>
        <w:tabs>
          <w:tab w:leader="none" w:pos="343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months after your service terminates, if the termination occurs because of your total and permanent disability (as defined below);</w:t>
      </w:r>
    </w:p>
    <w:p>
      <w:pPr>
        <w:spacing w:after="0" w:line="49" w:lineRule="exact"/>
        <w:rPr>
          <w:rFonts w:ascii="Times New Roman" w:cs="Times New Roman" w:eastAsia="Times New Roman" w:hAnsi="Times New Roman"/>
          <w:sz w:val="21"/>
          <w:szCs w:val="21"/>
          <w:color w:val="auto"/>
        </w:rPr>
      </w:pPr>
    </w:p>
    <w:p>
      <w:pPr>
        <w:ind w:left="3440" w:right="60" w:hanging="321"/>
        <w:spacing w:after="0" w:line="285" w:lineRule="auto"/>
        <w:tabs>
          <w:tab w:leader="none" w:pos="343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of this option specified in the grant notice, if the termination occurs because of your full retirement as defined in “Vesting” above; or</w:t>
      </w:r>
    </w:p>
    <w:p>
      <w:pPr>
        <w:spacing w:after="0" w:line="35" w:lineRule="exact"/>
        <w:rPr>
          <w:rFonts w:ascii="Times New Roman" w:cs="Times New Roman" w:eastAsia="Times New Roman" w:hAnsi="Times New Roman"/>
          <w:sz w:val="21"/>
          <w:szCs w:val="21"/>
          <w:color w:val="auto"/>
        </w:rPr>
      </w:pPr>
    </w:p>
    <w:p>
      <w:pPr>
        <w:ind w:left="3440" w:right="80" w:hanging="321"/>
        <w:spacing w:after="0" w:line="285" w:lineRule="auto"/>
        <w:tabs>
          <w:tab w:leader="none" w:pos="343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your service terminates, if the termination occurs because of any reason other than your total and permanent disability, full retirement or death.</w:t>
      </w:r>
    </w:p>
    <w:p>
      <w:pPr>
        <w:spacing w:after="0" w:line="36" w:lineRule="exact"/>
        <w:rPr>
          <w:sz w:val="20"/>
          <w:szCs w:val="20"/>
          <w:color w:val="auto"/>
        </w:rPr>
      </w:pPr>
    </w:p>
    <w:p>
      <w:pPr>
        <w:jc w:val="both"/>
        <w:ind w:left="2800" w:right="60"/>
        <w:spacing w:after="0" w:line="266" w:lineRule="auto"/>
        <w:rPr>
          <w:sz w:val="20"/>
          <w:szCs w:val="20"/>
          <w:color w:val="auto"/>
        </w:rPr>
      </w:pPr>
      <w:r>
        <w:rPr>
          <w:rFonts w:ascii="Times New Roman" w:cs="Times New Roman" w:eastAsia="Times New Roman" w:hAnsi="Times New Roman"/>
          <w:sz w:val="21"/>
          <w:szCs w:val="21"/>
          <w:color w:val="auto"/>
        </w:rPr>
        <w:t>“Total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188" w:lineRule="exact"/>
        <w:rPr>
          <w:sz w:val="20"/>
          <w:szCs w:val="20"/>
          <w:color w:val="auto"/>
        </w:rPr>
      </w:pPr>
    </w:p>
    <w:p>
      <w:pPr>
        <w:ind w:left="2800" w:right="60"/>
        <w:spacing w:after="0" w:line="285" w:lineRule="auto"/>
        <w:rPr>
          <w:sz w:val="20"/>
          <w:szCs w:val="20"/>
          <w:color w:val="auto"/>
        </w:rPr>
      </w:pPr>
      <w:r>
        <w:rPr>
          <w:rFonts w:ascii="Times New Roman" w:cs="Times New Roman" w:eastAsia="Times New Roman" w:hAnsi="Times New Roman"/>
          <w:sz w:val="21"/>
          <w:szCs w:val="21"/>
          <w:color w:val="auto"/>
        </w:rPr>
        <w:t>Incyte determines when your service terminates for any purpose under this option award and the Plan.</w:t>
      </w:r>
    </w:p>
    <w:p>
      <w:pPr>
        <w:spacing w:after="0" w:line="180" w:lineRule="exact"/>
        <w:rPr>
          <w:sz w:val="20"/>
          <w:szCs w:val="20"/>
          <w:color w:val="auto"/>
        </w:rPr>
      </w:pPr>
    </w:p>
    <w:p>
      <w:pPr>
        <w:jc w:val="both"/>
        <w:ind w:left="2800" w:right="60"/>
        <w:spacing w:after="0" w:line="262" w:lineRule="auto"/>
        <w:rPr>
          <w:sz w:val="20"/>
          <w:szCs w:val="20"/>
          <w:color w:val="auto"/>
        </w:rPr>
      </w:pPr>
      <w:r>
        <w:rPr>
          <w:rFonts w:ascii="Times New Roman" w:cs="Times New Roman" w:eastAsia="Times New Roman" w:hAnsi="Times New Roman"/>
          <w:sz w:val="21"/>
          <w:szCs w:val="21"/>
          <w:i w:val="1"/>
          <w:iCs w:val="1"/>
          <w:color w:val="auto"/>
        </w:rPr>
        <w:t xml:space="preserve">[For incentive stock options only] </w:t>
      </w:r>
      <w:r>
        <w:rPr>
          <w:rFonts w:ascii="Times New Roman" w:cs="Times New Roman" w:eastAsia="Times New Roman" w:hAnsi="Times New Roman"/>
          <w:sz w:val="21"/>
          <w:szCs w:val="21"/>
          <w:color w:val="auto"/>
        </w:rPr>
        <w:t>If you exercise your options more than 1 year after your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 terminates due to total and permanent disability or 90 days after your service terminates due to full retirement, you should consult a tax advisor before exercising these options as such options may no longer qualify as incentive stock options.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- 3 -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sectPr>
      </w:pPr>
    </w:p>
    <w:bookmarkStart w:id="90" w:name="page91"/>
    <w:bookmarkEnd w:id="90"/>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Death</w:t>
      </w:r>
    </w:p>
    <w:p>
      <w:pPr>
        <w:spacing w:after="0" w:line="20" w:lineRule="exact"/>
        <w:rPr>
          <w:sz w:val="20"/>
          <w:szCs w:val="20"/>
          <w:color w:val="auto"/>
        </w:rPr>
      </w:pPr>
      <w:r>
        <w:rPr>
          <w:sz w:val="20"/>
          <w:szCs w:val="20"/>
          <w:color w:val="auto"/>
        </w:rPr>
        <w:br w:type="column"/>
      </w: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If you die while serving as an executive officer or director of Incyte, then your option will expire at the close of business at Incyte headquarters on the date 24 months after the date of death. During that 24-month period, your estate or heirs may exercise the vested portion of your option.</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spacing w:after="0" w:line="14" w:lineRule="exact"/>
        <w:rPr>
          <w:sz w:val="20"/>
          <w:szCs w:val="20"/>
          <w:color w:val="auto"/>
        </w:rPr>
      </w:pPr>
    </w:p>
    <w:p>
      <w:pPr>
        <w:jc w:val="both"/>
        <w:ind w:left="2800" w:right="60"/>
        <w:spacing w:after="0" w:line="261" w:lineRule="auto"/>
        <w:rPr>
          <w:sz w:val="20"/>
          <w:szCs w:val="20"/>
          <w:color w:val="auto"/>
        </w:rPr>
      </w:pPr>
      <w:r>
        <w:rPr>
          <w:rFonts w:ascii="Times New Roman" w:cs="Times New Roman" w:eastAsia="Times New Roman" w:hAnsi="Times New Roman"/>
          <w:sz w:val="21"/>
          <w:szCs w:val="21"/>
          <w:color w:val="auto"/>
        </w:rPr>
        <w:t>If you die while serving as an employee (other than as an executive officer), consultant or advisor of Incyte (or any subsidiary), then your option will expire at the close of business at Incyte headquarters on the date 6 months after the date of death. During that 6-month period, your estate or heirs may exercise the vested portion of your option.</w:t>
      </w:r>
    </w:p>
    <w:p>
      <w:pPr>
        <w:sectPr>
          <w:pgSz w:w="11900" w:h="16838" w:orient="portrait"/>
          <w:cols w:equalWidth="0" w:num="1">
            <w:col w:w="11160"/>
          </w:cols>
          <w:pgMar w:left="400" w:top="144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21"/>
          <w:szCs w:val="21"/>
          <w:color w:val="auto"/>
        </w:rPr>
        <w:t xml:space="preserve">For purposes of this option,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in any event when the approved leave ends, unless you immediately return to active work.</w:t>
      </w:r>
    </w:p>
    <w:p>
      <w:pPr>
        <w:spacing w:after="0" w:line="166"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ind w:left="2800"/>
        <w:spacing w:after="0"/>
        <w:rPr>
          <w:sz w:val="20"/>
          <w:szCs w:val="20"/>
          <w:color w:val="auto"/>
        </w:rPr>
      </w:pPr>
      <w:r>
        <w:rPr>
          <w:rFonts w:ascii="Times New Roman" w:cs="Times New Roman" w:eastAsia="Times New Roman" w:hAnsi="Times New Roman"/>
          <w:sz w:val="21"/>
          <w:szCs w:val="21"/>
          <w:color w:val="auto"/>
        </w:rPr>
        <w:t>Incyte determines which leaves count for this purpose and the date the approved leave ends.</w:t>
      </w:r>
    </w:p>
    <w:p>
      <w:pPr>
        <w:sectPr>
          <w:pgSz w:w="11900" w:h="16838" w:orient="portrait"/>
          <w:cols w:equalWidth="0" w:num="1">
            <w:col w:w="11160"/>
          </w:cols>
          <w:pgMar w:left="400" w:top="1440"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Incyte will not permit you to exercise this option if the committee designated by the Board of Directors to administer the Plan (the “Committee”) determines, in its sole and absolute discretion, that the issuance of shares at that time could violate any law or regulation.</w:t>
      </w:r>
    </w:p>
    <w:p>
      <w:pPr>
        <w:spacing w:after="0" w:line="12" w:lineRule="exact"/>
        <w:rPr>
          <w:sz w:val="20"/>
          <w:szCs w:val="20"/>
          <w:color w:val="auto"/>
        </w:rPr>
      </w:pPr>
    </w:p>
    <w:p>
      <w:pPr>
        <w:sectPr>
          <w:pgSz w:w="11900" w:h="16838" w:orient="portrait"/>
          <w:cols w:equalWidth="0" w:num="2">
            <w:col w:w="2160" w:space="64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Notice of Exercise</w:t>
      </w:r>
    </w:p>
    <w:p>
      <w:pPr>
        <w:spacing w:after="0" w:line="20" w:lineRule="exact"/>
        <w:rPr>
          <w:sz w:val="20"/>
          <w:szCs w:val="20"/>
          <w:color w:val="auto"/>
        </w:rPr>
      </w:pPr>
      <w:r>
        <w:rPr>
          <w:sz w:val="20"/>
          <w:szCs w:val="20"/>
          <w:color w:val="auto"/>
        </w:rPr>
        <w:br w:type="column"/>
      </w:r>
    </w:p>
    <w:p>
      <w:pPr>
        <w:jc w:val="both"/>
        <w:ind w:right="60"/>
        <w:spacing w:after="0" w:line="257" w:lineRule="auto"/>
        <w:rPr>
          <w:sz w:val="20"/>
          <w:szCs w:val="20"/>
          <w:color w:val="auto"/>
        </w:rPr>
      </w:pPr>
      <w:r>
        <w:rPr>
          <w:rFonts w:ascii="Times New Roman" w:cs="Times New Roman" w:eastAsia="Times New Roman" w:hAnsi="Times New Roman"/>
          <w:sz w:val="21"/>
          <w:szCs w:val="21"/>
          <w:color w:val="auto"/>
        </w:rPr>
        <w:t>When you wish to exercise this option, you must notify Incyte by filing the proper “Notice of Exercise” form at the address given on the form or according to such other exercise procedures established by Incyte at the time of exercise (which may be electronic and may be on the platform of a third-party under contract with Incyte). Your notice must specify how many shares you wish to purchase. Your notice must also specify how your shares should be registered (in your name only or in your and your spouse’s names as community property or as joint tenants with right of survivorship, in jurisdictions where such registrations may be lawful). Incyte will determine whether your proposed registration is valid. If your proposed registration is valid, the notice will be effective when it is received by Incyte.</w:t>
      </w:r>
    </w:p>
    <w:p>
      <w:pPr>
        <w:spacing w:after="0" w:line="177"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ind w:left="2800" w:right="80"/>
        <w:spacing w:after="0" w:line="285" w:lineRule="auto"/>
        <w:rPr>
          <w:sz w:val="20"/>
          <w:szCs w:val="20"/>
          <w:color w:val="auto"/>
        </w:rPr>
      </w:pPr>
      <w:r>
        <w:rPr>
          <w:rFonts w:ascii="Times New Roman" w:cs="Times New Roman" w:eastAsia="Times New Roman" w:hAnsi="Times New Roman"/>
          <w:sz w:val="21"/>
          <w:szCs w:val="21"/>
          <w:color w:val="auto"/>
        </w:rPr>
        <w:t>If someone else wants to exercise this option after your death, that person must prove to Incyte’s satisfaction that he or she is entitled to do so.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- 4 -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type w:val="continuous"/>
        </w:sectPr>
      </w:pPr>
    </w:p>
    <w:bookmarkStart w:id="91" w:name="page92"/>
    <w:bookmarkEnd w:id="91"/>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Payment</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When you submit your notice of exercise, you must include payment of the option price, as shown in the grant notice, for the shares you are purchasing. Payment may be made in one (or a combination of two or more) of the following forms:</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Your personal check, a cashier’s check or a money order.</w:t>
      </w:r>
    </w:p>
    <w:p>
      <w:pPr>
        <w:spacing w:after="0" w:line="249" w:lineRule="exact"/>
        <w:rPr>
          <w:sz w:val="20"/>
          <w:szCs w:val="20"/>
          <w:color w:val="auto"/>
        </w:rPr>
      </w:pPr>
    </w:p>
    <w:p>
      <w:pPr>
        <w:jc w:val="both"/>
        <w:ind w:left="3180" w:right="60" w:hanging="133"/>
        <w:spacing w:after="0" w:line="259" w:lineRule="auto"/>
        <w:rPr>
          <w:sz w:val="20"/>
          <w:szCs w:val="20"/>
          <w:color w:val="auto"/>
        </w:rPr>
      </w:pPr>
      <w:r>
        <w:rPr>
          <w:rFonts w:ascii="Times New Roman" w:cs="Times New Roman" w:eastAsia="Times New Roman" w:hAnsi="Times New Roman"/>
          <w:sz w:val="21"/>
          <w:szCs w:val="21"/>
          <w:color w:val="auto"/>
        </w:rPr>
        <w:t>Irrevocable directions to a securities broker approved by Incyte to sell your option shares and to deliver all or a portion of the sale proceeds to Incyte in payment of the option price and any Tax-Related Items (as defined below). The balance of the sale proceeds, if any, will be delivered to you. The directions must be given by signing a special “Notice of Exercise” form provided by Incyte (or by following such other procedures established by Incyte at the time of exercise).</w:t>
      </w:r>
    </w:p>
    <w:p>
      <w:pPr>
        <w:spacing w:after="0" w:line="199" w:lineRule="exact"/>
        <w:rPr>
          <w:sz w:val="20"/>
          <w:szCs w:val="20"/>
          <w:color w:val="auto"/>
        </w:rPr>
      </w:pPr>
    </w:p>
    <w:p>
      <w:pPr>
        <w:jc w:val="both"/>
        <w:ind w:left="3180" w:right="60" w:hanging="129"/>
        <w:spacing w:after="0" w:line="267" w:lineRule="auto"/>
        <w:rPr>
          <w:sz w:val="20"/>
          <w:szCs w:val="20"/>
          <w:color w:val="auto"/>
        </w:rPr>
      </w:pPr>
      <w:r>
        <w:rPr>
          <w:rFonts w:ascii="Times New Roman" w:cs="Times New Roman" w:eastAsia="Times New Roman" w:hAnsi="Times New Roman"/>
          <w:sz w:val="21"/>
          <w:szCs w:val="21"/>
          <w:color w:val="auto"/>
        </w:rPr>
        <w:t>Certificates for Incyte stock that you have owned for at least 6 months, along with any forms needed to effect a transfer of the shares to Incyte. The value of the shares, determined as of the effective date of the option exercise, will be applied to the option price.</w:t>
      </w:r>
    </w:p>
    <w:p>
      <w:pPr>
        <w:spacing w:after="0" w:line="188" w:lineRule="exact"/>
        <w:rPr>
          <w:sz w:val="20"/>
          <w:szCs w:val="20"/>
          <w:color w:val="auto"/>
        </w:rPr>
      </w:pPr>
    </w:p>
    <w:p>
      <w:pPr>
        <w:ind w:left="2800" w:right="60"/>
        <w:spacing w:after="0" w:line="298" w:lineRule="auto"/>
        <w:rPr>
          <w:sz w:val="20"/>
          <w:szCs w:val="20"/>
          <w:color w:val="auto"/>
        </w:rPr>
      </w:pPr>
      <w:r>
        <w:rPr>
          <w:rFonts w:ascii="Times New Roman" w:cs="Times New Roman" w:eastAsia="Times New Roman" w:hAnsi="Times New Roman"/>
          <w:sz w:val="21"/>
          <w:szCs w:val="21"/>
          <w:color w:val="auto"/>
        </w:rPr>
        <w:t>A form of payment will not be available if the Committee determines, in its sole and absolute discretion, that such form of payment could violate any law or regulation.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- 5 -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type w:val="continuous"/>
        </w:sectPr>
      </w:pPr>
    </w:p>
    <w:bookmarkStart w:id="92" w:name="page93"/>
    <w:bookmarkEnd w:id="92"/>
    <w:p>
      <w:pPr>
        <w:spacing w:after="0" w:line="7" w:lineRule="exact"/>
        <w:rPr>
          <w:sz w:val="20"/>
          <w:szCs w:val="20"/>
          <w:color w:val="auto"/>
        </w:rPr>
      </w:pPr>
    </w:p>
    <w:p>
      <w:pPr>
        <w:ind w:left="2800" w:right="200" w:hanging="2808"/>
        <w:spacing w:after="0" w:line="259" w:lineRule="auto"/>
        <w:tabs>
          <w:tab w:leader="none" w:pos="2780" w:val="left"/>
        </w:tabs>
        <w:rPr>
          <w:sz w:val="20"/>
          <w:szCs w:val="20"/>
          <w:color w:val="auto"/>
        </w:rPr>
      </w:pPr>
      <w:r>
        <w:rPr>
          <w:rFonts w:ascii="Times New Roman" w:cs="Times New Roman" w:eastAsia="Times New Roman" w:hAnsi="Times New Roman"/>
          <w:sz w:val="21"/>
          <w:szCs w:val="21"/>
          <w:b w:val="1"/>
          <w:bCs w:val="1"/>
          <w:color w:val="auto"/>
        </w:rPr>
        <w:t>Responsibilities for Taxes</w:t>
      </w:r>
      <w:r>
        <w:rPr>
          <w:sz w:val="20"/>
          <w:szCs w:val="20"/>
          <w:color w:val="auto"/>
        </w:rPr>
        <w:tab/>
      </w:r>
      <w:r>
        <w:rPr>
          <w:rFonts w:ascii="Times New Roman" w:cs="Times New Roman" w:eastAsia="Times New Roman" w:hAnsi="Times New Roman"/>
          <w:sz w:val="21"/>
          <w:szCs w:val="21"/>
          <w:color w:val="auto"/>
        </w:rPr>
        <w:t>Regardless of any action taken by Incyte or, if different, your employer, the ultimate liability for all income tax (including U.S. federal, state, and local taxes and/or non-U.S. taxes), social insurance, payroll tax, fringe benefits tax, payment on account or other tax-related items related to your participation in the Plan and legally applicable to you (the “Tax-Related Items”) is and remains your responsibility and may exceed the amount, if any, withheld by Incyte or your employer.</w:t>
      </w:r>
    </w:p>
    <w:p>
      <w:pPr>
        <w:spacing w:after="0" w:line="150" w:lineRule="exact"/>
        <w:rPr>
          <w:sz w:val="20"/>
          <w:szCs w:val="20"/>
          <w:color w:val="auto"/>
        </w:rPr>
      </w:pPr>
    </w:p>
    <w:p>
      <w:pPr>
        <w:ind w:left="2800" w:right="160"/>
        <w:spacing w:after="0" w:line="226" w:lineRule="auto"/>
        <w:rPr>
          <w:sz w:val="20"/>
          <w:szCs w:val="20"/>
          <w:color w:val="auto"/>
        </w:rPr>
      </w:pPr>
      <w:r>
        <w:rPr>
          <w:rFonts w:ascii="Times New Roman" w:cs="Times New Roman" w:eastAsia="Times New Roman" w:hAnsi="Times New Roman"/>
          <w:sz w:val="21"/>
          <w:szCs w:val="21"/>
          <w:color w:val="auto"/>
        </w:rPr>
        <w:t>Incyte and your employer (i) make no representations or undertakings regarding the treatment of any Tax-Related Items, and (ii) do not commit to and are under no obligation to reduce or eliminate your liability for Tax-Related Items or to structure the terms of this option to achieve any particular tax result.</w:t>
      </w:r>
    </w:p>
    <w:p>
      <w:pPr>
        <w:spacing w:after="0" w:line="177" w:lineRule="exact"/>
        <w:rPr>
          <w:sz w:val="20"/>
          <w:szCs w:val="20"/>
          <w:color w:val="auto"/>
        </w:rPr>
      </w:pPr>
    </w:p>
    <w:p>
      <w:pPr>
        <w:jc w:val="both"/>
        <w:ind w:left="2800" w:right="140"/>
        <w:spacing w:after="0" w:line="232" w:lineRule="auto"/>
        <w:rPr>
          <w:sz w:val="20"/>
          <w:szCs w:val="20"/>
          <w:color w:val="auto"/>
        </w:rPr>
      </w:pPr>
      <w:r>
        <w:rPr>
          <w:rFonts w:ascii="Times New Roman" w:cs="Times New Roman" w:eastAsia="Times New Roman" w:hAnsi="Times New Roman"/>
          <w:sz w:val="21"/>
          <w:szCs w:val="21"/>
          <w:color w:val="auto"/>
        </w:rPr>
        <w:t>If you become subject to taxation in more than one jurisdiction, Incyte and/or your employer (or former employer, as applicable) may be required to withhold or account for Tax-Related Items in more than one jurisdiction.</w:t>
      </w:r>
    </w:p>
    <w:p>
      <w:pPr>
        <w:spacing w:after="0" w:line="174" w:lineRule="exact"/>
        <w:rPr>
          <w:sz w:val="20"/>
          <w:szCs w:val="20"/>
          <w:color w:val="auto"/>
        </w:rPr>
      </w:pPr>
    </w:p>
    <w:p>
      <w:pPr>
        <w:jc w:val="both"/>
        <w:ind w:left="2800" w:right="200"/>
        <w:spacing w:after="0" w:line="226" w:lineRule="auto"/>
        <w:rPr>
          <w:sz w:val="20"/>
          <w:szCs w:val="20"/>
          <w:color w:val="auto"/>
        </w:rPr>
      </w:pPr>
      <w:r>
        <w:rPr>
          <w:rFonts w:ascii="Times New Roman" w:cs="Times New Roman" w:eastAsia="Times New Roman" w:hAnsi="Times New Roman"/>
          <w:sz w:val="21"/>
          <w:szCs w:val="21"/>
          <w:color w:val="auto"/>
        </w:rPr>
        <w:t>Prior to any taxable or tax withholding event, you will make arrangements satisfactory to Incyte and your employer so that Incyte and your employer can fulfill any withholding obligations for Tax-Related Items. Incyte shall not be required to issue any shares or deliver the proceeds of the sale of any shares until such obligations are satisfied.</w:t>
      </w:r>
    </w:p>
    <w:p>
      <w:pPr>
        <w:spacing w:after="0" w:line="177" w:lineRule="exact"/>
        <w:rPr>
          <w:sz w:val="20"/>
          <w:szCs w:val="20"/>
          <w:color w:val="auto"/>
        </w:rPr>
      </w:pPr>
    </w:p>
    <w:p>
      <w:pPr>
        <w:ind w:left="2800" w:right="260"/>
        <w:spacing w:after="0" w:line="232" w:lineRule="auto"/>
        <w:rPr>
          <w:sz w:val="20"/>
          <w:szCs w:val="20"/>
          <w:color w:val="auto"/>
        </w:rPr>
      </w:pPr>
      <w:r>
        <w:rPr>
          <w:rFonts w:ascii="Times New Roman" w:cs="Times New Roman" w:eastAsia="Times New Roman" w:hAnsi="Times New Roman"/>
          <w:sz w:val="21"/>
          <w:szCs w:val="21"/>
          <w:color w:val="auto"/>
        </w:rPr>
        <w:t>In this regard, Incyte and/or your employer, or their respective agents, at their discretion, may fulfill any applicable withholding obligations for Tax-Related Items by one or a combination of the following:</w:t>
      </w:r>
    </w:p>
    <w:p>
      <w:pPr>
        <w:spacing w:after="0" w:line="174" w:lineRule="exact"/>
        <w:rPr>
          <w:sz w:val="20"/>
          <w:szCs w:val="20"/>
          <w:color w:val="auto"/>
        </w:rPr>
      </w:pPr>
    </w:p>
    <w:p>
      <w:pPr>
        <w:ind w:left="2800" w:right="540" w:firstLine="1"/>
        <w:spacing w:after="0" w:line="245" w:lineRule="auto"/>
        <w:tabs>
          <w:tab w:leader="none" w:pos="307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amount payable to you by Incyte and/or your employer;</w:t>
      </w:r>
    </w:p>
    <w:p>
      <w:pPr>
        <w:spacing w:after="0" w:line="169" w:lineRule="exact"/>
        <w:rPr>
          <w:rFonts w:ascii="Times New Roman" w:cs="Times New Roman" w:eastAsia="Times New Roman" w:hAnsi="Times New Roman"/>
          <w:sz w:val="21"/>
          <w:szCs w:val="21"/>
          <w:color w:val="auto"/>
        </w:rPr>
      </w:pPr>
    </w:p>
    <w:p>
      <w:pPr>
        <w:ind w:left="2800" w:right="80" w:firstLine="1"/>
        <w:spacing w:after="0" w:line="232" w:lineRule="auto"/>
        <w:tabs>
          <w:tab w:leader="none" w:pos="306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acquired upon exercise of this option either through a voluntary sale or through a mandatory sale arranged by Incyte (on your behalf pursuant to this authorization without further consent);</w:t>
      </w:r>
    </w:p>
    <w:p>
      <w:pPr>
        <w:spacing w:after="0" w:line="174" w:lineRule="exact"/>
        <w:rPr>
          <w:rFonts w:ascii="Times New Roman" w:cs="Times New Roman" w:eastAsia="Times New Roman" w:hAnsi="Times New Roman"/>
          <w:sz w:val="21"/>
          <w:szCs w:val="21"/>
          <w:color w:val="auto"/>
        </w:rPr>
      </w:pPr>
    </w:p>
    <w:p>
      <w:pPr>
        <w:ind w:left="3060" w:hanging="259"/>
        <w:spacing w:after="0"/>
        <w:tabs>
          <w:tab w:leader="none" w:pos="30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make a cash payment to Incyte or your employer;</w:t>
      </w:r>
    </w:p>
    <w:p>
      <w:pPr>
        <w:spacing w:after="0" w:line="209" w:lineRule="exact"/>
        <w:rPr>
          <w:rFonts w:ascii="Times New Roman" w:cs="Times New Roman" w:eastAsia="Times New Roman" w:hAnsi="Times New Roman"/>
          <w:sz w:val="21"/>
          <w:szCs w:val="21"/>
          <w:color w:val="auto"/>
        </w:rPr>
      </w:pPr>
    </w:p>
    <w:p>
      <w:pPr>
        <w:ind w:left="3080" w:hanging="279"/>
        <w:spacing w:after="0"/>
        <w:tabs>
          <w:tab w:leader="none" w:pos="30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shares of Incyte stock otherwise issuance upon exercise of this option; and/or</w:t>
      </w:r>
    </w:p>
    <w:p>
      <w:pPr>
        <w:spacing w:after="0" w:line="209" w:lineRule="exact"/>
        <w:rPr>
          <w:rFonts w:ascii="Times New Roman" w:cs="Times New Roman" w:eastAsia="Times New Roman" w:hAnsi="Times New Roman"/>
          <w:sz w:val="21"/>
          <w:szCs w:val="21"/>
          <w:color w:val="auto"/>
        </w:rPr>
      </w:pPr>
    </w:p>
    <w:p>
      <w:pPr>
        <w:ind w:left="3060" w:hanging="259"/>
        <w:spacing w:after="0"/>
        <w:tabs>
          <w:tab w:leader="none" w:pos="30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of withholding determined by Incyte and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- 6 -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sectPr>
      </w:pPr>
    </w:p>
    <w:bookmarkStart w:id="93" w:name="page94"/>
    <w:bookmarkEnd w:id="93"/>
    <w:p>
      <w:pPr>
        <w:jc w:val="both"/>
        <w:ind w:left="2760" w:right="20"/>
        <w:spacing w:after="0" w:line="232" w:lineRule="auto"/>
        <w:rPr>
          <w:sz w:val="20"/>
          <w:szCs w:val="20"/>
          <w:color w:val="auto"/>
        </w:rPr>
      </w:pPr>
      <w:r>
        <w:rPr>
          <w:rFonts w:ascii="Times New Roman" w:cs="Times New Roman" w:eastAsia="Times New Roman" w:hAnsi="Times New Roman"/>
          <w:sz w:val="21"/>
          <w:szCs w:val="21"/>
          <w:color w:val="auto"/>
        </w:rPr>
        <w:t>If the obligation for Tax-Related Items is satisfied by withholding shares, for tax purposes, you will be deemed to have been issued the full number of shares subject to the exercised option, notwithstanding that a number of shares are withheld to pay the Tax-Related Items.</w:t>
      </w:r>
    </w:p>
    <w:p>
      <w:pPr>
        <w:spacing w:after="0" w:line="174" w:lineRule="exact"/>
        <w:rPr>
          <w:sz w:val="20"/>
          <w:szCs w:val="20"/>
          <w:color w:val="auto"/>
        </w:rPr>
      </w:pPr>
    </w:p>
    <w:p>
      <w:pPr>
        <w:jc w:val="both"/>
        <w:ind w:left="2760" w:right="20"/>
        <w:spacing w:after="0" w:line="218" w:lineRule="auto"/>
        <w:rPr>
          <w:sz w:val="20"/>
          <w:szCs w:val="20"/>
          <w:color w:val="auto"/>
        </w:rPr>
      </w:pPr>
      <w:r>
        <w:rPr>
          <w:rFonts w:ascii="Times New Roman" w:cs="Times New Roman" w:eastAsia="Times New Roman" w:hAnsi="Times New Roman"/>
          <w:sz w:val="21"/>
          <w:szCs w:val="21"/>
          <w:color w:val="auto"/>
        </w:rPr>
        <w:t>Incyte may withhold or account for Tax-Related Items by considering statutory withholding rates or other applicable withholding rates, including up to the maximum applicable rate in your jurisdiction to the extent permitted under the Plan. In the event any over-withholding results from the application of statutory or other withholding rates, you may receive a refund from your employer or you may be required to request a refund from the tax authorities in your country, but you will not be entitled to any interest or to the equivalent amount in shares. In the event any under-withholding results from the application or statutory or other withholding rates, you may be required to pay additional amounts to the tax authorities in your country</w:t>
      </w:r>
      <w:r>
        <w:rPr>
          <w:rFonts w:ascii="Arial" w:cs="Arial" w:eastAsia="Arial" w:hAnsi="Arial"/>
          <w:sz w:val="17"/>
          <w:szCs w:val="17"/>
          <w:color w:val="auto"/>
        </w:rPr>
        <w:t>.</w:t>
      </w:r>
    </w:p>
    <w:p>
      <w:pPr>
        <w:spacing w:after="0" w:line="255" w:lineRule="exact"/>
        <w:rPr>
          <w:sz w:val="20"/>
          <w:szCs w:val="20"/>
          <w:color w:val="auto"/>
        </w:rPr>
      </w:pPr>
    </w:p>
    <w:p>
      <w:pPr>
        <w:jc w:val="both"/>
        <w:ind w:left="2800" w:right="80" w:hanging="2808"/>
        <w:spacing w:after="0" w:line="268" w:lineRule="auto"/>
        <w:tabs>
          <w:tab w:leader="none" w:pos="2780" w:val="left"/>
        </w:tabs>
        <w:rPr>
          <w:sz w:val="20"/>
          <w:szCs w:val="20"/>
          <w:color w:val="auto"/>
        </w:rPr>
      </w:pPr>
      <w:r>
        <w:rPr>
          <w:rFonts w:ascii="Times New Roman" w:cs="Times New Roman" w:eastAsia="Times New Roman" w:hAnsi="Times New Roman"/>
          <w:sz w:val="21"/>
          <w:szCs w:val="21"/>
          <w:b w:val="1"/>
          <w:bCs w:val="1"/>
          <w:color w:val="auto"/>
        </w:rPr>
        <w:t>[Notice of Share Disposition]</w:t>
      </w:r>
      <w:r>
        <w:rPr>
          <w:sz w:val="20"/>
          <w:szCs w:val="20"/>
          <w:color w:val="auto"/>
        </w:rPr>
        <w:tab/>
      </w:r>
      <w:r>
        <w:rPr>
          <w:rFonts w:ascii="Times New Roman" w:cs="Times New Roman" w:eastAsia="Times New Roman" w:hAnsi="Times New Roman"/>
          <w:sz w:val="21"/>
          <w:szCs w:val="21"/>
          <w:i w:val="1"/>
          <w:iCs w:val="1"/>
          <w:color w:val="auto"/>
        </w:rPr>
        <w:t xml:space="preserve">[For incentive stock options only] </w:t>
      </w:r>
      <w:r>
        <w:rPr>
          <w:rFonts w:ascii="Times New Roman" w:cs="Times New Roman" w:eastAsia="Times New Roman" w:hAnsi="Times New Roman"/>
          <w:sz w:val="21"/>
          <w:szCs w:val="21"/>
          <w:color w:val="auto"/>
        </w:rPr>
        <w:t>If you sell or dispose of any shares acquired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on or before the later of (i) 2 years after the Date of Grant, or (ii) 1 year after the exercise date, you shall immediately notify Incyte in writing of such disposition.</w:t>
      </w:r>
    </w:p>
    <w:p>
      <w:pPr>
        <w:spacing w:after="0" w:line="13" w:lineRule="exact"/>
        <w:rPr>
          <w:sz w:val="20"/>
          <w:szCs w:val="20"/>
          <w:color w:val="auto"/>
        </w:rPr>
      </w:pPr>
    </w:p>
    <w:p>
      <w:pPr>
        <w:jc w:val="both"/>
        <w:ind w:left="2800" w:right="60" w:hanging="2808"/>
        <w:spacing w:after="0" w:line="267" w:lineRule="auto"/>
        <w:tabs>
          <w:tab w:leader="none" w:pos="2780" w:val="left"/>
        </w:tabs>
        <w:rPr>
          <w:sz w:val="20"/>
          <w:szCs w:val="20"/>
          <w:color w:val="auto"/>
        </w:rPr>
      </w:pPr>
      <w:r>
        <w:rPr>
          <w:rFonts w:ascii="Times New Roman" w:cs="Times New Roman" w:eastAsia="Times New Roman" w:hAnsi="Times New Roman"/>
          <w:sz w:val="21"/>
          <w:szCs w:val="21"/>
          <w:b w:val="1"/>
          <w:bCs w:val="1"/>
          <w:color w:val="auto"/>
        </w:rPr>
        <w:t>Restrictions on Resale</w:t>
      </w:r>
      <w:r>
        <w:rPr>
          <w:sz w:val="20"/>
          <w:szCs w:val="20"/>
          <w:color w:val="auto"/>
        </w:rPr>
        <w:tab/>
      </w:r>
      <w:r>
        <w:rPr>
          <w:rFonts w:ascii="Times New Roman" w:cs="Times New Roman" w:eastAsia="Times New Roman" w:hAnsi="Times New Roman"/>
          <w:sz w:val="21"/>
          <w:szCs w:val="21"/>
          <w:color w:val="auto"/>
        </w:rPr>
        <w:t>By accepting the grant notice, you agree not to sell any option shares at a time when applicable laws or Incyte policies prohibit a sale. This restriction will apply as long as you are an employee, director, consultant or advisor of Incyte (or any subsidiary).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- 7 -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24" w:right="339" w:bottom="1440" w:gutter="0" w:footer="0" w:header="0"/>
        </w:sectPr>
      </w:pPr>
    </w:p>
    <w:bookmarkStart w:id="94" w:name="page95"/>
    <w:bookmarkEnd w:id="94"/>
    <w:p>
      <w:pPr>
        <w:spacing w:after="0" w:line="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1"/>
          <w:szCs w:val="21"/>
          <w:b w:val="1"/>
          <w:bCs w:val="1"/>
          <w:color w:val="auto"/>
        </w:rPr>
        <w:t>Change in Control</w:t>
      </w:r>
      <w:r>
        <w:rPr>
          <w:sz w:val="20"/>
          <w:szCs w:val="20"/>
          <w:color w:val="auto"/>
        </w:rPr>
        <w:tab/>
      </w:r>
      <w:r>
        <w:rPr>
          <w:rFonts w:ascii="Times New Roman" w:cs="Times New Roman" w:eastAsia="Times New Roman" w:hAnsi="Times New Roman"/>
          <w:sz w:val="21"/>
          <w:szCs w:val="21"/>
          <w:color w:val="auto"/>
        </w:rPr>
        <w:t>The following provisions will apply in the event a Change in Control (as defined in the Plan)</w:t>
      </w:r>
    </w:p>
    <w:p>
      <w:pPr>
        <w:spacing w:after="0" w:line="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occurs while this option is outstanding and you are still performing service as an employee,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director, consultant or advisor of Incyte (or any parent or subsidiary). For purposes of these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provisions, Incyte or any parent or subsidiary for which you are performing services is referred to</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as the “Employer.”</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If this Agreement is not assumed or replaced with a new comparable award (with the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determination of comparability to be made by the Committee), then there would be full</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accelerated vesting of this option upon the Change in Control.</w:t>
      </w:r>
    </w:p>
    <w:p>
      <w:pPr>
        <w:spacing w:after="0" w:line="2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If this Agreement is assumed or replaced with a new comparable award, then this option (or such</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comparable award) would vest in full if within one year following the Change in Control your</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service for the Employer is terminated without Cause or is Constructively Terminated.</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in control agreement or similar agreement or plan in effect between Incyte and you on the date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specified in the grant notice (or where there is such an agreement or plan but it does not define</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“cause” (or words of like import)): (A) your continued failure to perform your duties with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(other than any such failure resulting from incapacity due to physical or mental illness</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or total and permanent disability, which incapacity has been recognized as such by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Committee or its designee); (B) engagement in illegal conduct, gross misconduct or dishonesty</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that is injurious to the Employer or its affiliates; (C) unauthorized disclosure or misuse of any of</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the Employer’s secret, confidential or proprietary information, knowledge or data relating to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or its affiliates; or (D) violation of any of the employee policies or procedures of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or</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(ii) in the case where there is an employment agreement, consulting agreement,</w:t>
      </w:r>
    </w:p>
    <w:p>
      <w:pPr>
        <w:spacing w:after="0" w:line="35" w:lineRule="exact"/>
        <w:rPr>
          <w:sz w:val="20"/>
          <w:szCs w:val="20"/>
          <w:color w:val="auto"/>
        </w:rPr>
      </w:pPr>
    </w:p>
    <w:p>
      <w:pPr>
        <w:jc w:val="both"/>
        <w:ind w:left="2800" w:right="80"/>
        <w:spacing w:after="0" w:line="261" w:lineRule="auto"/>
        <w:rPr>
          <w:sz w:val="20"/>
          <w:szCs w:val="20"/>
          <w:color w:val="auto"/>
        </w:rPr>
      </w:pPr>
      <w:r>
        <w:rPr>
          <w:rFonts w:ascii="Times New Roman" w:cs="Times New Roman" w:eastAsia="Times New Roman" w:hAnsi="Times New Roman"/>
          <w:sz w:val="21"/>
          <w:szCs w:val="21"/>
          <w:color w:val="auto"/>
        </w:rPr>
        <w:t>change in control agreement or similar agreement or plan in effect between Incyte and you on the date specified in the grant notice that defines “cause” (or words of like import), as defined under such agreement or plan.</w:t>
      </w:r>
    </w:p>
    <w:p>
      <w:pPr>
        <w:spacing w:after="0" w:line="19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For purposes of this Agreement, “Constructive Termination” shall mean</w:t>
      </w: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in control agreement or similar agreement or plan in effect between Incyte and you on the date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specified in the grant notice (or where there is such an agreement or plan but it does not define</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“constructive termination” (or words of like import)): (A) the assignment to you of any duties</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fundamentally inconsistent with your position, authority, duties or responsibilities as in effect</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a Change in Control (or any other action by the Employer that results in a</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fundamental diminishment in such position, authority, duties or responsibilities as in effect</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a Change in Control), provided that neither a mere change in title alone nor</w:t>
      </w:r>
    </w:p>
    <w:p>
      <w:pPr>
        <w:spacing w:after="0" w:line="2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1"/>
          <w:szCs w:val="21"/>
          <w:color w:val="auto"/>
        </w:rPr>
        <w:t>reassignment to a position that is substantially similar to the position held prior to the Change in</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Control shall constitute fundamental diminishment; (B) the Employer requiring you to be based</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at any office or location more than 50 miles from the office or location where you are based</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the Change in Control; or (C) any reduction in your annual base salary or</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target bonus opportunity (if any) from that which exists immediately prior to a Change in</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Control; or</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(ii) in the case where there is an employment agreement, consulting agreement,</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change in control agreement or similar agreement or plan in effect between Incyte and you on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date specified in the grant notice that defines “constructive termination” (or words of like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import), as defined under such agreement or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- 8 -</w:t>
      </w:r>
    </w:p>
    <w:p>
      <w:pPr>
        <w:sectPr>
          <w:pgSz w:w="11900" w:h="16838" w:orient="portrait"/>
          <w:cols w:equalWidth="0" w:num="1">
            <w:col w:w="11160"/>
          </w:cols>
          <w:pgMar w:left="400" w:top="1440" w:right="339" w:bottom="0" w:gutter="0" w:footer="0" w:header="0"/>
        </w:sectPr>
      </w:pP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0" w:gutter="0" w:footer="0" w:header="0"/>
          <w:type w:val="continuous"/>
        </w:sectPr>
      </w:pPr>
    </w:p>
    <w:bookmarkStart w:id="95" w:name="page96"/>
    <w:bookmarkEnd w:id="95"/>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of Option</w:t>
      </w:r>
    </w:p>
    <w:p>
      <w:pPr>
        <w:spacing w:after="0" w:line="20" w:lineRule="exact"/>
        <w:rPr>
          <w:sz w:val="20"/>
          <w:szCs w:val="20"/>
          <w:color w:val="auto"/>
        </w:rPr>
      </w:pPr>
      <w:r>
        <w:rPr>
          <w:sz w:val="20"/>
          <w:szCs w:val="20"/>
          <w:color w:val="auto"/>
        </w:rPr>
        <w:br w:type="column"/>
      </w:r>
    </w:p>
    <w:p>
      <w:pPr>
        <w:jc w:val="both"/>
        <w:ind w:right="60"/>
        <w:spacing w:after="0" w:line="258" w:lineRule="auto"/>
        <w:rPr>
          <w:sz w:val="20"/>
          <w:szCs w:val="20"/>
          <w:color w:val="auto"/>
        </w:rPr>
      </w:pPr>
      <w:r>
        <w:rPr>
          <w:rFonts w:ascii="Times New Roman" w:cs="Times New Roman" w:eastAsia="Times New Roman" w:hAnsi="Times New Roman"/>
          <w:sz w:val="21"/>
          <w:szCs w:val="21"/>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designate a family member or family trust as your beneficiary to exercise this option after your death (your designation must be in writing and delivered to Incyte), or you may dispose of this option in your will. Incyte has the sole and absolute discretion to determine whether any beneficiary designation or will is valid for purposes of the transfer of this option following your death.</w:t>
      </w:r>
    </w:p>
    <w:p>
      <w:pPr>
        <w:spacing w:after="0" w:line="197"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jc w:val="both"/>
        <w:ind w:left="2800" w:right="80"/>
        <w:spacing w:after="0" w:line="270" w:lineRule="auto"/>
        <w:rPr>
          <w:sz w:val="20"/>
          <w:szCs w:val="20"/>
          <w:color w:val="auto"/>
        </w:rPr>
      </w:pPr>
      <w:r>
        <w:rPr>
          <w:rFonts w:ascii="Times New Roman" w:cs="Times New Roman" w:eastAsia="Times New Roman" w:hAnsi="Times New Roman"/>
          <w:sz w:val="21"/>
          <w:szCs w:val="21"/>
          <w:color w:val="auto"/>
        </w:rPr>
        <w:t>Regardless of any marital property settlement agreement, Incyte is not obligated to honor a notice of exercise from your former spouse, nor is Incyte obligated to recognize your former spouse’s interest in your option in any way.</w:t>
      </w:r>
    </w:p>
    <w:p>
      <w:pPr>
        <w:sectPr>
          <w:pgSz w:w="11900" w:h="16838" w:orient="portrait"/>
          <w:cols w:equalWidth="0" w:num="1">
            <w:col w:w="11160"/>
          </w:cols>
          <w:pgMar w:left="400" w:top="1440"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Neither your option nor this Agreement gives you the right to be retained by Incyte (or any subsidiaries) in any capacity. Incyte (and any subsidiaries) reserve the right to terminate your service at any time, with or without cause.</w:t>
      </w:r>
    </w:p>
    <w:p>
      <w:pPr>
        <w:spacing w:after="0" w:line="12"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Stockholder Rights</w:t>
      </w:r>
    </w:p>
    <w:p>
      <w:pPr>
        <w:spacing w:after="0" w:line="20" w:lineRule="exact"/>
        <w:rPr>
          <w:sz w:val="20"/>
          <w:szCs w:val="20"/>
          <w:color w:val="auto"/>
        </w:rPr>
      </w:pPr>
      <w:r>
        <w:rPr>
          <w:sz w:val="20"/>
          <w:szCs w:val="20"/>
          <w:color w:val="auto"/>
        </w:rPr>
        <w:br w:type="column"/>
      </w:r>
    </w:p>
    <w:p>
      <w:pPr>
        <w:jc w:val="both"/>
        <w:ind w:right="60"/>
        <w:spacing w:after="0" w:line="265" w:lineRule="auto"/>
        <w:rPr>
          <w:sz w:val="20"/>
          <w:szCs w:val="20"/>
          <w:color w:val="auto"/>
        </w:rPr>
      </w:pPr>
      <w:r>
        <w:rPr>
          <w:rFonts w:ascii="Times New Roman" w:cs="Times New Roman" w:eastAsia="Times New Roman" w:hAnsi="Times New Roman"/>
          <w:sz w:val="21"/>
          <w:szCs w:val="21"/>
          <w:color w:val="auto"/>
        </w:rPr>
        <w:t>You, or your estate or heirs, have no rights as a stockholder of Incyte until a certificate for your option shares has been issued. No adjustments are made for dividends or other rights if the applicable record date occurs before your stock certificate is issued, except as described in the Plan.</w:t>
      </w:r>
    </w:p>
    <w:p>
      <w:pPr>
        <w:spacing w:after="0" w:line="3"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21"/>
          <w:szCs w:val="21"/>
          <w:b w:val="1"/>
          <w:bCs w:val="1"/>
          <w:color w:val="auto"/>
        </w:rPr>
        <w:t>Recovery and Reimbursement of Option Gain</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Incyte shall have the right to recover, or receive reimbursement for, any compensation or profit realized by the exercise of this option or by the disposition of any option shares to the extent Incyte has such a right of recovery or reimbursement under applicable securities laws.</w:t>
      </w:r>
    </w:p>
    <w:p>
      <w:pPr>
        <w:spacing w:after="0" w:line="12" w:lineRule="exact"/>
        <w:rPr>
          <w:sz w:val="20"/>
          <w:szCs w:val="20"/>
          <w:color w:val="auto"/>
        </w:rPr>
      </w:pPr>
    </w:p>
    <w:p>
      <w:pPr>
        <w:sectPr>
          <w:pgSz w:w="11900" w:h="16838" w:orient="portrait"/>
          <w:cols w:equalWidth="0" w:num="2">
            <w:col w:w="2360" w:space="44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Adjustments</w:t>
      </w:r>
    </w:p>
    <w:p>
      <w:pPr>
        <w:spacing w:after="0" w:line="20" w:lineRule="exact"/>
        <w:rPr>
          <w:sz w:val="20"/>
          <w:szCs w:val="20"/>
          <w:color w:val="auto"/>
        </w:rPr>
      </w:pPr>
      <w:r>
        <w:rPr>
          <w:sz w:val="20"/>
          <w:szCs w:val="20"/>
          <w:color w:val="auto"/>
        </w:rPr>
        <w:br w:type="column"/>
      </w: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In the event of a stock split, a stock dividend or a similar change in Incyte stock, the number of shares covered by this option and the exercise price per share may be adjusted pursuant to the Plan.</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- 9 -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type w:val="continuous"/>
        </w:sectPr>
      </w:pPr>
    </w:p>
    <w:bookmarkStart w:id="96" w:name="page97"/>
    <w:bookmarkEnd w:id="96"/>
    <w:p>
      <w:pPr>
        <w:spacing w:after="0" w:line="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21"/>
          <w:szCs w:val="21"/>
          <w:b w:val="1"/>
          <w:bCs w:val="1"/>
          <w:color w:val="auto"/>
        </w:rPr>
        <w:t>Jurisdiction-Specific Provisions</w:t>
      </w:r>
    </w:p>
    <w:p>
      <w:pPr>
        <w:spacing w:after="0" w:line="20" w:lineRule="exact"/>
        <w:rPr>
          <w:sz w:val="20"/>
          <w:szCs w:val="20"/>
          <w:color w:val="auto"/>
        </w:rPr>
      </w:pPr>
      <w:r>
        <w:rPr>
          <w:sz w:val="20"/>
          <w:szCs w:val="20"/>
          <w:color w:val="auto"/>
        </w:rPr>
        <w:br w:type="column"/>
      </w:r>
    </w:p>
    <w:p>
      <w:pPr>
        <w:ind w:right="180"/>
        <w:spacing w:after="0" w:line="285" w:lineRule="auto"/>
        <w:rPr>
          <w:sz w:val="20"/>
          <w:szCs w:val="20"/>
          <w:color w:val="auto"/>
        </w:rPr>
      </w:pPr>
      <w:r>
        <w:rPr>
          <w:rFonts w:ascii="Times New Roman" w:cs="Times New Roman" w:eastAsia="Times New Roman" w:hAnsi="Times New Roman"/>
          <w:sz w:val="21"/>
          <w:szCs w:val="21"/>
          <w:color w:val="auto"/>
        </w:rPr>
        <w:t>Additional or different terms and conditions and/or information with respect to this option may be included in an appendix to this Agreement. The appendices constitute part of this Agreement.</w:t>
      </w:r>
    </w:p>
    <w:p>
      <w:pPr>
        <w:spacing w:after="0" w:line="142"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ind w:left="2800" w:right="80"/>
        <w:spacing w:after="0" w:line="258" w:lineRule="auto"/>
        <w:rPr>
          <w:sz w:val="20"/>
          <w:szCs w:val="20"/>
          <w:color w:val="auto"/>
        </w:rPr>
      </w:pPr>
      <w:r>
        <w:rPr>
          <w:rFonts w:ascii="Times New Roman" w:cs="Times New Roman" w:eastAsia="Times New Roman" w:hAnsi="Times New Roman"/>
          <w:sz w:val="21"/>
          <w:szCs w:val="21"/>
          <w:color w:val="auto"/>
        </w:rPr>
        <w:t>This option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option and require you to sign additional agreements or undertakings that Incyte determines may be necessary or advisable for legal or administrative reasons to accomplish the grant of this option or the issuance of the securities issuable upon exercise of this option.</w:t>
      </w:r>
    </w:p>
    <w:p>
      <w:pPr>
        <w:spacing w:after="0" w:line="200" w:lineRule="exact"/>
        <w:rPr>
          <w:sz w:val="20"/>
          <w:szCs w:val="20"/>
          <w:color w:val="auto"/>
        </w:rPr>
      </w:pPr>
    </w:p>
    <w:p>
      <w:pPr>
        <w:spacing w:after="0" w:line="228" w:lineRule="exact"/>
        <w:rPr>
          <w:sz w:val="20"/>
          <w:szCs w:val="20"/>
          <w:color w:val="auto"/>
        </w:rPr>
      </w:pPr>
    </w:p>
    <w:p>
      <w:pPr>
        <w:ind w:left="2800" w:right="60"/>
        <w:spacing w:after="0" w:line="274" w:lineRule="auto"/>
        <w:rPr>
          <w:sz w:val="20"/>
          <w:szCs w:val="20"/>
          <w:color w:val="auto"/>
        </w:rPr>
      </w:pPr>
      <w:r>
        <w:rPr>
          <w:rFonts w:ascii="Times New Roman" w:cs="Times New Roman" w:eastAsia="Times New Roman" w:hAnsi="Times New Roman"/>
          <w:sz w:val="21"/>
          <w:szCs w:val="21"/>
          <w:color w:val="auto"/>
        </w:rPr>
        <w:t>Information regarding the use of personal data in connection with the Plan is set forth in Appendix B to this Agreement (“Appendix B”).</w:t>
      </w:r>
    </w:p>
    <w:p>
      <w:pPr>
        <w:sectPr>
          <w:pgSz w:w="11900" w:h="16838" w:orient="portrait"/>
          <w:cols w:equalWidth="0" w:num="1">
            <w:col w:w="11160"/>
          </w:cols>
          <w:pgMar w:left="400" w:top="1440"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ind w:right="60"/>
        <w:spacing w:after="0" w:line="285" w:lineRule="auto"/>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(without regard to its choice of law provisions).</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- 10 -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type w:val="continuous"/>
        </w:sectPr>
      </w:pPr>
    </w:p>
    <w:bookmarkStart w:id="97" w:name="page98"/>
    <w:bookmarkEnd w:id="97"/>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jc w:val="both"/>
        <w:ind w:left="480" w:right="60"/>
        <w:spacing w:after="0" w:line="257" w:lineRule="auto"/>
        <w:rPr>
          <w:sz w:val="20"/>
          <w:szCs w:val="20"/>
          <w:color w:val="auto"/>
        </w:rPr>
      </w:pPr>
      <w:r>
        <w:rPr>
          <w:rFonts w:ascii="Times New Roman" w:cs="Times New Roman" w:eastAsia="Times New Roman" w:hAnsi="Times New Roman"/>
          <w:sz w:val="21"/>
          <w:szCs w:val="21"/>
          <w:color w:val="auto"/>
        </w:rPr>
        <w:t>Any and all disputes relating to, concerning or arising from this Agreement, or relating to, concerning or arising from the relationship between you and Incyte evidenced by this option or this Agreement, shall be brought and heard exclusively in the United States District Court for the District of Delaware or the Delaware Superior Court, New Castle County. You hereby represent and agree that you are subject to the personal jurisdiction of said courts, irrevocably consent to the jurisdiction of such courts in any legal or equitable proceedings related to, concerning or arising from such dispute, and waive, to the fullest extent permitted by law, any objection which you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23" w:lineRule="exact"/>
        <w:rPr>
          <w:sz w:val="20"/>
          <w:szCs w:val="20"/>
          <w:color w:val="auto"/>
        </w:rPr>
      </w:pPr>
    </w:p>
    <w:p>
      <w:pPr>
        <w:jc w:val="both"/>
        <w:ind w:left="480" w:right="60"/>
        <w:spacing w:after="0" w:line="262" w:lineRule="auto"/>
        <w:rPr>
          <w:sz w:val="20"/>
          <w:szCs w:val="20"/>
          <w:color w:val="auto"/>
        </w:rPr>
      </w:pPr>
      <w:r>
        <w:rPr>
          <w:rFonts w:ascii="Times New Roman" w:cs="Times New Roman" w:eastAsia="Times New Roman" w:hAnsi="Times New Roman"/>
          <w:sz w:val="21"/>
          <w:szCs w:val="21"/>
          <w:color w:val="auto"/>
        </w:rPr>
        <w:t>The text of the Incyte Corporation Amended and Restated 2010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66" w:lineRule="exact"/>
        <w:rPr>
          <w:sz w:val="20"/>
          <w:szCs w:val="20"/>
          <w:color w:val="auto"/>
        </w:rPr>
      </w:pPr>
    </w:p>
    <w:p>
      <w:pPr>
        <w:jc w:val="both"/>
        <w:ind w:left="480" w:right="60"/>
        <w:spacing w:after="0" w:line="259" w:lineRule="auto"/>
        <w:rPr>
          <w:sz w:val="20"/>
          <w:szCs w:val="20"/>
          <w:color w:val="auto"/>
        </w:rPr>
      </w:pPr>
      <w:r>
        <w:rPr>
          <w:rFonts w:ascii="Times New Roman" w:cs="Times New Roman" w:eastAsia="Times New Roman" w:hAnsi="Times New Roman"/>
          <w:sz w:val="21"/>
          <w:szCs w:val="21"/>
          <w:color w:val="auto"/>
        </w:rPr>
        <w:t>This Agreement, the grant notice and the Plan constitute the entire understanding between you and Incyte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Incyte.</w:t>
      </w:r>
    </w:p>
    <w:p>
      <w:pPr>
        <w:spacing w:after="0" w:line="200" w:lineRule="exact"/>
        <w:rPr>
          <w:sz w:val="20"/>
          <w:szCs w:val="20"/>
          <w:color w:val="auto"/>
        </w:rPr>
      </w:pPr>
    </w:p>
    <w:p>
      <w:pPr>
        <w:spacing w:after="0" w:line="352"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21"/>
          <w:szCs w:val="21"/>
          <w:b w:val="1"/>
          <w:bCs w:val="1"/>
          <w:i w:val="1"/>
          <w:iCs w:val="1"/>
          <w:color w:val="auto"/>
        </w:rPr>
        <w:t>By accepting the grant notice, you agree to all of the terms and conditions</w:t>
      </w:r>
    </w:p>
    <w:p>
      <w:pPr>
        <w:spacing w:after="0" w:line="38"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21"/>
          <w:szCs w:val="21"/>
          <w:b w:val="1"/>
          <w:bCs w:val="1"/>
          <w:i w:val="1"/>
          <w:iCs w:val="1"/>
          <w:color w:val="auto"/>
        </w:rPr>
        <w:t>described in this Agreement (including any appendix) and in the Plan.</w:t>
      </w:r>
    </w:p>
    <w:p>
      <w:pPr>
        <w:spacing w:after="0" w:line="200" w:lineRule="exact"/>
        <w:rPr>
          <w:sz w:val="20"/>
          <w:szCs w:val="20"/>
          <w:color w:val="auto"/>
        </w:rPr>
      </w:pPr>
    </w:p>
    <w:p>
      <w:pPr>
        <w:sectPr>
          <w:pgSz w:w="11900" w:h="16838" w:orient="portrait"/>
          <w:cols w:equalWidth="0" w:num="2">
            <w:col w:w="1800" w:space="520"/>
            <w:col w:w="884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- 11 -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4811-5484-2831.v5</w:t>
      </w:r>
    </w:p>
    <w:p>
      <w:pPr>
        <w:sectPr>
          <w:pgSz w:w="11900" w:h="16838" w:orient="portrait"/>
          <w:cols w:equalWidth="0" w:num="1">
            <w:col w:w="11160"/>
          </w:cols>
          <w:pgMar w:left="400" w:top="1440" w:right="339" w:bottom="1440" w:gutter="0" w:footer="0" w:header="0"/>
          <w:type w:val="continuous"/>
        </w:sectPr>
      </w:pPr>
    </w:p>
    <w:bookmarkStart w:id="98" w:name="page99"/>
    <w:bookmarkEnd w:id="98"/>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2010 STOCK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RESTRICTED STOCK UNIT AWARD</w:t>
      </w: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You have been granted the following units representing shares of common stock of INCYTE CORPORATION (“Incyte”)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the Incyte Corporation Amended and Restated 2010 Stock Incentive Plan, as amended (the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Date of Grant:</w:t>
            </w:r>
          </w:p>
        </w:tc>
        <w:tc>
          <w:tcPr>
            <w:tcW w:w="2340" w:type="dxa"/>
            <w:vAlign w:val="bottom"/>
          </w:tcPr>
          <w:p>
            <w:pPr>
              <w:jc w:val="right"/>
              <w:ind w:right="494"/>
              <w:spacing w:after="0"/>
              <w:rPr>
                <w:sz w:val="20"/>
                <w:szCs w:val="20"/>
                <w:color w:val="auto"/>
              </w:rPr>
            </w:pPr>
            <w:r>
              <w:rPr>
                <w:rFonts w:ascii="Times New Roman" w:cs="Times New Roman" w:eastAsia="Times New Roman" w:hAnsi="Times New Roman"/>
                <w:sz w:val="21"/>
                <w:szCs w:val="21"/>
                <w:color w:val="auto"/>
              </w:rPr>
              <w:t>[Date of Grant]</w:t>
            </w:r>
          </w:p>
        </w:tc>
      </w:tr>
      <w:tr>
        <w:trPr>
          <w:trHeight w:val="464"/>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Name of Recipient:</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[Name of Recipient]</w:t>
            </w:r>
          </w:p>
        </w:tc>
      </w:tr>
      <w:tr>
        <w:trPr>
          <w:trHeight w:val="450"/>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Total Number of</w:t>
            </w:r>
          </w:p>
        </w:tc>
        <w:tc>
          <w:tcPr>
            <w:tcW w:w="2340" w:type="dxa"/>
            <w:vAlign w:val="bottom"/>
          </w:tcPr>
          <w:p>
            <w:pPr>
              <w:spacing w:after="0"/>
              <w:rPr>
                <w:sz w:val="24"/>
                <w:szCs w:val="24"/>
                <w:color w:val="auto"/>
              </w:rPr>
            </w:pPr>
          </w:p>
        </w:tc>
      </w:tr>
      <w:tr>
        <w:trPr>
          <w:trHeight w:val="279"/>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Units Granted:</w:t>
            </w:r>
          </w:p>
        </w:tc>
        <w:tc>
          <w:tcPr>
            <w:tcW w:w="2340" w:type="dxa"/>
            <w:vAlign w:val="bottom"/>
          </w:tcPr>
          <w:p>
            <w:pPr>
              <w:jc w:val="right"/>
              <w:ind w:right="674"/>
              <w:spacing w:after="0"/>
              <w:rPr>
                <w:sz w:val="20"/>
                <w:szCs w:val="20"/>
                <w:color w:val="auto"/>
              </w:rPr>
            </w:pPr>
            <w:r>
              <w:rPr>
                <w:rFonts w:ascii="Times New Roman" w:cs="Times New Roman" w:eastAsia="Times New Roman" w:hAnsi="Times New Roman"/>
                <w:sz w:val="21"/>
                <w:szCs w:val="21"/>
                <w:color w:val="auto"/>
              </w:rPr>
              <w:t>[___________]</w:t>
            </w:r>
          </w:p>
        </w:tc>
      </w:tr>
      <w:tr>
        <w:trPr>
          <w:trHeight w:val="490"/>
        </w:trPr>
        <w:tc>
          <w:tcPr>
            <w:tcW w:w="4020" w:type="dxa"/>
            <w:vAlign w:val="bottom"/>
            <w:gridSpan w:val="2"/>
          </w:tcPr>
          <w:p>
            <w:pPr>
              <w:spacing w:after="0"/>
              <w:rPr>
                <w:sz w:val="20"/>
                <w:szCs w:val="20"/>
                <w:color w:val="auto"/>
              </w:rPr>
            </w:pPr>
            <w:r>
              <w:rPr>
                <w:rFonts w:ascii="Times New Roman" w:cs="Times New Roman" w:eastAsia="Times New Roman" w:hAnsi="Times New Roman"/>
                <w:sz w:val="21"/>
                <w:szCs w:val="21"/>
                <w:i w:val="1"/>
                <w:iCs w:val="1"/>
                <w:color w:val="auto"/>
              </w:rPr>
              <w:t xml:space="preserve">Vesting Commencement Date:   </w:t>
            </w:r>
            <w:r>
              <w:rPr>
                <w:rFonts w:ascii="Times New Roman" w:cs="Times New Roman" w:eastAsia="Times New Roman" w:hAnsi="Times New Roman"/>
                <w:sz w:val="21"/>
                <w:szCs w:val="21"/>
                <w:color w:val="auto"/>
              </w:rPr>
              <w:t>[__________]</w:t>
            </w:r>
          </w:p>
        </w:tc>
      </w:tr>
      <w:tr>
        <w:trPr>
          <w:trHeight w:val="490"/>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Vesting Schedule:</w:t>
            </w:r>
          </w:p>
        </w:tc>
        <w:tc>
          <w:tcPr>
            <w:tcW w:w="2340" w:type="dxa"/>
            <w:vAlign w:val="bottom"/>
          </w:tcPr>
          <w:p>
            <w:pPr>
              <w:jc w:val="right"/>
              <w:ind w:right="894"/>
              <w:spacing w:after="0"/>
              <w:rPr>
                <w:sz w:val="20"/>
                <w:szCs w:val="20"/>
                <w:color w:val="auto"/>
              </w:rPr>
            </w:pPr>
            <w:r>
              <w:rPr>
                <w:rFonts w:ascii="Times New Roman" w:cs="Times New Roman" w:eastAsia="Times New Roman" w:hAnsi="Times New Roman"/>
                <w:sz w:val="21"/>
                <w:szCs w:val="21"/>
                <w:color w:val="auto"/>
              </w:rPr>
              <w:t>[___________]</w:t>
            </w:r>
          </w:p>
        </w:tc>
      </w:tr>
    </w:tbl>
    <w:p>
      <w:pPr>
        <w:spacing w:after="0" w:line="200" w:lineRule="exact"/>
        <w:rPr>
          <w:sz w:val="20"/>
          <w:szCs w:val="20"/>
          <w:color w:val="auto"/>
        </w:rPr>
      </w:pPr>
    </w:p>
    <w:p>
      <w:pPr>
        <w:spacing w:after="0" w:line="24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1"/>
          <w:szCs w:val="21"/>
          <w:b w:val="1"/>
          <w:bCs w:val="1"/>
          <w:color w:val="auto"/>
        </w:rPr>
        <w:t>You and Incyte agree that these units are granted under and governed by the terms and conditions of the Plan and the U.S. Restricted Stock Unit Award Agreement (the “Agreement”) that can be reviewed by clicking on the link provided above. By accepting this Notice, you are agreeing to all of those terms and conditions.</w:t>
      </w:r>
    </w:p>
    <w:p>
      <w:pPr>
        <w:spacing w:after="0" w:line="14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1"/>
          <w:szCs w:val="21"/>
          <w:b w:val="1"/>
          <w:bCs w:val="1"/>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1240"/>
          </w:cols>
          <w:pgMar w:left="320" w:top="1440" w:right="339" w:bottom="1440" w:gutter="0" w:footer="0" w:header="0"/>
        </w:sectPr>
      </w:pPr>
    </w:p>
    <w:bookmarkStart w:id="99" w:name="page100"/>
    <w:bookmarkEnd w:id="99"/>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AMENDED AND RESTATED 2010 STOCK INCENTIVE PLAN</w:t>
      </w:r>
    </w:p>
    <w:p>
      <w:pPr>
        <w:spacing w:after="0" w:line="1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U.S. RESTRICTED STOCK UNIT AWARD AGREEMENT</w:t>
      </w:r>
    </w:p>
    <w:p>
      <w:pPr>
        <w:spacing w:after="0" w:line="22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color w:val="auto"/>
        </w:rPr>
        <w:t>No cash payment is required for the units you receive or for the issuance of shares of</w:t>
      </w:r>
    </w:p>
    <w:p>
      <w:pPr>
        <w:spacing w:after="0" w:line="4" w:lineRule="exact"/>
        <w:rPr>
          <w:sz w:val="20"/>
          <w:szCs w:val="20"/>
          <w:color w:val="auto"/>
        </w:rPr>
      </w:pPr>
    </w:p>
    <w:p>
      <w:pPr>
        <w:ind w:left="2560" w:right="440"/>
        <w:spacing w:after="0" w:line="231" w:lineRule="auto"/>
        <w:rPr>
          <w:sz w:val="20"/>
          <w:szCs w:val="20"/>
          <w:color w:val="auto"/>
        </w:rPr>
      </w:pPr>
      <w:r>
        <w:rPr>
          <w:rFonts w:ascii="Times New Roman" w:cs="Times New Roman" w:eastAsia="Times New Roman" w:hAnsi="Times New Roman"/>
          <w:sz w:val="21"/>
          <w:szCs w:val="21"/>
          <w:color w:val="auto"/>
        </w:rPr>
        <w:t>Incyte common stock on settlement of the units. Incyte will, however, withhold any Tax-Related Items, as defined and as further described below.</w:t>
      </w:r>
    </w:p>
    <w:p>
      <w:pPr>
        <w:sectPr>
          <w:pgSz w:w="11900" w:h="16838" w:orient="portrait"/>
          <w:cols w:equalWidth="0" w:num="1">
            <w:col w:w="10540"/>
          </w:cols>
          <w:pgMar w:left="1020" w:top="1393" w:right="339" w:bottom="1440" w:gutter="0" w:footer="0" w:header="0"/>
        </w:sect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units vest as shown in the Notice of Restricted Stock Unit Award (the “award notice”).</w:t>
      </w:r>
    </w:p>
    <w:p>
      <w:pPr>
        <w:spacing w:after="0" w:line="22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21"/>
          <w:szCs w:val="21"/>
          <w:color w:val="auto"/>
        </w:rPr>
        <w:t>No additional units will vest after your service as an employee, director, consultant or advisor of Incyte (or any subsidiary) has terminated for any reason, except in the event of your full retirement or as provided below under “Change in Control.”</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1"/>
          <w:szCs w:val="21"/>
          <w:color w:val="auto"/>
        </w:rPr>
        <w:t>In the event of your full retirement, your units which were granted at least one year prior to the date of your retirement will continue to vest after your retirement in accordance with the vesting schedule set forth in the award notice. Units granted less than one year prior to the date of your retirement will be forfeited. For this purpose, “full retirement” means your termination of service as an employee of Incyte (or any subsidiary) on or after the date you have attained age 65 and performed at least 10 years of service as an employee of Incyte (or any subsidiary).</w:t>
      </w:r>
    </w:p>
    <w:p>
      <w:pPr>
        <w:spacing w:after="0" w:line="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color w:val="auto"/>
        </w:rPr>
        <w:t>If your service as an employee, director, consultant or advisor of Incyte (or any subsidiary) terminates for any reason other than your full retirement as defined above under “Vesting,” then your units will be forfeited to the extent that they have not vested before the termination date and do not vest as a result of the termination. In the event of your full retirement, your units granted less than one year prior to the date of your retirement will be forfeited. “Forfeiture” means that the units will immediately be cancelled. You receive no payment for units that are forfeited.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Incyte determines when your service terminates for this purpose.</w:t>
      </w:r>
    </w:p>
    <w:p>
      <w:pPr>
        <w:spacing w:after="0" w:line="200" w:lineRule="exact"/>
        <w:rPr>
          <w:sz w:val="20"/>
          <w:szCs w:val="20"/>
          <w:color w:val="auto"/>
        </w:rPr>
      </w:pPr>
    </w:p>
    <w:p>
      <w:pPr>
        <w:sectPr>
          <w:pgSz w:w="11900" w:h="16838" w:orient="portrait"/>
          <w:cols w:equalWidth="0" w:num="2">
            <w:col w:w="1840" w:space="720"/>
            <w:col w:w="7980"/>
          </w:cols>
          <w:pgMar w:left="1020" w:top="13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color w:val="auto"/>
        </w:rPr>
        <w:t>-1-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0540"/>
          </w:cols>
          <w:pgMar w:left="1020" w:top="1393" w:right="339" w:bottom="1440" w:gutter="0" w:footer="0" w:header="0"/>
          <w:type w:val="continuous"/>
        </w:sectPr>
      </w:pPr>
    </w:p>
    <w:bookmarkStart w:id="100" w:name="page101"/>
    <w:bookmarkEnd w:id="100"/>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Nature of Units</w:t>
      </w:r>
    </w:p>
    <w:p>
      <w:pPr>
        <w:spacing w:after="0" w:line="200" w:lineRule="exact"/>
        <w:rPr>
          <w:sz w:val="20"/>
          <w:szCs w:val="20"/>
          <w:color w:val="auto"/>
        </w:rPr>
      </w:pPr>
    </w:p>
    <w:p>
      <w:pPr>
        <w:spacing w:after="0" w:line="248" w:lineRule="exact"/>
        <w:rPr>
          <w:sz w:val="20"/>
          <w:szCs w:val="20"/>
          <w:color w:val="auto"/>
        </w:rPr>
      </w:pPr>
    </w:p>
    <w:p>
      <w:pPr>
        <w:ind w:right="380"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No Voting Rights or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Settlement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Responsibility for Taxes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1"/>
          <w:szCs w:val="21"/>
          <w:color w:val="auto"/>
        </w:rPr>
        <w:t xml:space="preserve">For purposes of this award,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1" w:lineRule="exact"/>
        <w:rPr>
          <w:sz w:val="20"/>
          <w:szCs w:val="20"/>
          <w:color w:val="auto"/>
        </w:rPr>
      </w:pPr>
    </w:p>
    <w:p>
      <w:pPr>
        <w:ind w:right="100" w:firstLine="636"/>
        <w:spacing w:after="0" w:line="232" w:lineRule="auto"/>
        <w:rPr>
          <w:sz w:val="20"/>
          <w:szCs w:val="20"/>
          <w:color w:val="auto"/>
        </w:rPr>
      </w:pPr>
      <w:r>
        <w:rPr>
          <w:rFonts w:ascii="Times New Roman" w:cs="Times New Roman" w:eastAsia="Times New Roman" w:hAnsi="Times New Roman"/>
          <w:sz w:val="21"/>
          <w:szCs w:val="21"/>
          <w:color w:val="auto"/>
        </w:rPr>
        <w:t>Your units are mere bookkeeping entries. They represent only Incyte’s unfunded and unsecured promise to issue shares of Incyte common stock on a future date. As a holder of units, you have no rights other than the rights of a general creditor of Incyte.</w:t>
      </w:r>
    </w:p>
    <w:p>
      <w:pPr>
        <w:spacing w:after="0" w:line="1" w:lineRule="exact"/>
        <w:rPr>
          <w:sz w:val="20"/>
          <w:szCs w:val="20"/>
          <w:color w:val="auto"/>
        </w:rPr>
      </w:pPr>
    </w:p>
    <w:p>
      <w:pPr>
        <w:ind w:right="60" w:firstLine="636"/>
        <w:spacing w:after="0" w:line="216" w:lineRule="auto"/>
        <w:rPr>
          <w:sz w:val="20"/>
          <w:szCs w:val="20"/>
          <w:color w:val="auto"/>
        </w:rPr>
      </w:pPr>
      <w:r>
        <w:rPr>
          <w:rFonts w:ascii="Times New Roman" w:cs="Times New Roman" w:eastAsia="Times New Roman" w:hAnsi="Times New Roman"/>
          <w:sz w:val="21"/>
          <w:szCs w:val="21"/>
          <w:color w:val="auto"/>
        </w:rPr>
        <w:t>Your units carry neither voting rights nor rights to dividends. You, or your estate or heirs, have no rights as a stockholder of Incyte unless and until your units are settled by issuing shares of Incyte’s common stock. No dividend equivalents will be provided and no adjustments will be made for dividends or other rights if the applicable record date occurs before your stock certificate is issued, except that in the case of a dividend payable in the form of additional shares of Incyte common stock, the number of units granted under this Agreement will be adjusted proportionately by multiplying that number by the number of shares of Incyte common stock that a holder of one share of Incyte common stock before the dividend payment date would hold after the dividend payment date.</w:t>
      </w:r>
    </w:p>
    <w:p>
      <w:pPr>
        <w:spacing w:after="0" w:line="20"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21"/>
          <w:szCs w:val="21"/>
          <w:color w:val="auto"/>
        </w:rPr>
        <w:t>Each of your units will be settled as soon as practicable after, but no later than 30 days after, the date the units vest.</w:t>
      </w:r>
    </w:p>
    <w:p>
      <w:pPr>
        <w:spacing w:after="0" w:line="14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1"/>
          <w:szCs w:val="21"/>
          <w:color w:val="auto"/>
        </w:rPr>
        <w:t>At the time of settlement, you will receive one share of Incyte common stock for each vested unit.</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Regardless of any action taken by Incyte or, if different, your employer, the ultimate liability for all income tax (including U.S. federal, state, and local taxes and/or non-U.S. taxes), social insurance, payroll tax, fringe benefits tax, payment on account or other tax-related items related to your participation in the Plan and legally applicable to you (the “Tax-Related Items”) is and remains your responsibility and may exceed the amount, if any, withheld by Incyte or your employer.</w:t>
      </w:r>
    </w:p>
    <w:p>
      <w:pPr>
        <w:spacing w:after="0" w:line="1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1"/>
          <w:szCs w:val="21"/>
          <w:color w:val="auto"/>
        </w:rPr>
        <w:t>Incyte and your employer (i) make no representations or undertakings regarding the treatment of any Tax-Related Items, and (ii) do not commit to and are under no obligation to reduce or eliminate your liability for Tax-Related Items or to structure the terms of this award to achieve any particular tax result.</w:t>
      </w:r>
    </w:p>
    <w:p>
      <w:pPr>
        <w:spacing w:after="0" w:line="162"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If you become subject to taxation in more than one jurisdiction, Incyte and/or your employer (or former employer, as applicable) may be required to withhold or account for Tax-Related Items in more than one jurisdiction.</w:t>
      </w:r>
    </w:p>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Prior to any taxable or tax withholding event, you will make arrangements satisfactory to Incyte and your employer so that Incyte and your employer can fulfill any withholding obligations for Tax-Related Items. Incyte shall not be required to issue any shares of Incyte common stock or deliver the proceeds of the sale of any shares of Incyte common stock until such obligations are satisfied.</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this regard, Incyte will withhold shares of Incyte common stock on settlement of the units to satisfy any applicable withholding obligations for Tax-Related Items. Alternatively, provided you are not a Section 16 officer of Incyte under the Exchange Act, Incyte and/or your employer, or their respective agents, at their discretion, may fulfill any applicable withholding obligations for Tax-Related Items by one or a combination of the following:</w:t>
      </w:r>
    </w:p>
    <w:p>
      <w:pPr>
        <w:spacing w:after="0" w:line="166" w:lineRule="exact"/>
        <w:rPr>
          <w:sz w:val="20"/>
          <w:szCs w:val="20"/>
          <w:color w:val="auto"/>
        </w:rPr>
      </w:pPr>
    </w:p>
    <w:p>
      <w:pPr>
        <w:ind w:left="640" w:hanging="635"/>
        <w:spacing w:after="0" w:line="298" w:lineRule="auto"/>
        <w:tabs>
          <w:tab w:leader="none" w:pos="6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amount payable to you by Incyte and/or your employer;</w:t>
      </w:r>
    </w:p>
    <w:p>
      <w:pPr>
        <w:spacing w:after="0" w:line="129" w:lineRule="exact"/>
        <w:rPr>
          <w:rFonts w:ascii="Times New Roman" w:cs="Times New Roman" w:eastAsia="Times New Roman" w:hAnsi="Times New Roman"/>
          <w:sz w:val="21"/>
          <w:szCs w:val="21"/>
          <w:color w:val="auto"/>
        </w:rPr>
      </w:pPr>
    </w:p>
    <w:p>
      <w:pPr>
        <w:jc w:val="both"/>
        <w:ind w:left="640" w:hanging="635"/>
        <w:spacing w:after="0" w:line="261" w:lineRule="auto"/>
        <w:tabs>
          <w:tab w:leader="none" w:pos="63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of Incyte common stock acquired upon settlement of the units either through a voluntary sale or through a mandatory sale arranged by Incyte (on your behalf pursuant to this authorization without further consent);</w:t>
      </w:r>
    </w:p>
    <w:p>
      <w:pPr>
        <w:spacing w:after="0" w:line="16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make a cash payment to Incyte or your employer; and/or</w:t>
      </w:r>
    </w:p>
    <w:p>
      <w:pPr>
        <w:spacing w:after="0" w:line="235" w:lineRule="exact"/>
        <w:rPr>
          <w:rFonts w:ascii="Times New Roman" w:cs="Times New Roman" w:eastAsia="Times New Roman" w:hAnsi="Times New Roman"/>
          <w:sz w:val="21"/>
          <w:szCs w:val="21"/>
          <w:color w:val="auto"/>
        </w:rPr>
      </w:pPr>
    </w:p>
    <w:p>
      <w:pPr>
        <w:ind w:left="640" w:hanging="635"/>
        <w:spacing w:after="0" w:line="278" w:lineRule="auto"/>
        <w:tabs>
          <w:tab w:leader="none" w:pos="6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of withholding determined by Incyte and permitted by applicable law</w:t>
      </w:r>
    </w:p>
    <w:p>
      <w:pPr>
        <w:sectPr>
          <w:pgSz w:w="11900" w:h="17037" w:orient="portrait"/>
          <w:cols w:equalWidth="0" w:num="2">
            <w:col w:w="2800" w:space="380"/>
            <w:col w:w="7920"/>
          </w:cols>
          <w:pgMar w:left="400" w:top="1420" w:right="399" w:bottom="0" w:gutter="0" w:footer="0" w:header="0"/>
        </w:sectPr>
      </w:pPr>
    </w:p>
    <w:bookmarkStart w:id="101" w:name="page102"/>
    <w:bookmarkEnd w:id="101"/>
    <w:p>
      <w:pPr>
        <w:jc w:val="both"/>
        <w:ind w:left="2140" w:right="180"/>
        <w:spacing w:after="0" w:line="266" w:lineRule="auto"/>
        <w:rPr>
          <w:sz w:val="20"/>
          <w:szCs w:val="20"/>
          <w:color w:val="auto"/>
        </w:rPr>
      </w:pPr>
      <w:r>
        <w:rPr>
          <w:rFonts w:ascii="Times New Roman" w:cs="Times New Roman" w:eastAsia="Times New Roman" w:hAnsi="Times New Roman"/>
          <w:sz w:val="21"/>
          <w:szCs w:val="21"/>
          <w:color w:val="auto"/>
        </w:rPr>
        <w:t>If the obligation for Tax-Related Items is satisfied by withholding shares of Incyte common stock, for tax purposes, you will be deemed to have been issued the full number of shares of Incyte common stock subject to the vested units, notwithstanding that a number of shares of Incyte common stock are withheld to pay the Tax-Related Items.</w:t>
      </w:r>
    </w:p>
    <w:p>
      <w:pPr>
        <w:spacing w:after="0" w:line="188" w:lineRule="exact"/>
        <w:rPr>
          <w:sz w:val="20"/>
          <w:szCs w:val="20"/>
          <w:color w:val="auto"/>
        </w:rPr>
      </w:pPr>
    </w:p>
    <w:p>
      <w:pPr>
        <w:ind w:left="2140" w:right="60"/>
        <w:spacing w:after="0" w:line="256" w:lineRule="auto"/>
        <w:rPr>
          <w:sz w:val="20"/>
          <w:szCs w:val="20"/>
          <w:color w:val="auto"/>
        </w:rPr>
      </w:pPr>
      <w:r>
        <w:rPr>
          <w:rFonts w:ascii="Times New Roman" w:cs="Times New Roman" w:eastAsia="Times New Roman" w:hAnsi="Times New Roman"/>
          <w:sz w:val="21"/>
          <w:szCs w:val="21"/>
          <w:color w:val="auto"/>
        </w:rPr>
        <w:t>Incyte may withhold or account for Tax-Related Items by considering statutory withholding rates or other applicable withholding rates, including up to the maximum applicable rate in your jurisdiction to the extent permitted under the Plan. In the event any over-withholding results from the application of statutory or other withholding rates, you may receive a refund from your employer or you may be required to request a refund from the tax authorities in your country, but you will not be entitled to any interest or to the equivalent amount in shares of Incyte common stock. In the event any under-withholding results from the application or statutory or other withholding rates, you may be required to pay additional amounts to the tax authorities in your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-2-</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0120"/>
          </w:cols>
          <w:pgMar w:left="1440" w:top="4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Units Nontransferable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The following provisions will apply in the event a Change in Control (as defined in the Plan) occurs while the units granted under this Agreement are outstanding and you are still performing service as an employee, director, consultant or advisor of Incyte (or any parent or subsidiary). For purposes of these provisions, Incyte or any parent or subsidiary for which you are performing services is referred to as the “Employer.”</w:t>
      </w:r>
    </w:p>
    <w:p>
      <w:pPr>
        <w:spacing w:after="0" w:line="166"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21"/>
          <w:szCs w:val="21"/>
          <w:color w:val="auto"/>
        </w:rPr>
        <w:t>If this Agreement is not assumed or replaced with a new comparable award (with the determination of comparability to be made by the Committee), then there would be full accelerated vesting of the units upon the Change in Control.</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If this Agreement is assumed or replaced with a new comparable award, then the units (or such comparable award) would vest in full if within one year following the Change in Control your service for the Employer is terminated without Cause or is Constructively Terminated.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22" w:lineRule="exact"/>
        <w:rPr>
          <w:sz w:val="20"/>
          <w:szCs w:val="20"/>
          <w:color w:val="auto"/>
        </w:rPr>
      </w:pPr>
    </w:p>
    <w:p>
      <w:pPr>
        <w:ind w:right="160" w:firstLine="641"/>
        <w:spacing w:after="0" w:line="256" w:lineRule="auto"/>
        <w:tabs>
          <w:tab w:leader="none" w:pos="88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 or its affiliates; or (D) violation of any of the employee policies or procedures of the Employer; or</w:t>
      </w:r>
    </w:p>
    <w:p>
      <w:pPr>
        <w:spacing w:after="0" w:line="187" w:lineRule="exact"/>
        <w:rPr>
          <w:rFonts w:ascii="Times New Roman" w:cs="Times New Roman" w:eastAsia="Times New Roman" w:hAnsi="Times New Roman"/>
          <w:sz w:val="21"/>
          <w:szCs w:val="21"/>
          <w:color w:val="auto"/>
        </w:rPr>
      </w:pPr>
    </w:p>
    <w:p>
      <w:pPr>
        <w:ind w:right="220" w:firstLine="641"/>
        <w:spacing w:after="0" w:line="261" w:lineRule="auto"/>
        <w:tabs>
          <w:tab w:leader="none" w:pos="94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an employment agreement, consulting agreement, change in control agreement or similar agreement or plan in effect between Incyte and you on the date specified in the award notice that defines “cause” (or words of like import), as defined under such agreement or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“Constructive Termination” shall mean</w:t>
      </w:r>
    </w:p>
    <w:p>
      <w:pPr>
        <w:spacing w:after="0" w:line="222" w:lineRule="exact"/>
        <w:rPr>
          <w:sz w:val="20"/>
          <w:szCs w:val="20"/>
          <w:color w:val="auto"/>
        </w:rPr>
      </w:pPr>
    </w:p>
    <w:p>
      <w:pPr>
        <w:ind w:right="80" w:firstLine="641"/>
        <w:spacing w:after="0" w:line="255" w:lineRule="auto"/>
        <w:tabs>
          <w:tab w:leader="none" w:pos="88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 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184" w:lineRule="exact"/>
        <w:rPr>
          <w:sz w:val="20"/>
          <w:szCs w:val="20"/>
          <w:color w:val="auto"/>
        </w:rPr>
      </w:pPr>
    </w:p>
    <w:p>
      <w:pPr>
        <w:ind w:right="20" w:firstLine="625"/>
        <w:spacing w:after="0" w:line="266" w:lineRule="auto"/>
        <w:tabs>
          <w:tab w:leader="none" w:pos="93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an employment agreement, consulting agreement, change in control agreement or similar agreement or plan in effect between Incyte and you on the date specified in the award notice that defines “constructive termination” (or words of like import), as defined under such agreement or plan.</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1"/>
          <w:szCs w:val="21"/>
          <w:color w:val="auto"/>
        </w:rPr>
        <w:t>You may not sell, transfer, assign, pledge or otherwise dispose of any of your units. For instance, you may not use your units as security for a loan. If you attempt to do any of these things, your units will immediately become invalid. You may, however, dispose of any vested but unsettled units in your will.</w:t>
      </w:r>
    </w:p>
    <w:p>
      <w:pPr>
        <w:sectPr>
          <w:pgSz w:w="11900" w:h="16838" w:orient="portrait"/>
          <w:cols w:equalWidth="0" w:num="2">
            <w:col w:w="2020" w:space="540"/>
            <w:col w:w="7900"/>
          </w:cols>
          <w:pgMar w:left="1020" w:top="1420" w:right="419" w:bottom="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77"/>
        </w:trPr>
        <w:tc>
          <w:tcPr>
            <w:tcW w:w="236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your former spouse’s interest in your units in any way.</w:t>
            </w:r>
          </w:p>
        </w:tc>
        <w:tc>
          <w:tcPr>
            <w:tcW w:w="0" w:type="dxa"/>
            <w:vAlign w:val="bottom"/>
          </w:tcPr>
          <w:p>
            <w:pPr>
              <w:spacing w:after="0"/>
              <w:rPr>
                <w:sz w:val="1"/>
                <w:szCs w:val="1"/>
                <w:color w:val="auto"/>
              </w:rPr>
            </w:pPr>
          </w:p>
        </w:tc>
      </w:tr>
      <w:tr>
        <w:trPr>
          <w:trHeight w:val="426"/>
        </w:trPr>
        <w:tc>
          <w:tcPr>
            <w:tcW w:w="23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Beneficiary Designation</w:t>
            </w:r>
          </w:p>
        </w:tc>
        <w:tc>
          <w:tcPr>
            <w:tcW w:w="8140" w:type="dxa"/>
            <w:vAlign w:val="bottom"/>
          </w:tcPr>
          <w:p>
            <w:pPr>
              <w:ind w:left="840"/>
              <w:spacing w:after="0"/>
              <w:rPr>
                <w:sz w:val="20"/>
                <w:szCs w:val="20"/>
                <w:color w:val="auto"/>
              </w:rPr>
            </w:pPr>
            <w:r>
              <w:rPr>
                <w:rFonts w:ascii="Times New Roman" w:cs="Times New Roman" w:eastAsia="Times New Roman" w:hAnsi="Times New Roman"/>
                <w:sz w:val="21"/>
                <w:szCs w:val="21"/>
                <w:color w:val="auto"/>
              </w:rPr>
              <w:t>You may designate a beneficiary in writing to receive your vested units in the event</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you die before settlement of the units. A beneficiary designation must be filed with Incyte on</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the proper form, and it will be recognized only if it has been received at Incyte’s headquarters</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before your death. If you file no beneficiary designation, if none of your designated</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beneficiaries survives you, or if your beneficiary designation is determined not to be valid (in</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Incyte’s sole and absolute discretion), then your estate will receive any vested units that you</w:t>
            </w:r>
          </w:p>
        </w:tc>
        <w:tc>
          <w:tcPr>
            <w:tcW w:w="0" w:type="dxa"/>
            <w:vAlign w:val="bottom"/>
          </w:tcPr>
          <w:p>
            <w:pPr>
              <w:spacing w:after="0"/>
              <w:rPr>
                <w:sz w:val="1"/>
                <w:szCs w:val="1"/>
                <w:color w:val="auto"/>
              </w:rPr>
            </w:pPr>
          </w:p>
        </w:tc>
      </w:tr>
      <w:tr>
        <w:trPr>
          <w:trHeight w:val="264"/>
        </w:trPr>
        <w:tc>
          <w:tcPr>
            <w:tcW w:w="23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tc>
        <w:tc>
          <w:tcPr>
            <w:tcW w:w="8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hold at the time of your death.</w:t>
            </w:r>
          </w:p>
        </w:tc>
        <w:tc>
          <w:tcPr>
            <w:tcW w:w="0" w:type="dxa"/>
            <w:vAlign w:val="bottom"/>
          </w:tcPr>
          <w:p>
            <w:pPr>
              <w:spacing w:after="0"/>
              <w:rPr>
                <w:sz w:val="1"/>
                <w:szCs w:val="1"/>
                <w:color w:val="auto"/>
              </w:rPr>
            </w:pPr>
          </w:p>
        </w:tc>
      </w:tr>
      <w:tr>
        <w:trPr>
          <w:trHeight w:val="213"/>
        </w:trPr>
        <w:tc>
          <w:tcPr>
            <w:tcW w:w="2360" w:type="dxa"/>
            <w:vAlign w:val="bottom"/>
            <w:vMerge w:val="continue"/>
          </w:tcPr>
          <w:p>
            <w:pPr>
              <w:spacing w:after="0"/>
              <w:rPr>
                <w:sz w:val="18"/>
                <w:szCs w:val="18"/>
                <w:color w:val="auto"/>
              </w:rPr>
            </w:pPr>
          </w:p>
        </w:tc>
        <w:tc>
          <w:tcPr>
            <w:tcW w:w="8140" w:type="dxa"/>
            <w:vAlign w:val="bottom"/>
          </w:tcPr>
          <w:p>
            <w:pPr>
              <w:ind w:left="840"/>
              <w:spacing w:after="0" w:line="213" w:lineRule="exact"/>
              <w:rPr>
                <w:sz w:val="20"/>
                <w:szCs w:val="20"/>
                <w:color w:val="auto"/>
              </w:rPr>
            </w:pPr>
            <w:r>
              <w:rPr>
                <w:rFonts w:ascii="Times New Roman" w:cs="Times New Roman" w:eastAsia="Times New Roman" w:hAnsi="Times New Roman"/>
                <w:sz w:val="21"/>
                <w:szCs w:val="21"/>
                <w:color w:val="auto"/>
              </w:rPr>
              <w:t>By accepting the award notice, you agree not to sell any shares of Incyte common</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stock issued upon settlement of the units at a time when applicable laws or Incyte policies</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prohibit a sale. This restriction will apply as long as you are an employee, director, consultant</w:t>
            </w:r>
          </w:p>
        </w:tc>
        <w:tc>
          <w:tcPr>
            <w:tcW w:w="0" w:type="dxa"/>
            <w:vAlign w:val="bottom"/>
          </w:tcPr>
          <w:p>
            <w:pPr>
              <w:spacing w:after="0"/>
              <w:rPr>
                <w:sz w:val="1"/>
                <w:szCs w:val="1"/>
                <w:color w:val="auto"/>
              </w:rPr>
            </w:pPr>
          </w:p>
        </w:tc>
      </w:tr>
      <w:tr>
        <w:trPr>
          <w:trHeight w:val="264"/>
        </w:trPr>
        <w:tc>
          <w:tcPr>
            <w:tcW w:w="23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Retention Rights</w:t>
            </w:r>
          </w:p>
        </w:tc>
        <w:tc>
          <w:tcPr>
            <w:tcW w:w="8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or advisor of Incyte (or any subsidiary).</w:t>
            </w:r>
          </w:p>
        </w:tc>
        <w:tc>
          <w:tcPr>
            <w:tcW w:w="0" w:type="dxa"/>
            <w:vAlign w:val="bottom"/>
          </w:tcPr>
          <w:p>
            <w:pPr>
              <w:spacing w:after="0"/>
              <w:rPr>
                <w:sz w:val="1"/>
                <w:szCs w:val="1"/>
                <w:color w:val="auto"/>
              </w:rPr>
            </w:pPr>
          </w:p>
        </w:tc>
      </w:tr>
      <w:tr>
        <w:trPr>
          <w:trHeight w:val="213"/>
        </w:trPr>
        <w:tc>
          <w:tcPr>
            <w:tcW w:w="2360" w:type="dxa"/>
            <w:vAlign w:val="bottom"/>
            <w:vMerge w:val="continue"/>
          </w:tcPr>
          <w:p>
            <w:pPr>
              <w:spacing w:after="0"/>
              <w:rPr>
                <w:sz w:val="18"/>
                <w:szCs w:val="18"/>
                <w:color w:val="auto"/>
              </w:rPr>
            </w:pPr>
          </w:p>
        </w:tc>
        <w:tc>
          <w:tcPr>
            <w:tcW w:w="8140" w:type="dxa"/>
            <w:vAlign w:val="bottom"/>
          </w:tcPr>
          <w:p>
            <w:pPr>
              <w:ind w:left="840"/>
              <w:spacing w:after="0" w:line="213" w:lineRule="exact"/>
              <w:rPr>
                <w:sz w:val="20"/>
                <w:szCs w:val="20"/>
                <w:color w:val="auto"/>
              </w:rPr>
            </w:pPr>
            <w:r>
              <w:rPr>
                <w:rFonts w:ascii="Times New Roman" w:cs="Times New Roman" w:eastAsia="Times New Roman" w:hAnsi="Times New Roman"/>
                <w:sz w:val="21"/>
                <w:szCs w:val="21"/>
                <w:color w:val="auto"/>
              </w:rPr>
              <w:t>Neither your award nor this Agreement gives you the right to be retained by Incyte</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8140" w:type="dxa"/>
            <w:vAlign w:val="bottom"/>
          </w:tcPr>
          <w:p>
            <w:pPr>
              <w:ind w:left="200"/>
              <w:spacing w:after="0" w:line="212" w:lineRule="exact"/>
              <w:rPr>
                <w:sz w:val="20"/>
                <w:szCs w:val="20"/>
                <w:color w:val="auto"/>
              </w:rPr>
            </w:pPr>
            <w:r>
              <w:rPr>
                <w:rFonts w:ascii="Times New Roman" w:cs="Times New Roman" w:eastAsia="Times New Roman" w:hAnsi="Times New Roman"/>
                <w:sz w:val="21"/>
                <w:szCs w:val="21"/>
                <w:color w:val="auto"/>
              </w:rPr>
              <w:t>(or any subsidiary) in any capacity. Incyte (and any subsidiaries) reserve the right to</w:t>
            </w:r>
          </w:p>
        </w:tc>
        <w:tc>
          <w:tcPr>
            <w:tcW w:w="0" w:type="dxa"/>
            <w:vAlign w:val="bottom"/>
          </w:tcPr>
          <w:p>
            <w:pPr>
              <w:spacing w:after="0"/>
              <w:rPr>
                <w:sz w:val="1"/>
                <w:szCs w:val="1"/>
                <w:color w:val="auto"/>
              </w:rPr>
            </w:pPr>
          </w:p>
        </w:tc>
      </w:tr>
      <w:tr>
        <w:trPr>
          <w:trHeight w:val="277"/>
        </w:trPr>
        <w:tc>
          <w:tcPr>
            <w:tcW w:w="2360" w:type="dxa"/>
            <w:vAlign w:val="bottom"/>
          </w:tcPr>
          <w:p>
            <w:pPr>
              <w:spacing w:after="0"/>
              <w:rPr>
                <w:sz w:val="24"/>
                <w:szCs w:val="24"/>
                <w:color w:val="auto"/>
              </w:rPr>
            </w:pPr>
          </w:p>
        </w:tc>
        <w:tc>
          <w:tcPr>
            <w:tcW w:w="8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terminate your service at any time, with or without cause.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color w:val="auto"/>
        </w:rPr>
        <w:t>-3-</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0540"/>
          </w:cols>
          <w:pgMar w:left="1020" w:top="27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1"/>
        </w:trPr>
        <w:tc>
          <w:tcPr>
            <w:tcW w:w="304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Adjustments</w:t>
            </w:r>
          </w:p>
        </w:tc>
        <w:tc>
          <w:tcPr>
            <w:tcW w:w="808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In the event of a stock split, a stock dividend or a similar change in Incyte common</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Recovery and</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stock, the number of your units covered by this award may be adjusted pursuant to the Plan.</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Incyte shall have the right to recover, or receive reimbursement for, any compensation</w:t>
            </w:r>
          </w:p>
        </w:tc>
        <w:tc>
          <w:tcPr>
            <w:tcW w:w="0" w:type="dxa"/>
            <w:vAlign w:val="bottom"/>
          </w:tcPr>
          <w:p>
            <w:pPr>
              <w:spacing w:after="0"/>
              <w:rPr>
                <w:sz w:val="1"/>
                <w:szCs w:val="1"/>
                <w:color w:val="auto"/>
              </w:rPr>
            </w:pPr>
          </w:p>
        </w:tc>
      </w:tr>
      <w:tr>
        <w:trPr>
          <w:trHeight w:val="212"/>
        </w:trPr>
        <w:tc>
          <w:tcPr>
            <w:tcW w:w="3040" w:type="dxa"/>
            <w:vAlign w:val="bottom"/>
          </w:tcPr>
          <w:p>
            <w:pPr>
              <w:spacing w:after="0" w:line="212" w:lineRule="exact"/>
              <w:rPr>
                <w:sz w:val="20"/>
                <w:szCs w:val="20"/>
                <w:color w:val="auto"/>
              </w:rPr>
            </w:pPr>
            <w:r>
              <w:rPr>
                <w:rFonts w:ascii="Times New Roman" w:cs="Times New Roman" w:eastAsia="Times New Roman" w:hAnsi="Times New Roman"/>
                <w:sz w:val="21"/>
                <w:szCs w:val="21"/>
                <w:b w:val="1"/>
                <w:bCs w:val="1"/>
                <w:color w:val="auto"/>
              </w:rPr>
              <w:t>Reimbursement of Gain</w:t>
            </w: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or profit realized by the issuance or settlement of units under this Agreement, or by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disposition of any shares issued upon settlement of the units, to the extent Incyte has such a</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Compliance with Section</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right of recovery or reimbursement under applicable securities laws.</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Incyte intends that the vesting and settlement of the units awarded under this</w:t>
            </w:r>
          </w:p>
        </w:tc>
        <w:tc>
          <w:tcPr>
            <w:tcW w:w="0" w:type="dxa"/>
            <w:vAlign w:val="bottom"/>
          </w:tcPr>
          <w:p>
            <w:pPr>
              <w:spacing w:after="0"/>
              <w:rPr>
                <w:sz w:val="1"/>
                <w:szCs w:val="1"/>
                <w:color w:val="auto"/>
              </w:rPr>
            </w:pPr>
          </w:p>
        </w:tc>
      </w:tr>
      <w:tr>
        <w:trPr>
          <w:trHeight w:val="212"/>
        </w:trPr>
        <w:tc>
          <w:tcPr>
            <w:tcW w:w="3040" w:type="dxa"/>
            <w:vAlign w:val="bottom"/>
          </w:tcPr>
          <w:p>
            <w:pPr>
              <w:spacing w:after="0" w:line="212" w:lineRule="exact"/>
              <w:rPr>
                <w:sz w:val="20"/>
                <w:szCs w:val="20"/>
                <w:color w:val="auto"/>
              </w:rPr>
            </w:pPr>
            <w:r>
              <w:rPr>
                <w:rFonts w:ascii="Times New Roman" w:cs="Times New Roman" w:eastAsia="Times New Roman" w:hAnsi="Times New Roman"/>
                <w:sz w:val="21"/>
                <w:szCs w:val="21"/>
                <w:b w:val="1"/>
                <w:bCs w:val="1"/>
                <w:color w:val="auto"/>
              </w:rPr>
              <w:t>409A of the Code</w:t>
            </w: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Agreement will qualify for an exemption from the application of, or will otherwise comply</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with, Section 409A of the U.S. Internal Revenue Code. Incyte reserves the right, to the extent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it deems necessary or advisable, to amend this Agreement without your consent in order to</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maintain such qualification for exemption or compliance. By reserving this right, however,</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Incyte is not guarantying that Section 409A will never apply to the vesting and/or settlement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of the units, or that the requirements of Section 409A will be complied 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1160"/>
          </w:cols>
          <w:pgMar w:left="400" w:top="1395" w:right="339" w:bottom="1440" w:gutter="0" w:footer="0" w:header="0"/>
        </w:sectPr>
      </w:pPr>
    </w:p>
    <w:bookmarkStart w:id="105" w:name="page106"/>
    <w:bookmarkEnd w:id="105"/>
    <w:p>
      <w:pPr>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Jurisdiction-Specific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21"/>
          <w:szCs w:val="21"/>
          <w:color w:val="auto"/>
        </w:rPr>
        <w:t>Additional or different terms and conditions and/or information with respect to this award may be included in an appendix to this Agreement. The appendices constitute part of this Agreement.</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This award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award and require you to sign additional agreements or undertakings that Incyte determines may be necessary or advisable for legal or administrative reasons to accomplish the grant of this award or the issuance of the securities issuable upon settlement of this award.</w:t>
      </w:r>
    </w:p>
    <w:p>
      <w:pPr>
        <w:spacing w:after="0" w:line="173" w:lineRule="exact"/>
        <w:rPr>
          <w:sz w:val="20"/>
          <w:szCs w:val="20"/>
          <w:color w:val="auto"/>
        </w:rPr>
      </w:pPr>
    </w:p>
    <w:p>
      <w:pPr>
        <w:ind w:right="500"/>
        <w:spacing w:after="0" w:line="285" w:lineRule="auto"/>
        <w:rPr>
          <w:sz w:val="20"/>
          <w:szCs w:val="20"/>
          <w:color w:val="auto"/>
        </w:rPr>
      </w:pPr>
      <w:r>
        <w:rPr>
          <w:rFonts w:ascii="Times New Roman" w:cs="Times New Roman" w:eastAsia="Times New Roman" w:hAnsi="Times New Roman"/>
          <w:sz w:val="21"/>
          <w:szCs w:val="21"/>
          <w:color w:val="auto"/>
        </w:rPr>
        <w:t>Information regarding the use of personal data in connection with the Plan is set forth in Appendix B to this Agreement (“Appendix B”).</w:t>
      </w:r>
    </w:p>
    <w:p>
      <w:pPr>
        <w:spacing w:after="0" w:line="182" w:lineRule="exact"/>
        <w:rPr>
          <w:sz w:val="20"/>
          <w:szCs w:val="20"/>
          <w:color w:val="auto"/>
        </w:rPr>
      </w:pPr>
    </w:p>
    <w:p>
      <w:pPr>
        <w:ind w:right="660" w:firstLine="636"/>
        <w:spacing w:after="0" w:line="245" w:lineRule="auto"/>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(without regard to its choice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2">
            <w:col w:w="2480" w:space="700"/>
            <w:col w:w="7980"/>
          </w:cols>
          <w:pgMar w:left="400" w:top="1420" w:right="339" w:bottom="1440" w:gutter="0" w:footer="0" w:header="0"/>
        </w:sectPr>
      </w:pPr>
    </w:p>
    <w:bookmarkStart w:id="106" w:name="page107"/>
    <w:bookmarkEnd w:id="106"/>
    <w:p>
      <w:pPr>
        <w:ind w:left="620"/>
        <w:spacing w:after="0"/>
        <w:tabs>
          <w:tab w:leader="none" w:pos="3160" w:val="left"/>
        </w:tabs>
        <w:rPr>
          <w:sz w:val="20"/>
          <w:szCs w:val="20"/>
          <w:color w:val="auto"/>
        </w:rPr>
      </w:pPr>
      <w:r>
        <w:rPr>
          <w:rFonts w:ascii="Times New Roman" w:cs="Times New Roman" w:eastAsia="Times New Roman" w:hAnsi="Times New Roman"/>
          <w:sz w:val="21"/>
          <w:szCs w:val="21"/>
          <w:b w:val="1"/>
          <w:bCs w:val="1"/>
          <w:color w:val="auto"/>
        </w:rPr>
        <w:t>Venue</w:t>
      </w:r>
      <w:r>
        <w:rPr>
          <w:sz w:val="20"/>
          <w:szCs w:val="20"/>
          <w:color w:val="auto"/>
        </w:rPr>
        <w:tab/>
      </w:r>
      <w:r>
        <w:rPr>
          <w:rFonts w:ascii="Times New Roman" w:cs="Times New Roman" w:eastAsia="Times New Roman" w:hAnsi="Times New Roman"/>
          <w:sz w:val="21"/>
          <w:szCs w:val="21"/>
          <w:color w:val="auto"/>
        </w:rPr>
        <w:t>Any and all disputes relating to, concerning or arising from this Agreement, or relating to,</w:t>
      </w:r>
    </w:p>
    <w:p>
      <w:pPr>
        <w:spacing w:after="0" w:line="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concerning or arising from the relationship between you and Incyte evidenced by this award</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or this Agreement, shall be brought and heard exclusively in the United States District Court</w:t>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for the District of Delaware or the Delaware Superior Court, New Castle County. You hereby</w:t>
      </w:r>
    </w:p>
    <w:p>
      <w:pPr>
        <w:spacing w:after="0" w:line="2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represent and agree that you are subject to the personal jurisdiction of said courts,</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irrevocably consent to the jurisdiction of such courts in any legal or equitable proceedings</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related to, concerning or arising from such dispute, and waive, to the fullest extent permitted</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law, any objection which you may now or hereafter have that the laying of the venue of</w:t>
      </w:r>
    </w:p>
    <w:p>
      <w:pPr>
        <w:spacing w:after="0" w:line="1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any legal or equitable proceedings related to, concerning or arising from such dispute which</w:t>
      </w:r>
    </w:p>
    <w:p>
      <w:pPr>
        <w:spacing w:after="0" w:line="22" w:lineRule="exact"/>
        <w:rPr>
          <w:sz w:val="20"/>
          <w:szCs w:val="20"/>
          <w:color w:val="auto"/>
        </w:rPr>
      </w:pPr>
    </w:p>
    <w:p>
      <w:pPr>
        <w:ind w:left="3180" w:right="660"/>
        <w:spacing w:after="0" w:line="261" w:lineRule="auto"/>
        <w:rPr>
          <w:sz w:val="20"/>
          <w:szCs w:val="20"/>
          <w:color w:val="auto"/>
        </w:rPr>
      </w:pPr>
      <w:r>
        <w:rPr>
          <w:rFonts w:ascii="Times New Roman" w:cs="Times New Roman" w:eastAsia="Times New Roman" w:hAnsi="Times New Roman"/>
          <w:sz w:val="21"/>
          <w:szCs w:val="21"/>
          <w:color w:val="auto"/>
        </w:rPr>
        <w:t>is brought in such courts is improper or that such proceedings have been brought in an inconvenient forum.</w:t>
      </w:r>
    </w:p>
    <w:p>
      <w:pPr>
        <w:sectPr>
          <w:pgSz w:w="11900" w:h="16838" w:orient="portrait"/>
          <w:cols w:equalWidth="0" w:num="1">
            <w:col w:w="11160"/>
          </w:cols>
          <w:pgMar w:left="400" w:top="1420" w:right="339" w:bottom="1440" w:gutter="0" w:footer="0" w:header="0"/>
        </w:sectPr>
      </w:pPr>
    </w:p>
    <w:p>
      <w:pPr>
        <w:spacing w:after="0" w:line="189"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The text of the Incyte Corporation Amended and Restated 2010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6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This Agreement, the award notice and the Plan constitute the entire understanding between you and Incyte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(which may be electronic) entered into between you and Incyte.</w:t>
      </w:r>
    </w:p>
    <w:p>
      <w:pPr>
        <w:spacing w:after="0" w:line="200" w:lineRule="exact"/>
        <w:rPr>
          <w:sz w:val="20"/>
          <w:szCs w:val="20"/>
          <w:color w:val="auto"/>
        </w:rPr>
      </w:pPr>
    </w:p>
    <w:p>
      <w:pPr>
        <w:sectPr>
          <w:pgSz w:w="11900" w:h="16838" w:orient="portrait"/>
          <w:cols w:equalWidth="0" w:num="2">
            <w:col w:w="2460" w:space="720"/>
            <w:col w:w="7980"/>
          </w:cols>
          <w:pgMar w:left="400" w:top="1420" w:right="339" w:bottom="1440" w:gutter="0" w:footer="0" w:header="0"/>
          <w:type w:val="continuous"/>
        </w:sectPr>
      </w:pPr>
    </w:p>
    <w:p>
      <w:pPr>
        <w:spacing w:after="0" w:line="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i w:val="1"/>
          <w:iCs w:val="1"/>
          <w:color w:val="auto"/>
        </w:rPr>
        <w:t>By accepting the award notice, you agree to all of the terms and conditions</w:t>
      </w:r>
    </w:p>
    <w:p>
      <w:pPr>
        <w:spacing w:after="0" w:line="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i w:val="1"/>
          <w:iCs w:val="1"/>
          <w:color w:val="auto"/>
        </w:rPr>
        <w:t>described in the Agreement (including any appendix)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4876-0437-4996.v1</w:t>
      </w:r>
    </w:p>
    <w:p>
      <w:pPr>
        <w:sectPr>
          <w:pgSz w:w="11900" w:h="16838" w:orient="portrait"/>
          <w:cols w:equalWidth="0" w:num="1">
            <w:col w:w="11160"/>
          </w:cols>
          <w:pgMar w:left="400" w:top="1420" w:right="339" w:bottom="1440" w:gutter="0" w:footer="0" w:header="0"/>
          <w:type w:val="continuous"/>
        </w:sectPr>
      </w:pPr>
    </w:p>
    <w:bookmarkStart w:id="107" w:name="page108"/>
    <w:bookmarkEnd w:id="107"/>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1064895</wp:posOffset>
            </wp:positionV>
            <wp:extent cx="7134860" cy="33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2"/>
        </w:trPr>
        <w:tc>
          <w:tcPr>
            <w:tcW w:w="4940" w:type="dxa"/>
            <w:vAlign w:val="bottom"/>
          </w:tcPr>
          <w:p>
            <w:pPr>
              <w:spacing w:after="0"/>
              <w:rPr>
                <w:sz w:val="21"/>
                <w:szCs w:val="21"/>
                <w:color w:val="auto"/>
              </w:rPr>
            </w:pPr>
          </w:p>
        </w:tc>
        <w:tc>
          <w:tcPr>
            <w:tcW w:w="6300" w:type="dxa"/>
            <w:vAlign w:val="bottom"/>
            <w:gridSpan w:val="2"/>
          </w:tcPr>
          <w:p>
            <w:pPr>
              <w:ind w:left="220"/>
              <w:spacing w:after="0"/>
              <w:rPr>
                <w:sz w:val="20"/>
                <w:szCs w:val="20"/>
                <w:color w:val="auto"/>
              </w:rPr>
            </w:pPr>
            <w:r>
              <w:rPr>
                <w:rFonts w:ascii="Arial" w:cs="Arial" w:eastAsia="Arial" w:hAnsi="Arial"/>
                <w:sz w:val="21"/>
                <w:szCs w:val="21"/>
                <w:b w:val="1"/>
                <w:bCs w:val="1"/>
                <w:color w:val="auto"/>
              </w:rPr>
              <w:t>Incyte Corporation</w:t>
            </w:r>
          </w:p>
        </w:tc>
      </w:tr>
      <w:tr>
        <w:trPr>
          <w:trHeight w:val="252"/>
        </w:trPr>
        <w:tc>
          <w:tcPr>
            <w:tcW w:w="4940" w:type="dxa"/>
            <w:vAlign w:val="bottom"/>
          </w:tcPr>
          <w:p>
            <w:pPr>
              <w:ind w:left="260"/>
              <w:spacing w:after="0"/>
              <w:rPr>
                <w:sz w:val="20"/>
                <w:szCs w:val="20"/>
                <w:color w:val="auto"/>
              </w:rPr>
            </w:pPr>
            <w:r>
              <w:rPr>
                <w:rFonts w:ascii="Arial" w:cs="Arial" w:eastAsia="Arial" w:hAnsi="Arial"/>
                <w:sz w:val="21"/>
                <w:szCs w:val="21"/>
                <w:b w:val="1"/>
                <w:bCs w:val="1"/>
                <w:color w:val="auto"/>
              </w:rPr>
              <w:t>Notice of Grant of Stock Options and Option</w:t>
            </w:r>
          </w:p>
        </w:tc>
        <w:tc>
          <w:tcPr>
            <w:tcW w:w="980" w:type="dxa"/>
            <w:vAlign w:val="bottom"/>
          </w:tcPr>
          <w:p>
            <w:pPr>
              <w:ind w:left="220"/>
              <w:spacing w:after="0"/>
              <w:rPr>
                <w:sz w:val="20"/>
                <w:szCs w:val="20"/>
                <w:color w:val="auto"/>
              </w:rPr>
            </w:pPr>
            <w:r>
              <w:rPr>
                <w:rFonts w:ascii="Arial" w:cs="Arial" w:eastAsia="Arial" w:hAnsi="Arial"/>
                <w:sz w:val="21"/>
                <w:szCs w:val="21"/>
                <w:b w:val="1"/>
                <w:bCs w:val="1"/>
                <w:color w:val="auto"/>
              </w:rPr>
              <w:t>ID: [</w:t>
            </w:r>
          </w:p>
        </w:tc>
        <w:tc>
          <w:tcPr>
            <w:tcW w:w="5320" w:type="dxa"/>
            <w:vAlign w:val="bottom"/>
          </w:tcPr>
          <w:p>
            <w:pPr>
              <w:jc w:val="right"/>
              <w:ind w:right="4794"/>
              <w:spacing w:after="0"/>
              <w:rPr>
                <w:sz w:val="20"/>
                <w:szCs w:val="20"/>
                <w:color w:val="auto"/>
              </w:rPr>
            </w:pPr>
            <w:r>
              <w:rPr>
                <w:rFonts w:ascii="Arial" w:cs="Arial" w:eastAsia="Arial" w:hAnsi="Arial"/>
                <w:sz w:val="21"/>
                <w:szCs w:val="21"/>
                <w:b w:val="1"/>
                <w:bCs w:val="1"/>
                <w:color w:val="auto"/>
              </w:rPr>
              <w:t>]</w:t>
            </w:r>
          </w:p>
        </w:tc>
      </w:tr>
      <w:tr>
        <w:trPr>
          <w:trHeight w:val="214"/>
        </w:trPr>
        <w:tc>
          <w:tcPr>
            <w:tcW w:w="4940" w:type="dxa"/>
            <w:vAlign w:val="bottom"/>
          </w:tcPr>
          <w:p>
            <w:pPr>
              <w:ind w:left="260"/>
              <w:spacing w:after="0" w:line="214" w:lineRule="exact"/>
              <w:rPr>
                <w:sz w:val="20"/>
                <w:szCs w:val="20"/>
                <w:color w:val="auto"/>
              </w:rPr>
            </w:pPr>
            <w:r>
              <w:rPr>
                <w:rFonts w:ascii="Arial" w:cs="Arial" w:eastAsia="Arial" w:hAnsi="Arial"/>
                <w:sz w:val="21"/>
                <w:szCs w:val="21"/>
                <w:b w:val="1"/>
                <w:bCs w:val="1"/>
                <w:color w:val="auto"/>
              </w:rPr>
              <w:t>Agreement</w:t>
            </w:r>
          </w:p>
        </w:tc>
        <w:tc>
          <w:tcPr>
            <w:tcW w:w="6300" w:type="dxa"/>
            <w:vAlign w:val="bottom"/>
            <w:gridSpan w:val="2"/>
          </w:tcPr>
          <w:p>
            <w:pPr>
              <w:ind w:left="220"/>
              <w:spacing w:after="0"/>
              <w:rPr>
                <w:sz w:val="20"/>
                <w:szCs w:val="20"/>
                <w:color w:val="auto"/>
              </w:rPr>
            </w:pPr>
            <w:r>
              <w:rPr>
                <w:rFonts w:ascii="Arial" w:cs="Arial" w:eastAsia="Arial" w:hAnsi="Arial"/>
                <w:sz w:val="16"/>
                <w:szCs w:val="16"/>
                <w:color w:val="auto"/>
              </w:rPr>
              <w:t>1801 Augustine Cut-Off</w:t>
            </w:r>
          </w:p>
        </w:tc>
      </w:tr>
      <w:tr>
        <w:trPr>
          <w:trHeight w:val="245"/>
        </w:trPr>
        <w:tc>
          <w:tcPr>
            <w:tcW w:w="494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Wilmington, DE 19803</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[Optionee Name]</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[Optionee Address]</w:t>
      </w:r>
    </w:p>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Option Number: [ ]</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Plan: Inducement</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ID: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&lt;Date&gt;, you have been granted a Nonstatutory Stock Option Agreement to buy [______] shares of Incyte Corporation (Incyte)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stock at $[______] per share.</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option price of the shares granted is $[_______].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28" w:lineRule="exact"/>
        <w:rPr>
          <w:sz w:val="20"/>
          <w:szCs w:val="20"/>
          <w:color w:val="auto"/>
        </w:rPr>
      </w:pPr>
    </w:p>
    <w:p>
      <w:pPr>
        <w:ind w:left="460"/>
        <w:spacing w:after="0"/>
        <w:tabs>
          <w:tab w:leader="none" w:pos="1400" w:val="left"/>
          <w:tab w:leader="none" w:pos="2560" w:val="left"/>
          <w:tab w:leader="none" w:pos="364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Vest Type</w:t>
      </w:r>
      <w:r>
        <w:rPr>
          <w:sz w:val="20"/>
          <w:szCs w:val="20"/>
          <w:color w:val="auto"/>
        </w:rPr>
        <w:tab/>
      </w:r>
      <w:r>
        <w:rPr>
          <w:rFonts w:ascii="Arial" w:cs="Arial" w:eastAsia="Arial" w:hAnsi="Arial"/>
          <w:sz w:val="18"/>
          <w:szCs w:val="18"/>
          <w:color w:val="auto"/>
        </w:rPr>
        <w:t>Full Vest</w:t>
      </w:r>
      <w:r>
        <w:rPr>
          <w:sz w:val="20"/>
          <w:szCs w:val="20"/>
          <w:color w:val="auto"/>
        </w:rPr>
        <w:tab/>
      </w:r>
      <w:r>
        <w:rPr>
          <w:rFonts w:ascii="Arial" w:cs="Arial" w:eastAsia="Arial" w:hAnsi="Arial"/>
          <w:sz w:val="17"/>
          <w:szCs w:val="17"/>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636270</wp:posOffset>
            </wp:positionV>
            <wp:extent cx="7134860" cy="33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-10795</wp:posOffset>
            </wp:positionV>
            <wp:extent cx="26479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7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right="180"/>
        <w:spacing w:after="0" w:line="260" w:lineRule="auto"/>
        <w:rPr>
          <w:sz w:val="20"/>
          <w:szCs w:val="20"/>
          <w:color w:val="auto"/>
        </w:rPr>
      </w:pPr>
      <w:r>
        <w:rPr>
          <w:rFonts w:ascii="Arial" w:cs="Arial" w:eastAsia="Arial" w:hAnsi="Arial"/>
          <w:sz w:val="18"/>
          <w:szCs w:val="18"/>
          <w:color w:val="auto"/>
        </w:rPr>
        <w:t>You and Incyte agree that these options are granted under and governed by the terms and conditions of Incyte’s 2024 Inducement Stock Incentive Plan and the Stock Option Agreement that can be reviewed by clicking the link provided above. By accepting this Notice, you are agreeing to all of those terms and conditions.</w:t>
      </w:r>
    </w:p>
    <w:p>
      <w:pPr>
        <w:spacing w:after="0" w:line="202" w:lineRule="exact"/>
        <w:rPr>
          <w:sz w:val="20"/>
          <w:szCs w:val="20"/>
          <w:color w:val="auto"/>
        </w:rPr>
      </w:pPr>
    </w:p>
    <w:p>
      <w:pPr>
        <w:ind w:left="260" w:right="720"/>
        <w:spacing w:after="0" w:line="260" w:lineRule="auto"/>
        <w:rPr>
          <w:sz w:val="20"/>
          <w:szCs w:val="20"/>
          <w:color w:val="auto"/>
        </w:rPr>
      </w:pPr>
      <w:r>
        <w:rPr>
          <w:rFonts w:ascii="Arial" w:cs="Arial" w:eastAsia="Arial" w:hAnsi="Arial"/>
          <w:sz w:val="18"/>
          <w:szCs w:val="18"/>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202" w:lineRule="exact"/>
        <w:rPr>
          <w:sz w:val="20"/>
          <w:szCs w:val="20"/>
          <w:color w:val="auto"/>
        </w:rPr>
      </w:pPr>
    </w:p>
    <w:p>
      <w:pPr>
        <w:ind w:left="260" w:right="160"/>
        <w:spacing w:after="0" w:line="282" w:lineRule="auto"/>
        <w:rPr>
          <w:sz w:val="20"/>
          <w:szCs w:val="20"/>
          <w:color w:val="auto"/>
        </w:rPr>
      </w:pPr>
      <w:r>
        <w:rPr>
          <w:rFonts w:ascii="Arial" w:cs="Arial" w:eastAsia="Arial" w:hAnsi="Arial"/>
          <w:sz w:val="17"/>
          <w:szCs w:val="17"/>
          <w:color w:val="auto"/>
        </w:rPr>
        <w:t>These options are granted in connection with your offer of employment with Incyte and are intended to qualify as an “inducement” grant under Nasdaq Listing Rule 5635(c)(4), which provides an exception from the stockholder approval requirements otherwise applicable to equity compensation arrangements. The Plan and the Agreement will be interpreted in accordance with and consistent with that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- 1 -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2024 INDUCEMENT STOCK INCENTIVE PLAN: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U.S. NONSTATUTORY STOCK OPTION AGREEMENT</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FOR EXECUTIVE OFFICERS</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Nonstatutory Stock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1"/>
          <w:szCs w:val="21"/>
          <w:color w:val="auto"/>
        </w:rPr>
        <w:t>This option is not intended to be an incentive stock option under section 422 of the Internal Revenue Code.</w:t>
      </w:r>
    </w:p>
    <w:p>
      <w:pPr>
        <w:spacing w:after="0" w:line="1" w:lineRule="exact"/>
        <w:rPr>
          <w:sz w:val="20"/>
          <w:szCs w:val="20"/>
          <w:color w:val="auto"/>
        </w:rPr>
      </w:pPr>
    </w:p>
    <w:p>
      <w:pPr>
        <w:sectPr>
          <w:pgSz w:w="11900" w:h="16838" w:orient="portrait"/>
          <w:cols w:equalWidth="0" w:num="2">
            <w:col w:w="2440" w:space="36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20" w:lineRule="exact"/>
        <w:rPr>
          <w:sz w:val="20"/>
          <w:szCs w:val="20"/>
          <w:color w:val="auto"/>
        </w:rPr>
      </w:pPr>
      <w:r>
        <w:rPr>
          <w:sz w:val="20"/>
          <w:szCs w:val="20"/>
          <w:color w:val="auto"/>
        </w:rPr>
        <w:br w:type="column"/>
      </w:r>
    </w:p>
    <w:p>
      <w:pPr>
        <w:jc w:val="both"/>
        <w:ind w:right="60"/>
        <w:spacing w:after="0" w:line="256" w:lineRule="auto"/>
        <w:rPr>
          <w:sz w:val="20"/>
          <w:szCs w:val="20"/>
          <w:color w:val="auto"/>
        </w:rPr>
      </w:pPr>
      <w:r>
        <w:rPr>
          <w:rFonts w:ascii="Times New Roman" w:cs="Times New Roman" w:eastAsia="Times New Roman" w:hAnsi="Times New Roman"/>
          <w:sz w:val="21"/>
          <w:szCs w:val="21"/>
          <w:color w:val="auto"/>
        </w:rPr>
        <w:t>Your right to exercise this option vests in 37 installments over a 4-year period, as shown on the Notice of Grant of Stock Options (the “grant notice”). The first installment consists of 25% of the total number of shares covered by this option. It becomes exercisable on the “full vest” date shown on the grant notice. Each of the subsequent installments consists of 2.08333% of the total number of shares covered by this option. The subsequent installments become exercisable at the end of each of the 36 months following the full vest date of the first installment. The number of shares in each installment will be rounded to the nearest whole number. No additional shares subject to this option will vest after your service as an employee, director, consultant or advisor of Incyte (or any subsidiary) has terminated for any reason, except in the event of your full retirement or as provided below under “Change in Control,” or in your offer letter or employment agreement with Incyte.</w:t>
      </w:r>
    </w:p>
    <w:p>
      <w:pPr>
        <w:spacing w:after="0" w:line="174"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jc w:val="both"/>
        <w:ind w:left="2800" w:right="80"/>
        <w:spacing w:after="0" w:line="258" w:lineRule="auto"/>
        <w:rPr>
          <w:sz w:val="20"/>
          <w:szCs w:val="20"/>
          <w:color w:val="auto"/>
        </w:rPr>
      </w:pPr>
      <w:r>
        <w:rPr>
          <w:rFonts w:ascii="Times New Roman" w:cs="Times New Roman" w:eastAsia="Times New Roman" w:hAnsi="Times New Roman"/>
          <w:sz w:val="21"/>
          <w:szCs w:val="21"/>
          <w:color w:val="auto"/>
        </w:rPr>
        <w:t>In the event of your full retirement, this option will continue to vest after your retirement in accordance with the vesting schedule set forth in this Agreement and the grant notice, provided your date of retirement is at least one year after the date of grant. If your date of retirement is less than one year after the date of grant, this option will be forfeited in its entirety. For this purpose, “full retirement” means your termination of service as an employee of Incyte (or any subsidiary) on or after the date you have attained age 65 and performed at least 10 years of service as an employee of Incyte (or any subsidiary).</w:t>
      </w:r>
    </w:p>
    <w:p>
      <w:pPr>
        <w:sectPr>
          <w:pgSz w:w="11900" w:h="16838" w:orient="portrait"/>
          <w:cols w:equalWidth="0" w:num="1">
            <w:col w:w="11160"/>
          </w:cols>
          <w:pgMar w:left="400" w:top="1440" w:right="3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Your option will expire in any event at the close of business at Incyte headquarters on the day before the 10th anniversary of the Date of Grant, as shown on the grant notice. (It will expire earlier if your service terminates, as described below.)</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- 2 -</w:t>
      </w:r>
    </w:p>
    <w:p>
      <w:pPr>
        <w:spacing w:after="0" w:line="254"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09" w:name="page110"/>
    <w:bookmarkEnd w:id="109"/>
    <w:p>
      <w:pPr>
        <w:spacing w:after="0" w:line="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1"/>
          <w:szCs w:val="21"/>
          <w:b w:val="1"/>
          <w:bCs w:val="1"/>
          <w:color w:val="auto"/>
        </w:rPr>
        <w:t>Regular Termination or</w:t>
      </w:r>
      <w:r>
        <w:rPr>
          <w:sz w:val="20"/>
          <w:szCs w:val="20"/>
          <w:color w:val="auto"/>
        </w:rPr>
        <w:tab/>
      </w:r>
      <w:r>
        <w:rPr>
          <w:rFonts w:ascii="Times New Roman" w:cs="Times New Roman" w:eastAsia="Times New Roman" w:hAnsi="Times New Roman"/>
          <w:sz w:val="21"/>
          <w:szCs w:val="21"/>
          <w:color w:val="auto"/>
        </w:rPr>
        <w:t>If your service as an executive officer or director of Incyte terminates for any reason other than</w:t>
      </w:r>
    </w:p>
    <w:p>
      <w:pPr>
        <w:spacing w:after="0" w:line="38" w:lineRule="exact"/>
        <w:rPr>
          <w:sz w:val="20"/>
          <w:szCs w:val="20"/>
          <w:color w:val="auto"/>
        </w:rPr>
      </w:pPr>
    </w:p>
    <w:p>
      <w:pPr>
        <w:ind w:left="2800" w:right="60" w:hanging="2799"/>
        <w:spacing w:after="0" w:line="261" w:lineRule="auto"/>
        <w:tabs>
          <w:tab w:leader="none" w:pos="2780" w:val="left"/>
        </w:tabs>
        <w:rPr>
          <w:sz w:val="20"/>
          <w:szCs w:val="20"/>
          <w:color w:val="auto"/>
        </w:rPr>
      </w:pPr>
      <w:r>
        <w:rPr>
          <w:rFonts w:ascii="Times New Roman" w:cs="Times New Roman" w:eastAsia="Times New Roman" w:hAnsi="Times New Roman"/>
          <w:sz w:val="21"/>
          <w:szCs w:val="21"/>
          <w:b w:val="1"/>
          <w:bCs w:val="1"/>
          <w:color w:val="auto"/>
        </w:rPr>
        <w:t>Disability</w:t>
      </w:r>
      <w:r>
        <w:rPr>
          <w:sz w:val="20"/>
          <w:szCs w:val="20"/>
          <w:color w:val="auto"/>
        </w:rPr>
        <w:tab/>
      </w:r>
      <w:r>
        <w:rPr>
          <w:rFonts w:ascii="Times New Roman" w:cs="Times New Roman" w:eastAsia="Times New Roman" w:hAnsi="Times New Roman"/>
          <w:sz w:val="21"/>
          <w:szCs w:val="21"/>
          <w:color w:val="auto"/>
        </w:rPr>
        <w:t>death, your option will expire at the close of business at Incyte headquarters on whichever of the following dates applies to you:</w:t>
      </w:r>
    </w:p>
    <w:p>
      <w:pPr>
        <w:spacing w:after="0" w:line="74" w:lineRule="exact"/>
        <w:rPr>
          <w:sz w:val="20"/>
          <w:szCs w:val="20"/>
          <w:color w:val="auto"/>
        </w:rPr>
      </w:pPr>
    </w:p>
    <w:p>
      <w:pPr>
        <w:ind w:left="3440" w:right="60" w:hanging="321"/>
        <w:spacing w:after="0" w:line="285" w:lineRule="auto"/>
        <w:tabs>
          <w:tab w:leader="none" w:pos="34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 months after your service terminates, if the termination occurs because of your total and permanent disability (as defined below);</w:t>
      </w:r>
    </w:p>
    <w:p>
      <w:pPr>
        <w:spacing w:after="0" w:line="35" w:lineRule="exact"/>
        <w:rPr>
          <w:rFonts w:ascii="Times New Roman" w:cs="Times New Roman" w:eastAsia="Times New Roman" w:hAnsi="Times New Roman"/>
          <w:sz w:val="21"/>
          <w:szCs w:val="21"/>
          <w:color w:val="auto"/>
        </w:rPr>
      </w:pPr>
    </w:p>
    <w:p>
      <w:pPr>
        <w:ind w:left="3440" w:right="60" w:hanging="321"/>
        <w:spacing w:after="0" w:line="285" w:lineRule="auto"/>
        <w:tabs>
          <w:tab w:leader="none" w:pos="34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of this option specified in the grant notice, if the termination occurs because of your full retirement as defined in “Vesting” above; or</w:t>
      </w:r>
    </w:p>
    <w:p>
      <w:pPr>
        <w:spacing w:after="0" w:line="141" w:lineRule="exact"/>
        <w:rPr>
          <w:rFonts w:ascii="Times New Roman" w:cs="Times New Roman" w:eastAsia="Times New Roman" w:hAnsi="Times New Roman"/>
          <w:sz w:val="21"/>
          <w:szCs w:val="21"/>
          <w:color w:val="auto"/>
        </w:rPr>
      </w:pPr>
    </w:p>
    <w:p>
      <w:pPr>
        <w:ind w:left="3440" w:right="80" w:hanging="321"/>
        <w:spacing w:after="0" w:line="298" w:lineRule="auto"/>
        <w:tabs>
          <w:tab w:leader="none" w:pos="34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your service terminates, if the termination occurs because of any reason other than your total and permanent disability, full retirement or death.</w:t>
      </w:r>
    </w:p>
    <w:p>
      <w:pPr>
        <w:spacing w:after="0" w:line="23" w:lineRule="exact"/>
        <w:rPr>
          <w:sz w:val="20"/>
          <w:szCs w:val="20"/>
          <w:color w:val="auto"/>
        </w:rPr>
      </w:pPr>
    </w:p>
    <w:p>
      <w:pPr>
        <w:jc w:val="both"/>
        <w:ind w:left="2800" w:right="60"/>
        <w:spacing w:after="0" w:line="267" w:lineRule="auto"/>
        <w:rPr>
          <w:sz w:val="20"/>
          <w:szCs w:val="20"/>
          <w:color w:val="auto"/>
        </w:rPr>
      </w:pPr>
      <w:r>
        <w:rPr>
          <w:rFonts w:ascii="Times New Roman" w:cs="Times New Roman" w:eastAsia="Times New Roman" w:hAnsi="Times New Roman"/>
          <w:sz w:val="21"/>
          <w:szCs w:val="21"/>
          <w:color w:val="auto"/>
        </w:rPr>
        <w:t>If your service as an employee (other than as an executive officer), consultant or advisor of Incyte (or any subsidiary) terminates for any reason other than death, your option will expire at the close of business at Incyte headquarters on whichever of the following dates applies to you:</w:t>
      </w:r>
    </w:p>
    <w:p>
      <w:pPr>
        <w:spacing w:after="0" w:line="55" w:lineRule="exact"/>
        <w:rPr>
          <w:sz w:val="20"/>
          <w:szCs w:val="20"/>
          <w:color w:val="auto"/>
        </w:rPr>
      </w:pPr>
    </w:p>
    <w:p>
      <w:pPr>
        <w:ind w:left="3440" w:right="60" w:hanging="321"/>
        <w:spacing w:after="0" w:line="285" w:lineRule="auto"/>
        <w:tabs>
          <w:tab w:leader="none" w:pos="34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months after your service terminates, if the termination occurs because of your total and permanent disability (as defined below);</w:t>
      </w:r>
    </w:p>
    <w:p>
      <w:pPr>
        <w:spacing w:after="0" w:line="49" w:lineRule="exact"/>
        <w:rPr>
          <w:rFonts w:ascii="Times New Roman" w:cs="Times New Roman" w:eastAsia="Times New Roman" w:hAnsi="Times New Roman"/>
          <w:sz w:val="21"/>
          <w:szCs w:val="21"/>
          <w:color w:val="auto"/>
        </w:rPr>
      </w:pPr>
    </w:p>
    <w:p>
      <w:pPr>
        <w:ind w:left="3440" w:right="60" w:hanging="321"/>
        <w:spacing w:after="0" w:line="285" w:lineRule="auto"/>
        <w:tabs>
          <w:tab w:leader="none" w:pos="34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of this option specified in the grant notice, if the termination occurs because of your full retirement as defined in “Vesting” above; or</w:t>
      </w:r>
    </w:p>
    <w:p>
      <w:pPr>
        <w:spacing w:after="0" w:line="35" w:lineRule="exact"/>
        <w:rPr>
          <w:rFonts w:ascii="Times New Roman" w:cs="Times New Roman" w:eastAsia="Times New Roman" w:hAnsi="Times New Roman"/>
          <w:sz w:val="21"/>
          <w:szCs w:val="21"/>
          <w:color w:val="auto"/>
        </w:rPr>
      </w:pPr>
    </w:p>
    <w:p>
      <w:pPr>
        <w:ind w:left="3440" w:right="80" w:hanging="321"/>
        <w:spacing w:after="0" w:line="285" w:lineRule="auto"/>
        <w:tabs>
          <w:tab w:leader="none" w:pos="34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your service terminates, if the termination occurs because of any reason other than your total and permanent disability, full retirement or death.</w:t>
      </w:r>
    </w:p>
    <w:p>
      <w:pPr>
        <w:spacing w:after="0" w:line="36" w:lineRule="exact"/>
        <w:rPr>
          <w:sz w:val="20"/>
          <w:szCs w:val="20"/>
          <w:color w:val="auto"/>
        </w:rPr>
      </w:pPr>
    </w:p>
    <w:p>
      <w:pPr>
        <w:jc w:val="both"/>
        <w:ind w:left="2800" w:right="60"/>
        <w:spacing w:after="0" w:line="266" w:lineRule="auto"/>
        <w:rPr>
          <w:sz w:val="20"/>
          <w:szCs w:val="20"/>
          <w:color w:val="auto"/>
        </w:rPr>
      </w:pPr>
      <w:r>
        <w:rPr>
          <w:rFonts w:ascii="Times New Roman" w:cs="Times New Roman" w:eastAsia="Times New Roman" w:hAnsi="Times New Roman"/>
          <w:sz w:val="21"/>
          <w:szCs w:val="21"/>
          <w:color w:val="auto"/>
        </w:rPr>
        <w:t>“Total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188" w:lineRule="exact"/>
        <w:rPr>
          <w:sz w:val="20"/>
          <w:szCs w:val="20"/>
          <w:color w:val="auto"/>
        </w:rPr>
      </w:pPr>
    </w:p>
    <w:p>
      <w:pPr>
        <w:ind w:left="2800" w:right="60"/>
        <w:spacing w:after="0" w:line="285" w:lineRule="auto"/>
        <w:rPr>
          <w:sz w:val="20"/>
          <w:szCs w:val="20"/>
          <w:color w:val="auto"/>
        </w:rPr>
      </w:pPr>
      <w:r>
        <w:rPr>
          <w:rFonts w:ascii="Times New Roman" w:cs="Times New Roman" w:eastAsia="Times New Roman" w:hAnsi="Times New Roman"/>
          <w:sz w:val="21"/>
          <w:szCs w:val="21"/>
          <w:color w:val="auto"/>
        </w:rPr>
        <w:t>Incyte determines when your service terminates for any purpose under this option award and the Plan.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- 3 -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sectPr>
      </w:pPr>
    </w:p>
    <w:bookmarkStart w:id="110" w:name="page111"/>
    <w:bookmarkEnd w:id="110"/>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Death</w:t>
      </w:r>
    </w:p>
    <w:p>
      <w:pPr>
        <w:spacing w:after="0" w:line="20" w:lineRule="exact"/>
        <w:rPr>
          <w:sz w:val="20"/>
          <w:szCs w:val="20"/>
          <w:color w:val="auto"/>
        </w:rPr>
      </w:pPr>
      <w:r>
        <w:rPr>
          <w:sz w:val="20"/>
          <w:szCs w:val="20"/>
          <w:color w:val="auto"/>
        </w:rPr>
        <w:br w:type="column"/>
      </w: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If you die while serving as an executive officer or director of Incyte, then your option will expire at the close of business at Incyte headquarters on the date 24 months after the date of death. During that 24-month period, your estate or heirs may exercise the vested portion of your option.</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spacing w:after="0" w:line="14" w:lineRule="exact"/>
        <w:rPr>
          <w:sz w:val="20"/>
          <w:szCs w:val="20"/>
          <w:color w:val="auto"/>
        </w:rPr>
      </w:pPr>
    </w:p>
    <w:p>
      <w:pPr>
        <w:jc w:val="both"/>
        <w:ind w:left="2800" w:right="60"/>
        <w:spacing w:after="0" w:line="261" w:lineRule="auto"/>
        <w:rPr>
          <w:sz w:val="20"/>
          <w:szCs w:val="20"/>
          <w:color w:val="auto"/>
        </w:rPr>
      </w:pPr>
      <w:r>
        <w:rPr>
          <w:rFonts w:ascii="Times New Roman" w:cs="Times New Roman" w:eastAsia="Times New Roman" w:hAnsi="Times New Roman"/>
          <w:sz w:val="21"/>
          <w:szCs w:val="21"/>
          <w:color w:val="auto"/>
        </w:rPr>
        <w:t>If you die while serving as an employee (other than as an executive officer), consultant or advisor of Incyte (or any subsidiary), then your option will expire at the close of business at Incyte headquarters on the date 6 months after the date of death. During that 6-month period, your estate or heirs may exercise the vested portion of your option.</w:t>
      </w:r>
    </w:p>
    <w:p>
      <w:pPr>
        <w:sectPr>
          <w:pgSz w:w="11900" w:h="16838" w:orient="portrait"/>
          <w:cols w:equalWidth="0" w:num="1">
            <w:col w:w="11160"/>
          </w:cols>
          <w:pgMar w:left="400" w:top="144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21"/>
          <w:szCs w:val="21"/>
          <w:color w:val="auto"/>
        </w:rPr>
        <w:t xml:space="preserve">For purposes of this option,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in any event when the approved leave ends, unless you immediately return to active work.</w:t>
      </w:r>
    </w:p>
    <w:p>
      <w:pPr>
        <w:spacing w:after="0" w:line="166"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ind w:left="2800"/>
        <w:spacing w:after="0"/>
        <w:rPr>
          <w:sz w:val="20"/>
          <w:szCs w:val="20"/>
          <w:color w:val="auto"/>
        </w:rPr>
      </w:pPr>
      <w:r>
        <w:rPr>
          <w:rFonts w:ascii="Times New Roman" w:cs="Times New Roman" w:eastAsia="Times New Roman" w:hAnsi="Times New Roman"/>
          <w:sz w:val="21"/>
          <w:szCs w:val="21"/>
          <w:color w:val="auto"/>
        </w:rPr>
        <w:t>Incyte determines which leaves count for this purpose and the date the approved leave ends.</w:t>
      </w:r>
    </w:p>
    <w:p>
      <w:pPr>
        <w:sectPr>
          <w:pgSz w:w="11900" w:h="16838" w:orient="portrait"/>
          <w:cols w:equalWidth="0" w:num="1">
            <w:col w:w="11160"/>
          </w:cols>
          <w:pgMar w:left="400" w:top="1440"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Incyte will not permit you to exercise this option if the committee designated by the Board of Directors to administer the Plan (the “Committee”) determines, in its sole and absolute discretion, that the issuance of shares at that time could violate any law or regulation.</w:t>
      </w:r>
    </w:p>
    <w:p>
      <w:pPr>
        <w:spacing w:after="0" w:line="12" w:lineRule="exact"/>
        <w:rPr>
          <w:sz w:val="20"/>
          <w:szCs w:val="20"/>
          <w:color w:val="auto"/>
        </w:rPr>
      </w:pPr>
    </w:p>
    <w:p>
      <w:pPr>
        <w:sectPr>
          <w:pgSz w:w="11900" w:h="16838" w:orient="portrait"/>
          <w:cols w:equalWidth="0" w:num="2">
            <w:col w:w="2160" w:space="64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Notice of Exercise</w:t>
      </w:r>
    </w:p>
    <w:p>
      <w:pPr>
        <w:spacing w:after="0" w:line="20" w:lineRule="exact"/>
        <w:rPr>
          <w:sz w:val="20"/>
          <w:szCs w:val="20"/>
          <w:color w:val="auto"/>
        </w:rPr>
      </w:pPr>
      <w:r>
        <w:rPr>
          <w:sz w:val="20"/>
          <w:szCs w:val="20"/>
          <w:color w:val="auto"/>
        </w:rPr>
        <w:br w:type="column"/>
      </w:r>
    </w:p>
    <w:p>
      <w:pPr>
        <w:jc w:val="both"/>
        <w:ind w:right="60"/>
        <w:spacing w:after="0" w:line="257" w:lineRule="auto"/>
        <w:rPr>
          <w:sz w:val="20"/>
          <w:szCs w:val="20"/>
          <w:color w:val="auto"/>
        </w:rPr>
      </w:pPr>
      <w:r>
        <w:rPr>
          <w:rFonts w:ascii="Times New Roman" w:cs="Times New Roman" w:eastAsia="Times New Roman" w:hAnsi="Times New Roman"/>
          <w:sz w:val="21"/>
          <w:szCs w:val="21"/>
          <w:color w:val="auto"/>
        </w:rPr>
        <w:t>When you wish to exercise this option, you must notify Incyte by filing the proper “Notice of Exercise” form at the address given on the form or according to such other exercise procedures established by Incyte at the time of exercise (which may be electronic and may be on the platform of a third-party under contract with Incyte). Your notice must specify how many shares you wish to purchase. Your notice must also specify how your shares should be registered (in your name only or in your and your spouse’s names as community property or as joint tenants with right of survivorship, in jurisdictions where such registrations may be lawful). Incyte will determine whether your proposed registration is valid. If your proposed registration is valid, the notice will be effective when it is received by Incyte.</w:t>
      </w:r>
    </w:p>
    <w:p>
      <w:pPr>
        <w:spacing w:after="0" w:line="177"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ind w:left="2800" w:right="80"/>
        <w:spacing w:after="0" w:line="285" w:lineRule="auto"/>
        <w:rPr>
          <w:sz w:val="20"/>
          <w:szCs w:val="20"/>
          <w:color w:val="auto"/>
        </w:rPr>
      </w:pPr>
      <w:r>
        <w:rPr>
          <w:rFonts w:ascii="Times New Roman" w:cs="Times New Roman" w:eastAsia="Times New Roman" w:hAnsi="Times New Roman"/>
          <w:sz w:val="21"/>
          <w:szCs w:val="21"/>
          <w:color w:val="auto"/>
        </w:rPr>
        <w:t>If someone else wants to exercise this option after your death, that person must prove to Incyte’s satisfaction that he or she is entitled to do so.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- 4 -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1" w:name="page112"/>
    <w:bookmarkEnd w:id="111"/>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Form of Payment</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When you submit your notice of exercise, you must include payment of the option price, as shown in the grant notice, for the shares you are purchasing. Payment may be made in one (or a combination of two or more) of the following forms:</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Your personal check, a cashier’s check or a money order.</w:t>
      </w:r>
    </w:p>
    <w:p>
      <w:pPr>
        <w:spacing w:after="0" w:line="249" w:lineRule="exact"/>
        <w:rPr>
          <w:sz w:val="20"/>
          <w:szCs w:val="20"/>
          <w:color w:val="auto"/>
        </w:rPr>
      </w:pPr>
    </w:p>
    <w:p>
      <w:pPr>
        <w:jc w:val="both"/>
        <w:ind w:left="3180" w:right="60" w:hanging="133"/>
        <w:spacing w:after="0" w:line="259" w:lineRule="auto"/>
        <w:rPr>
          <w:sz w:val="20"/>
          <w:szCs w:val="20"/>
          <w:color w:val="auto"/>
        </w:rPr>
      </w:pPr>
      <w:r>
        <w:rPr>
          <w:rFonts w:ascii="Times New Roman" w:cs="Times New Roman" w:eastAsia="Times New Roman" w:hAnsi="Times New Roman"/>
          <w:sz w:val="21"/>
          <w:szCs w:val="21"/>
          <w:color w:val="auto"/>
        </w:rPr>
        <w:t>Irrevocable directions to a securities broker approved by Incyte to sell your option shares and to deliver all or a portion of the sale proceeds to Incyte in payment of the option price and any Tax-Related Items (as defined below). The balance of the sale proceeds, if any, will be delivered to you. The directions must be given by signing a special “Notice of Exercise” form provided by Incyte (or by following such other procedures established by Incyte at the time of exercise).</w:t>
      </w:r>
    </w:p>
    <w:p>
      <w:pPr>
        <w:spacing w:after="0" w:line="199" w:lineRule="exact"/>
        <w:rPr>
          <w:sz w:val="20"/>
          <w:szCs w:val="20"/>
          <w:color w:val="auto"/>
        </w:rPr>
      </w:pPr>
    </w:p>
    <w:p>
      <w:pPr>
        <w:jc w:val="both"/>
        <w:ind w:left="3180" w:right="60" w:hanging="129"/>
        <w:spacing w:after="0" w:line="267" w:lineRule="auto"/>
        <w:rPr>
          <w:sz w:val="20"/>
          <w:szCs w:val="20"/>
          <w:color w:val="auto"/>
        </w:rPr>
      </w:pPr>
      <w:r>
        <w:rPr>
          <w:rFonts w:ascii="Times New Roman" w:cs="Times New Roman" w:eastAsia="Times New Roman" w:hAnsi="Times New Roman"/>
          <w:sz w:val="21"/>
          <w:szCs w:val="21"/>
          <w:color w:val="auto"/>
        </w:rPr>
        <w:t>Certificates for Incyte stock that you have owned for at least 6 months, along with any forms needed to effect a transfer of the shares to Incyte. The value of the shares, determined as of the effective date of the option exercise, will be applied to the option price.</w:t>
      </w:r>
    </w:p>
    <w:p>
      <w:pPr>
        <w:spacing w:after="0" w:line="188" w:lineRule="exact"/>
        <w:rPr>
          <w:sz w:val="20"/>
          <w:szCs w:val="20"/>
          <w:color w:val="auto"/>
        </w:rPr>
      </w:pPr>
    </w:p>
    <w:p>
      <w:pPr>
        <w:ind w:left="2800" w:right="60"/>
        <w:spacing w:after="0" w:line="298" w:lineRule="auto"/>
        <w:rPr>
          <w:sz w:val="20"/>
          <w:szCs w:val="20"/>
          <w:color w:val="auto"/>
        </w:rPr>
      </w:pPr>
      <w:r>
        <w:rPr>
          <w:rFonts w:ascii="Times New Roman" w:cs="Times New Roman" w:eastAsia="Times New Roman" w:hAnsi="Times New Roman"/>
          <w:sz w:val="21"/>
          <w:szCs w:val="21"/>
          <w:color w:val="auto"/>
        </w:rPr>
        <w:t>A form of payment will not be available if the Committee determines, in its sole and absolute discretion, that such form of payment could violate any law or regulation.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- 5 -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2" w:name="page113"/>
    <w:bookmarkEnd w:id="112"/>
    <w:p>
      <w:pPr>
        <w:spacing w:after="0" w:line="7" w:lineRule="exact"/>
        <w:rPr>
          <w:sz w:val="20"/>
          <w:szCs w:val="20"/>
          <w:color w:val="auto"/>
        </w:rPr>
      </w:pPr>
    </w:p>
    <w:p>
      <w:pPr>
        <w:ind w:left="2660" w:right="200" w:hanging="2808"/>
        <w:spacing w:after="0" w:line="259" w:lineRule="auto"/>
        <w:tabs>
          <w:tab w:leader="none" w:pos="2640" w:val="left"/>
        </w:tabs>
        <w:rPr>
          <w:sz w:val="20"/>
          <w:szCs w:val="20"/>
          <w:color w:val="auto"/>
        </w:rPr>
      </w:pPr>
      <w:r>
        <w:rPr>
          <w:rFonts w:ascii="Times New Roman" w:cs="Times New Roman" w:eastAsia="Times New Roman" w:hAnsi="Times New Roman"/>
          <w:sz w:val="21"/>
          <w:szCs w:val="21"/>
          <w:b w:val="1"/>
          <w:bCs w:val="1"/>
          <w:color w:val="auto"/>
        </w:rPr>
        <w:t>Responsibilities for Taxes</w:t>
      </w:r>
      <w:r>
        <w:rPr>
          <w:sz w:val="20"/>
          <w:szCs w:val="20"/>
          <w:color w:val="auto"/>
        </w:rPr>
        <w:tab/>
      </w:r>
      <w:r>
        <w:rPr>
          <w:rFonts w:ascii="Times New Roman" w:cs="Times New Roman" w:eastAsia="Times New Roman" w:hAnsi="Times New Roman"/>
          <w:sz w:val="21"/>
          <w:szCs w:val="21"/>
          <w:color w:val="auto"/>
        </w:rPr>
        <w:t>Regardless of any action taken by Incyte or, if different, your employer, the ultimate liability for all income tax (including U.S. federal, state, and local taxes and/or non-U.S. taxes), social insurance, payroll tax, fringe benefits tax, payment on account or other tax-related items related to your participation in the Plan and legally applicable to you (the “Tax-Related Items”) is and remains your responsibility and may exceed the amount, if any, withheld by Incyte or your employer.</w:t>
      </w:r>
    </w:p>
    <w:p>
      <w:pPr>
        <w:spacing w:after="0" w:line="176" w:lineRule="exact"/>
        <w:rPr>
          <w:sz w:val="20"/>
          <w:szCs w:val="20"/>
          <w:color w:val="auto"/>
        </w:rPr>
      </w:pPr>
    </w:p>
    <w:p>
      <w:pPr>
        <w:ind w:left="2660" w:right="160"/>
        <w:spacing w:after="0" w:line="266" w:lineRule="auto"/>
        <w:rPr>
          <w:sz w:val="20"/>
          <w:szCs w:val="20"/>
          <w:color w:val="auto"/>
        </w:rPr>
      </w:pPr>
      <w:r>
        <w:rPr>
          <w:rFonts w:ascii="Times New Roman" w:cs="Times New Roman" w:eastAsia="Times New Roman" w:hAnsi="Times New Roman"/>
          <w:sz w:val="21"/>
          <w:szCs w:val="21"/>
          <w:color w:val="auto"/>
        </w:rPr>
        <w:t>Incyte and your employer (i) make no representations or undertakings regarding the treatment of any Tax-Related Items, and (ii) do not commit to and are under no obligation to reduce or eliminate your liability for Tax-Related Items or to structure the terms of this option to achieve any particular tax result.</w:t>
      </w:r>
    </w:p>
    <w:p>
      <w:pPr>
        <w:spacing w:after="0" w:line="162" w:lineRule="exact"/>
        <w:rPr>
          <w:sz w:val="20"/>
          <w:szCs w:val="20"/>
          <w:color w:val="auto"/>
        </w:rPr>
      </w:pPr>
    </w:p>
    <w:p>
      <w:pPr>
        <w:jc w:val="both"/>
        <w:ind w:left="2660" w:right="140"/>
        <w:spacing w:after="0" w:line="267" w:lineRule="auto"/>
        <w:rPr>
          <w:sz w:val="20"/>
          <w:szCs w:val="20"/>
          <w:color w:val="auto"/>
        </w:rPr>
      </w:pPr>
      <w:r>
        <w:rPr>
          <w:rFonts w:ascii="Times New Roman" w:cs="Times New Roman" w:eastAsia="Times New Roman" w:hAnsi="Times New Roman"/>
          <w:sz w:val="21"/>
          <w:szCs w:val="21"/>
          <w:color w:val="auto"/>
        </w:rPr>
        <w:t>If you become subject to taxation in more than one jurisdiction, Incyte and/or your employer (or former employer, as applicable) may be required to withhold or account for Tax-Related Items in more than one jurisdiction.</w:t>
      </w:r>
    </w:p>
    <w:p>
      <w:pPr>
        <w:spacing w:after="0" w:line="161" w:lineRule="exact"/>
        <w:rPr>
          <w:sz w:val="20"/>
          <w:szCs w:val="20"/>
          <w:color w:val="auto"/>
        </w:rPr>
      </w:pPr>
    </w:p>
    <w:p>
      <w:pPr>
        <w:jc w:val="both"/>
        <w:ind w:left="2660" w:right="200"/>
        <w:spacing w:after="0" w:line="266" w:lineRule="auto"/>
        <w:rPr>
          <w:sz w:val="20"/>
          <w:szCs w:val="20"/>
          <w:color w:val="auto"/>
        </w:rPr>
      </w:pPr>
      <w:r>
        <w:rPr>
          <w:rFonts w:ascii="Times New Roman" w:cs="Times New Roman" w:eastAsia="Times New Roman" w:hAnsi="Times New Roman"/>
          <w:sz w:val="21"/>
          <w:szCs w:val="21"/>
          <w:color w:val="auto"/>
        </w:rPr>
        <w:t>Prior to any taxable or tax withholding event, you will make arrangements satisfactory to Incyte and your employer so that Incyte and your employer can fulfill any withholding obligations for Tax-Related Items. Incyte shall not be required to issue any shares or deliver the proceeds of the sale of any shares until such obligations are satisfied.</w:t>
      </w:r>
    </w:p>
    <w:p>
      <w:pPr>
        <w:spacing w:after="0" w:line="188" w:lineRule="exact"/>
        <w:rPr>
          <w:sz w:val="20"/>
          <w:szCs w:val="20"/>
          <w:color w:val="auto"/>
        </w:rPr>
      </w:pPr>
    </w:p>
    <w:p>
      <w:pPr>
        <w:jc w:val="both"/>
        <w:ind w:left="2660" w:right="60"/>
        <w:spacing w:after="0" w:line="274" w:lineRule="auto"/>
        <w:rPr>
          <w:sz w:val="20"/>
          <w:szCs w:val="20"/>
          <w:color w:val="auto"/>
        </w:rPr>
      </w:pPr>
      <w:r>
        <w:rPr>
          <w:rFonts w:ascii="Times New Roman" w:cs="Times New Roman" w:eastAsia="Times New Roman" w:hAnsi="Times New Roman"/>
          <w:sz w:val="21"/>
          <w:szCs w:val="21"/>
          <w:color w:val="auto"/>
        </w:rPr>
        <w:t>In this regard, Incyte and/or your employer, or their respective agents, at their discretion, may fulfill any applicable withholding obligations for Tax-Related Items by one or a combination of the following:</w:t>
      </w:r>
    </w:p>
    <w:p>
      <w:pPr>
        <w:spacing w:after="0" w:line="153" w:lineRule="exact"/>
        <w:rPr>
          <w:sz w:val="20"/>
          <w:szCs w:val="20"/>
          <w:color w:val="auto"/>
        </w:rPr>
      </w:pPr>
    </w:p>
    <w:p>
      <w:pPr>
        <w:ind w:left="3300" w:right="60" w:hanging="639"/>
        <w:spacing w:after="0" w:line="285" w:lineRule="auto"/>
        <w:tabs>
          <w:tab w:leader="none" w:pos="328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amount payable to you by Incyte and/or your employer;</w:t>
      </w:r>
    </w:p>
    <w:p>
      <w:pPr>
        <w:spacing w:after="0" w:line="141" w:lineRule="exact"/>
        <w:rPr>
          <w:rFonts w:ascii="Times New Roman" w:cs="Times New Roman" w:eastAsia="Times New Roman" w:hAnsi="Times New Roman"/>
          <w:sz w:val="21"/>
          <w:szCs w:val="21"/>
          <w:color w:val="auto"/>
        </w:rPr>
      </w:pPr>
    </w:p>
    <w:p>
      <w:pPr>
        <w:jc w:val="both"/>
        <w:ind w:left="3300" w:right="60" w:hanging="639"/>
        <w:spacing w:after="0" w:line="274" w:lineRule="auto"/>
        <w:tabs>
          <w:tab w:leader="none" w:pos="329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acquired upon exercise of this option either through a voluntary sale or through a mandatory sale arranged by Incyte (on your behalf pursuant to this authorization without further consent);</w:t>
      </w:r>
    </w:p>
    <w:p>
      <w:pPr>
        <w:spacing w:after="0" w:line="153" w:lineRule="exact"/>
        <w:rPr>
          <w:rFonts w:ascii="Times New Roman" w:cs="Times New Roman" w:eastAsia="Times New Roman" w:hAnsi="Times New Roman"/>
          <w:sz w:val="21"/>
          <w:szCs w:val="21"/>
          <w:color w:val="auto"/>
        </w:rPr>
      </w:pPr>
    </w:p>
    <w:p>
      <w:pPr>
        <w:ind w:left="3280" w:hanging="619"/>
        <w:spacing w:after="0"/>
        <w:tabs>
          <w:tab w:leader="none" w:pos="32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make a cash payment to Incyte or your employer;</w:t>
      </w:r>
    </w:p>
    <w:p>
      <w:pPr>
        <w:spacing w:after="0" w:line="222" w:lineRule="exact"/>
        <w:rPr>
          <w:rFonts w:ascii="Times New Roman" w:cs="Times New Roman" w:eastAsia="Times New Roman" w:hAnsi="Times New Roman"/>
          <w:sz w:val="21"/>
          <w:szCs w:val="21"/>
          <w:color w:val="auto"/>
        </w:rPr>
      </w:pPr>
    </w:p>
    <w:p>
      <w:pPr>
        <w:ind w:left="3280" w:hanging="619"/>
        <w:spacing w:after="0"/>
        <w:tabs>
          <w:tab w:leader="none" w:pos="32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shares of Incyte stock otherwise issuance upon exercise of this option; and/or</w:t>
      </w:r>
    </w:p>
    <w:p>
      <w:pPr>
        <w:spacing w:after="0" w:line="222" w:lineRule="exact"/>
        <w:rPr>
          <w:rFonts w:ascii="Times New Roman" w:cs="Times New Roman" w:eastAsia="Times New Roman" w:hAnsi="Times New Roman"/>
          <w:sz w:val="21"/>
          <w:szCs w:val="21"/>
          <w:color w:val="auto"/>
        </w:rPr>
      </w:pPr>
    </w:p>
    <w:p>
      <w:pPr>
        <w:ind w:left="3280" w:hanging="619"/>
        <w:spacing w:after="0"/>
        <w:tabs>
          <w:tab w:leader="none" w:pos="32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of withholding determined by Incyte and permitted by applicable law.</w:t>
      </w:r>
    </w:p>
    <w:p>
      <w:pPr>
        <w:spacing w:after="0" w:line="222" w:lineRule="exact"/>
        <w:rPr>
          <w:sz w:val="20"/>
          <w:szCs w:val="20"/>
          <w:color w:val="auto"/>
        </w:rPr>
      </w:pPr>
    </w:p>
    <w:p>
      <w:pPr>
        <w:ind w:left="2660" w:right="300"/>
        <w:spacing w:after="0" w:line="274" w:lineRule="auto"/>
        <w:rPr>
          <w:sz w:val="20"/>
          <w:szCs w:val="20"/>
          <w:color w:val="auto"/>
        </w:rPr>
      </w:pPr>
      <w:r>
        <w:rPr>
          <w:rFonts w:ascii="Times New Roman" w:cs="Times New Roman" w:eastAsia="Times New Roman" w:hAnsi="Times New Roman"/>
          <w:sz w:val="21"/>
          <w:szCs w:val="21"/>
          <w:color w:val="auto"/>
        </w:rPr>
        <w:t>If the obligation for Tax-Related Items is satisfied by withholding shares, for tax purposes, you will be deemed to have been issued the full number of shares subject to the exercised option, notwithstanding that a number of shares are withheld to pay the Tax-Related Items.</w:t>
      </w:r>
    </w:p>
    <w:p>
      <w:pPr>
        <w:spacing w:after="0" w:line="180" w:lineRule="exact"/>
        <w:rPr>
          <w:sz w:val="20"/>
          <w:szCs w:val="20"/>
          <w:color w:val="auto"/>
        </w:rPr>
      </w:pPr>
    </w:p>
    <w:p>
      <w:pPr>
        <w:ind w:left="2660" w:right="100"/>
        <w:spacing w:after="0" w:line="257" w:lineRule="auto"/>
        <w:rPr>
          <w:sz w:val="20"/>
          <w:szCs w:val="20"/>
          <w:color w:val="auto"/>
        </w:rPr>
      </w:pPr>
      <w:r>
        <w:rPr>
          <w:rFonts w:ascii="Times New Roman" w:cs="Times New Roman" w:eastAsia="Times New Roman" w:hAnsi="Times New Roman"/>
          <w:sz w:val="21"/>
          <w:szCs w:val="21"/>
          <w:color w:val="auto"/>
        </w:rPr>
        <w:t>Incyte may withhold or account for Tax-Related Items by considering statutory withholding rates or other applicable withholding rates, including up to the maximum applicable rate in your jurisdiction to the extent permitted under the Plan. In the event any over-withholding results from the application of statutory or other withholding rates, you may receive a refund from your employer or you may be required to request a refund from the tax authorities in your country, but you will not be entitled to any interest or to the equivalent amount in shares. In the event any under-withholding results from the application or statutory or other withholding rates, you may be required to pay additional amounts to the tax authorities in your country.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- 6 -</w:t>
      </w:r>
    </w:p>
    <w:p>
      <w:pPr>
        <w:sectPr>
          <w:pgSz w:w="11900" w:h="16838" w:orient="portrait"/>
          <w:cols w:equalWidth="0" w:num="1">
            <w:col w:w="11020"/>
          </w:cols>
          <w:pgMar w:left="540" w:top="1440" w:right="339" w:bottom="1156" w:gutter="0" w:footer="0" w:header="0"/>
        </w:sectPr>
      </w:pPr>
    </w:p>
    <w:p>
      <w:pPr>
        <w:spacing w:after="0" w:line="240"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020"/>
          </w:cols>
          <w:pgMar w:left="540" w:top="1440" w:right="339" w:bottom="1156" w:gutter="0" w:footer="0" w:header="0"/>
          <w:type w:val="continuous"/>
        </w:sectPr>
      </w:pPr>
    </w:p>
    <w:bookmarkStart w:id="113" w:name="page114"/>
    <w:bookmarkEnd w:id="113"/>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p>
      <w:pPr>
        <w:spacing w:after="0" w:line="20" w:lineRule="exact"/>
        <w:rPr>
          <w:sz w:val="20"/>
          <w:szCs w:val="20"/>
          <w:color w:val="auto"/>
        </w:rPr>
      </w:pPr>
      <w:r>
        <w:rPr>
          <w:sz w:val="20"/>
          <w:szCs w:val="20"/>
          <w:color w:val="auto"/>
        </w:rPr>
        <w:br w:type="column"/>
      </w: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By accepting the grant notice, you agree not to sell any option shares at a time when applicable laws or Incyte policies prohibit a sale. This restriction will apply as long as you are an employee, director, consultant or advisor of Incyte (or any subsidiary).</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- 7 -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4" w:name="page115"/>
    <w:bookmarkEnd w:id="114"/>
    <w:p>
      <w:pPr>
        <w:spacing w:after="0" w:line="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1"/>
          <w:szCs w:val="21"/>
          <w:b w:val="1"/>
          <w:bCs w:val="1"/>
          <w:color w:val="auto"/>
        </w:rPr>
        <w:t>Change in Control</w:t>
      </w:r>
      <w:r>
        <w:rPr>
          <w:sz w:val="20"/>
          <w:szCs w:val="20"/>
          <w:color w:val="auto"/>
        </w:rPr>
        <w:tab/>
      </w:r>
      <w:r>
        <w:rPr>
          <w:rFonts w:ascii="Times New Roman" w:cs="Times New Roman" w:eastAsia="Times New Roman" w:hAnsi="Times New Roman"/>
          <w:sz w:val="21"/>
          <w:szCs w:val="21"/>
          <w:color w:val="auto"/>
        </w:rPr>
        <w:t>The following provisions will apply in the event a Change in Control (as defined in the Plan)</w:t>
      </w:r>
    </w:p>
    <w:p>
      <w:pPr>
        <w:spacing w:after="0" w:line="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occurs while this option is outstanding and you are still performing service as an employee,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director, consultant or advisor of Incyte (or any parent or subsidiary). For purposes of these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provisions, Incyte or any parent or subsidiary for which you are performing services is referred to</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as the “Employer.”</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If this Agreement is not assumed or replaced with a new comparable award (with the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determination of comparability to be made by the Committee), then there would be full</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accelerated vesting of this option upon the Change in Control.</w:t>
      </w:r>
    </w:p>
    <w:p>
      <w:pPr>
        <w:spacing w:after="0" w:line="2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If this Agreement is assumed or replaced with a new comparable award, then this option (or such</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comparable award) would vest in full if within one year following the Change in Control your</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service for the Employer is terminated without Cause or is Constructively Terminated.</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in control agreement or similar agreement or plan in effect between Incyte and you on the date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specified in the grant notice (or where there is such an agreement or plan but it does not define</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“cause” (or words of like import)): (A) your continued failure to perform your duties with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(other than any such failure resulting from incapacity due to physical or mental illness</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or total and permanent disability, which incapacity has been recognized as such by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Committee or its designee); (B) engagement in illegal conduct, gross misconduct or dishonesty</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that is injurious to the Employer or its affiliates; (C) unauthorized disclosure or misuse of any of</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the Employer’s secret, confidential or proprietary information, knowledge or data relating to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or its affiliates; or (D) violation of any of the employee policies or procedures of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Employer; or</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(ii) in the case where there is an employment agreement, consulting agreement,</w:t>
      </w:r>
    </w:p>
    <w:p>
      <w:pPr>
        <w:spacing w:after="0" w:line="35" w:lineRule="exact"/>
        <w:rPr>
          <w:sz w:val="20"/>
          <w:szCs w:val="20"/>
          <w:color w:val="auto"/>
        </w:rPr>
      </w:pPr>
    </w:p>
    <w:p>
      <w:pPr>
        <w:jc w:val="both"/>
        <w:ind w:left="2800" w:right="80"/>
        <w:spacing w:after="0" w:line="261" w:lineRule="auto"/>
        <w:rPr>
          <w:sz w:val="20"/>
          <w:szCs w:val="20"/>
          <w:color w:val="auto"/>
        </w:rPr>
      </w:pPr>
      <w:r>
        <w:rPr>
          <w:rFonts w:ascii="Times New Roman" w:cs="Times New Roman" w:eastAsia="Times New Roman" w:hAnsi="Times New Roman"/>
          <w:sz w:val="21"/>
          <w:szCs w:val="21"/>
          <w:color w:val="auto"/>
        </w:rPr>
        <w:t>change in control agreement or similar agreement or plan in effect between Incyte and you on the date specified in the grant notice that defines “cause” (or words of like import), as defined under such agreement or plan.</w:t>
      </w:r>
    </w:p>
    <w:p>
      <w:pPr>
        <w:spacing w:after="0" w:line="19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For purposes of this Agreement, “Constructive Termination” shall mean</w:t>
      </w: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in control agreement or similar agreement or plan in effect between Incyte and you on the date</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specified in the grant notice (or where there is such an agreement or plan but it does not define</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“constructive termination” (or words of like import)): (A) the assignment to you of any duties</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fundamentally inconsistent with your position, authority, duties or responsibilities as in effect</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a Change in Control (or any other action by the Employer that results in a</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fundamental diminishment in such position, authority, duties or responsibilities as in effect</w:t>
      </w:r>
    </w:p>
    <w:p>
      <w:pPr>
        <w:spacing w:after="0" w:line="1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a Change in Control), provided that neither a mere change in title alone nor</w:t>
      </w:r>
    </w:p>
    <w:p>
      <w:pPr>
        <w:spacing w:after="0" w:line="2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1"/>
          <w:szCs w:val="21"/>
          <w:color w:val="auto"/>
        </w:rPr>
        <w:t>reassignment to a position that is substantially similar to the position held prior to the Change in</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Control shall constitute fundamental diminishment; (B) the Employer requiring you to be based</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at any office or location more than 50 miles from the office or location where you are based</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immediately prior to the Change in Control; or (C) any reduction in your annual base salary or</w:t>
      </w:r>
    </w:p>
    <w:p>
      <w:pPr>
        <w:spacing w:after="0" w:line="11" w:lineRule="exact"/>
        <w:rPr>
          <w:sz w:val="20"/>
          <w:szCs w:val="20"/>
          <w:color w:val="auto"/>
        </w:rPr>
      </w:pPr>
    </w:p>
    <w:p>
      <w:pPr>
        <w:ind w:left="2800" w:right="80"/>
        <w:spacing w:after="0" w:line="273" w:lineRule="auto"/>
        <w:rPr>
          <w:sz w:val="20"/>
          <w:szCs w:val="20"/>
          <w:color w:val="auto"/>
        </w:rPr>
      </w:pPr>
      <w:r>
        <w:rPr>
          <w:rFonts w:ascii="Times New Roman" w:cs="Times New Roman" w:eastAsia="Times New Roman" w:hAnsi="Times New Roman"/>
          <w:sz w:val="21"/>
          <w:szCs w:val="21"/>
          <w:color w:val="auto"/>
        </w:rPr>
        <w:t>target bonus opportunity (if any) from that which exists immediately prior to a Change in Control; or</w:t>
      </w:r>
    </w:p>
    <w:p>
      <w:pPr>
        <w:spacing w:after="0" w:line="18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(ii) in the case where there is an employment agreement, consulting agreement,</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change in control agreement or similar agreement or plan in effect between Incyte and you on the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date specified in the grant notice that defines “constructive termination” (or words of like</w:t>
      </w: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import), as defined under such agreement or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- 8 -</w:t>
      </w:r>
    </w:p>
    <w:p>
      <w:pPr>
        <w:sectPr>
          <w:pgSz w:w="11900" w:h="16838" w:orient="portrait"/>
          <w:cols w:equalWidth="0" w:num="1">
            <w:col w:w="11160"/>
          </w:cols>
          <w:pgMar w:left="400" w:top="1440" w:right="339" w:bottom="0" w:gutter="0" w:footer="0" w:header="0"/>
        </w:sectPr>
      </w:pP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0" w:gutter="0" w:footer="0" w:header="0"/>
          <w:type w:val="continuous"/>
        </w:sectPr>
      </w:pPr>
    </w:p>
    <w:bookmarkStart w:id="115" w:name="page116"/>
    <w:bookmarkEnd w:id="115"/>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of Option</w:t>
      </w:r>
    </w:p>
    <w:p>
      <w:pPr>
        <w:spacing w:after="0" w:line="20" w:lineRule="exact"/>
        <w:rPr>
          <w:sz w:val="20"/>
          <w:szCs w:val="20"/>
          <w:color w:val="auto"/>
        </w:rPr>
      </w:pPr>
      <w:r>
        <w:rPr>
          <w:sz w:val="20"/>
          <w:szCs w:val="20"/>
          <w:color w:val="auto"/>
        </w:rPr>
        <w:br w:type="column"/>
      </w:r>
    </w:p>
    <w:p>
      <w:pPr>
        <w:jc w:val="both"/>
        <w:ind w:right="60"/>
        <w:spacing w:after="0" w:line="258" w:lineRule="auto"/>
        <w:rPr>
          <w:sz w:val="20"/>
          <w:szCs w:val="20"/>
          <w:color w:val="auto"/>
        </w:rPr>
      </w:pPr>
      <w:r>
        <w:rPr>
          <w:rFonts w:ascii="Times New Roman" w:cs="Times New Roman" w:eastAsia="Times New Roman" w:hAnsi="Times New Roman"/>
          <w:sz w:val="21"/>
          <w:szCs w:val="21"/>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designate a family member or family trust as your beneficiary to exercise this option after your death (your designation must be in writing and delivered to Incyte), or you may dispose of this option in your will. Incyte has the sole and absolute discretion to determine whether any beneficiary designation or will is valid for purposes of the transfer of this option following your death.</w:t>
      </w:r>
    </w:p>
    <w:p>
      <w:pPr>
        <w:spacing w:after="0" w:line="197"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jc w:val="both"/>
        <w:ind w:left="2800" w:right="80"/>
        <w:spacing w:after="0" w:line="270" w:lineRule="auto"/>
        <w:rPr>
          <w:sz w:val="20"/>
          <w:szCs w:val="20"/>
          <w:color w:val="auto"/>
        </w:rPr>
      </w:pPr>
      <w:r>
        <w:rPr>
          <w:rFonts w:ascii="Times New Roman" w:cs="Times New Roman" w:eastAsia="Times New Roman" w:hAnsi="Times New Roman"/>
          <w:sz w:val="21"/>
          <w:szCs w:val="21"/>
          <w:color w:val="auto"/>
        </w:rPr>
        <w:t>Regardless of any marital property settlement agreement, Incyte is not obligated to honor a notice of exercise from your former spouse, nor is Incyte obligated to recognize your former spouse’s interest in your option in any way.</w:t>
      </w:r>
    </w:p>
    <w:p>
      <w:pPr>
        <w:sectPr>
          <w:pgSz w:w="11900" w:h="16838" w:orient="portrait"/>
          <w:cols w:equalWidth="0" w:num="1">
            <w:col w:w="11160"/>
          </w:cols>
          <w:pgMar w:left="400" w:top="1440"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Neither your option nor this Agreement gives you the right to be retained by Incyte (or any subsidiaries) in any capacity. Incyte (and any subsidiaries) reserve the right to terminate your service at any time, with or without cause.</w:t>
      </w:r>
    </w:p>
    <w:p>
      <w:pPr>
        <w:spacing w:after="0" w:line="12"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Stockholder Rights</w:t>
      </w:r>
    </w:p>
    <w:p>
      <w:pPr>
        <w:spacing w:after="0" w:line="20" w:lineRule="exact"/>
        <w:rPr>
          <w:sz w:val="20"/>
          <w:szCs w:val="20"/>
          <w:color w:val="auto"/>
        </w:rPr>
      </w:pPr>
      <w:r>
        <w:rPr>
          <w:sz w:val="20"/>
          <w:szCs w:val="20"/>
          <w:color w:val="auto"/>
        </w:rPr>
        <w:br w:type="column"/>
      </w:r>
    </w:p>
    <w:p>
      <w:pPr>
        <w:jc w:val="both"/>
        <w:ind w:right="60"/>
        <w:spacing w:after="0" w:line="265" w:lineRule="auto"/>
        <w:rPr>
          <w:sz w:val="20"/>
          <w:szCs w:val="20"/>
          <w:color w:val="auto"/>
        </w:rPr>
      </w:pPr>
      <w:r>
        <w:rPr>
          <w:rFonts w:ascii="Times New Roman" w:cs="Times New Roman" w:eastAsia="Times New Roman" w:hAnsi="Times New Roman"/>
          <w:sz w:val="21"/>
          <w:szCs w:val="21"/>
          <w:color w:val="auto"/>
        </w:rPr>
        <w:t>You, or your estate or heirs, have no rights as a stockholder of Incyte until a certificate for your option shares has been issued. No adjustments are made for dividends or other rights if the applicable record date occurs before your stock certificate is issued, except as described in the Plan.</w:t>
      </w:r>
    </w:p>
    <w:p>
      <w:pPr>
        <w:spacing w:after="0" w:line="3"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21"/>
          <w:szCs w:val="21"/>
          <w:b w:val="1"/>
          <w:bCs w:val="1"/>
          <w:color w:val="auto"/>
        </w:rPr>
        <w:t>Recovery and Reimbursement of Option Gain</w:t>
      </w:r>
    </w:p>
    <w:p>
      <w:pPr>
        <w:spacing w:after="0" w:line="20" w:lineRule="exact"/>
        <w:rPr>
          <w:sz w:val="20"/>
          <w:szCs w:val="20"/>
          <w:color w:val="auto"/>
        </w:rPr>
      </w:pPr>
      <w:r>
        <w:rPr>
          <w:sz w:val="20"/>
          <w:szCs w:val="20"/>
          <w:color w:val="auto"/>
        </w:rPr>
        <w:br w:type="column"/>
      </w:r>
    </w:p>
    <w:p>
      <w:pPr>
        <w:jc w:val="both"/>
        <w:ind w:right="80"/>
        <w:spacing w:after="0" w:line="267" w:lineRule="auto"/>
        <w:rPr>
          <w:sz w:val="20"/>
          <w:szCs w:val="20"/>
          <w:color w:val="auto"/>
        </w:rPr>
      </w:pPr>
      <w:r>
        <w:rPr>
          <w:rFonts w:ascii="Times New Roman" w:cs="Times New Roman" w:eastAsia="Times New Roman" w:hAnsi="Times New Roman"/>
          <w:sz w:val="21"/>
          <w:szCs w:val="21"/>
          <w:color w:val="auto"/>
        </w:rPr>
        <w:t>Incyte shall have the right to recover, or receive reimbursement for, any compensation or profit realized by the exercise of this option or by the disposition of any option shares to the extent Incyte has such a right of recovery or reimbursement under applicable securities laws.</w:t>
      </w:r>
    </w:p>
    <w:p>
      <w:pPr>
        <w:spacing w:after="0" w:line="12" w:lineRule="exact"/>
        <w:rPr>
          <w:sz w:val="20"/>
          <w:szCs w:val="20"/>
          <w:color w:val="auto"/>
        </w:rPr>
      </w:pPr>
    </w:p>
    <w:p>
      <w:pPr>
        <w:sectPr>
          <w:pgSz w:w="11900" w:h="16838" w:orient="portrait"/>
          <w:cols w:equalWidth="0" w:num="2">
            <w:col w:w="2360" w:space="440"/>
            <w:col w:w="8360"/>
          </w:cols>
          <w:pgMar w:left="4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Adjustments</w:t>
      </w:r>
    </w:p>
    <w:p>
      <w:pPr>
        <w:spacing w:after="0" w:line="20" w:lineRule="exact"/>
        <w:rPr>
          <w:sz w:val="20"/>
          <w:szCs w:val="20"/>
          <w:color w:val="auto"/>
        </w:rPr>
      </w:pPr>
      <w:r>
        <w:rPr>
          <w:sz w:val="20"/>
          <w:szCs w:val="20"/>
          <w:color w:val="auto"/>
        </w:rPr>
        <w:br w:type="column"/>
      </w: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In the event of a stock split, a stock dividend or a similar change in Incyte stock, the number of shares covered by this option and the exercise price per share may be adjusted pursuant to the Plan.</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- 9 -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6" w:name="page117"/>
    <w:bookmarkEnd w:id="116"/>
    <w:p>
      <w:pPr>
        <w:spacing w:after="0" w:line="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21"/>
          <w:szCs w:val="21"/>
          <w:b w:val="1"/>
          <w:bCs w:val="1"/>
          <w:color w:val="auto"/>
        </w:rPr>
        <w:t>Jurisdiction-Specific Provisions</w:t>
      </w:r>
    </w:p>
    <w:p>
      <w:pPr>
        <w:spacing w:after="0" w:line="20" w:lineRule="exact"/>
        <w:rPr>
          <w:sz w:val="20"/>
          <w:szCs w:val="20"/>
          <w:color w:val="auto"/>
        </w:rPr>
      </w:pPr>
      <w:r>
        <w:rPr>
          <w:sz w:val="20"/>
          <w:szCs w:val="20"/>
          <w:color w:val="auto"/>
        </w:rPr>
        <w:br w:type="column"/>
      </w:r>
    </w:p>
    <w:p>
      <w:pPr>
        <w:ind w:right="180"/>
        <w:spacing w:after="0" w:line="285" w:lineRule="auto"/>
        <w:rPr>
          <w:sz w:val="20"/>
          <w:szCs w:val="20"/>
          <w:color w:val="auto"/>
        </w:rPr>
      </w:pPr>
      <w:r>
        <w:rPr>
          <w:rFonts w:ascii="Times New Roman" w:cs="Times New Roman" w:eastAsia="Times New Roman" w:hAnsi="Times New Roman"/>
          <w:sz w:val="21"/>
          <w:szCs w:val="21"/>
          <w:color w:val="auto"/>
        </w:rPr>
        <w:t>Additional or different terms and conditions and/or information with respect to this option may be included in an appendix to this Agreement. The appendices constitute part of this Agreement.</w:t>
      </w:r>
    </w:p>
    <w:p>
      <w:pPr>
        <w:spacing w:after="0" w:line="142" w:lineRule="exact"/>
        <w:rPr>
          <w:sz w:val="20"/>
          <w:szCs w:val="20"/>
          <w:color w:val="auto"/>
        </w:rPr>
      </w:pPr>
    </w:p>
    <w:p>
      <w:pPr>
        <w:sectPr>
          <w:pgSz w:w="11900" w:h="16838" w:orient="portrait"/>
          <w:cols w:equalWidth="0" w:num="2">
            <w:col w:w="2080" w:space="720"/>
            <w:col w:w="8360"/>
          </w:cols>
          <w:pgMar w:left="400" w:top="1440" w:right="339" w:bottom="1440" w:gutter="0" w:footer="0" w:header="0"/>
        </w:sectPr>
      </w:pPr>
    </w:p>
    <w:p>
      <w:pPr>
        <w:ind w:left="2800" w:right="80"/>
        <w:spacing w:after="0" w:line="258" w:lineRule="auto"/>
        <w:rPr>
          <w:sz w:val="20"/>
          <w:szCs w:val="20"/>
          <w:color w:val="auto"/>
        </w:rPr>
      </w:pPr>
      <w:r>
        <w:rPr>
          <w:rFonts w:ascii="Times New Roman" w:cs="Times New Roman" w:eastAsia="Times New Roman" w:hAnsi="Times New Roman"/>
          <w:sz w:val="21"/>
          <w:szCs w:val="21"/>
          <w:color w:val="auto"/>
        </w:rPr>
        <w:t>This option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option and require you to sign additional agreements or undertakings that Incyte determines may be necessary or advisable for legal or administrative reasons to accomplish the grant of this option or the issuance of the securities issuable upon exercise of this option.</w:t>
      </w:r>
    </w:p>
    <w:p>
      <w:pPr>
        <w:spacing w:after="0" w:line="200" w:lineRule="exact"/>
        <w:rPr>
          <w:sz w:val="20"/>
          <w:szCs w:val="20"/>
          <w:color w:val="auto"/>
        </w:rPr>
      </w:pPr>
    </w:p>
    <w:p>
      <w:pPr>
        <w:spacing w:after="0" w:line="228" w:lineRule="exact"/>
        <w:rPr>
          <w:sz w:val="20"/>
          <w:szCs w:val="20"/>
          <w:color w:val="auto"/>
        </w:rPr>
      </w:pPr>
    </w:p>
    <w:p>
      <w:pPr>
        <w:ind w:left="2800" w:right="60"/>
        <w:spacing w:after="0" w:line="274" w:lineRule="auto"/>
        <w:rPr>
          <w:sz w:val="20"/>
          <w:szCs w:val="20"/>
          <w:color w:val="auto"/>
        </w:rPr>
      </w:pPr>
      <w:r>
        <w:rPr>
          <w:rFonts w:ascii="Times New Roman" w:cs="Times New Roman" w:eastAsia="Times New Roman" w:hAnsi="Times New Roman"/>
          <w:sz w:val="21"/>
          <w:szCs w:val="21"/>
          <w:color w:val="auto"/>
        </w:rPr>
        <w:t>Information regarding the use of personal data in connection with the Plan is set forth in Appendix B to this Agreement (“Appendix B”).</w:t>
      </w:r>
    </w:p>
    <w:p>
      <w:pPr>
        <w:sectPr>
          <w:pgSz w:w="11900" w:h="16838" w:orient="portrait"/>
          <w:cols w:equalWidth="0" w:num="1">
            <w:col w:w="11160"/>
          </w:cols>
          <w:pgMar w:left="400" w:top="1440"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ind w:right="60"/>
        <w:spacing w:after="0" w:line="285" w:lineRule="auto"/>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(without regard to its choice of law provisions).</w:t>
      </w:r>
    </w:p>
    <w:p>
      <w:pPr>
        <w:spacing w:after="0" w:line="200" w:lineRule="exact"/>
        <w:rPr>
          <w:sz w:val="20"/>
          <w:szCs w:val="20"/>
          <w:color w:val="auto"/>
        </w:rPr>
      </w:pPr>
    </w:p>
    <w:p>
      <w:pPr>
        <w:sectPr>
          <w:pgSz w:w="11900" w:h="16838" w:orient="portrait"/>
          <w:cols w:equalWidth="0" w:num="2">
            <w:col w:w="2080" w:space="720"/>
            <w:col w:w="8360"/>
          </w:cols>
          <w:pgMar w:left="400" w:top="1440"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- 10 -</w:t>
      </w:r>
    </w:p>
    <w:p>
      <w:pPr>
        <w:spacing w:after="0" w:line="240"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7" w:name="page118"/>
    <w:bookmarkEnd w:id="117"/>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jc w:val="both"/>
        <w:ind w:left="480" w:right="60"/>
        <w:spacing w:after="0" w:line="257" w:lineRule="auto"/>
        <w:rPr>
          <w:sz w:val="20"/>
          <w:szCs w:val="20"/>
          <w:color w:val="auto"/>
        </w:rPr>
      </w:pPr>
      <w:r>
        <w:rPr>
          <w:rFonts w:ascii="Times New Roman" w:cs="Times New Roman" w:eastAsia="Times New Roman" w:hAnsi="Times New Roman"/>
          <w:sz w:val="21"/>
          <w:szCs w:val="21"/>
          <w:color w:val="auto"/>
        </w:rPr>
        <w:t>Any and all disputes relating to, concerning or arising from this Agreement, or relating to, concerning or arising from the relationship between you and Incyte evidenced by this option or this Agreement, shall be brought and heard exclusively in the United States District Court for the District of Delaware or the Delaware Superior Court, New Castle County. You hereby represent and agree that you are subject to the personal jurisdiction of said courts, irrevocably consent to the jurisdiction of such courts in any legal or equitable proceedings related to, concerning or arising from such dispute, and waive, to the fullest extent permitted by law, any objection which you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23" w:lineRule="exact"/>
        <w:rPr>
          <w:sz w:val="20"/>
          <w:szCs w:val="20"/>
          <w:color w:val="auto"/>
        </w:rPr>
      </w:pPr>
    </w:p>
    <w:p>
      <w:pPr>
        <w:jc w:val="both"/>
        <w:ind w:left="480" w:right="80"/>
        <w:spacing w:after="0" w:line="262" w:lineRule="auto"/>
        <w:rPr>
          <w:sz w:val="20"/>
          <w:szCs w:val="20"/>
          <w:color w:val="auto"/>
        </w:rPr>
      </w:pPr>
      <w:r>
        <w:rPr>
          <w:rFonts w:ascii="Times New Roman" w:cs="Times New Roman" w:eastAsia="Times New Roman" w:hAnsi="Times New Roman"/>
          <w:sz w:val="21"/>
          <w:szCs w:val="21"/>
          <w:color w:val="auto"/>
        </w:rPr>
        <w:t>The text of the Incyte Corporation 2024 Inducement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66" w:lineRule="exact"/>
        <w:rPr>
          <w:sz w:val="20"/>
          <w:szCs w:val="20"/>
          <w:color w:val="auto"/>
        </w:rPr>
      </w:pPr>
    </w:p>
    <w:p>
      <w:pPr>
        <w:jc w:val="both"/>
        <w:ind w:left="480" w:right="60"/>
        <w:spacing w:after="0" w:line="259" w:lineRule="auto"/>
        <w:rPr>
          <w:sz w:val="20"/>
          <w:szCs w:val="20"/>
          <w:color w:val="auto"/>
        </w:rPr>
      </w:pPr>
      <w:r>
        <w:rPr>
          <w:rFonts w:ascii="Times New Roman" w:cs="Times New Roman" w:eastAsia="Times New Roman" w:hAnsi="Times New Roman"/>
          <w:sz w:val="21"/>
          <w:szCs w:val="21"/>
          <w:color w:val="auto"/>
        </w:rPr>
        <w:t>This Agreement, the grant notice and the Plan constitute the entire understanding between you and Incyte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Incyte.</w:t>
      </w:r>
    </w:p>
    <w:p>
      <w:pPr>
        <w:spacing w:after="0" w:line="200" w:lineRule="exact"/>
        <w:rPr>
          <w:sz w:val="20"/>
          <w:szCs w:val="20"/>
          <w:color w:val="auto"/>
        </w:rPr>
      </w:pPr>
    </w:p>
    <w:p>
      <w:pPr>
        <w:spacing w:after="0" w:line="352"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21"/>
          <w:szCs w:val="21"/>
          <w:b w:val="1"/>
          <w:bCs w:val="1"/>
          <w:i w:val="1"/>
          <w:iCs w:val="1"/>
          <w:color w:val="auto"/>
        </w:rPr>
        <w:t>By accepting the grant notice, you agree to all of the terms and conditions</w:t>
      </w:r>
    </w:p>
    <w:p>
      <w:pPr>
        <w:spacing w:after="0" w:line="38"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21"/>
          <w:szCs w:val="21"/>
          <w:b w:val="1"/>
          <w:bCs w:val="1"/>
          <w:i w:val="1"/>
          <w:iCs w:val="1"/>
          <w:color w:val="auto"/>
        </w:rPr>
        <w:t>described in this Agreement (including any appendix) and in the Plan.</w:t>
      </w:r>
    </w:p>
    <w:p>
      <w:pPr>
        <w:spacing w:after="0" w:line="200" w:lineRule="exact"/>
        <w:rPr>
          <w:sz w:val="20"/>
          <w:szCs w:val="20"/>
          <w:color w:val="auto"/>
        </w:rPr>
      </w:pPr>
    </w:p>
    <w:p>
      <w:pPr>
        <w:sectPr>
          <w:pgSz w:w="11900" w:h="16838" w:orient="portrait"/>
          <w:cols w:equalWidth="0" w:num="2">
            <w:col w:w="1800" w:space="520"/>
            <w:col w:w="8840"/>
          </w:cols>
          <w:pgMar w:left="400" w:top="1440" w:right="339" w:bottom="1440" w:gutter="0" w:footer="0" w:header="0"/>
        </w:sectPr>
      </w:pPr>
    </w:p>
    <w:p>
      <w:pPr>
        <w:spacing w:after="0" w:line="3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- 11 -</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4875-8203-7716.v1</w:t>
      </w:r>
    </w:p>
    <w:p>
      <w:pPr>
        <w:sectPr>
          <w:pgSz w:w="11900" w:h="16838" w:orient="portrait"/>
          <w:cols w:equalWidth="0" w:num="1">
            <w:col w:w="11160"/>
          </w:cols>
          <w:pgMar w:left="400" w:top="1440" w:right="339" w:bottom="1440" w:gutter="0" w:footer="0" w:header="0"/>
          <w:type w:val="continuous"/>
        </w:sectPr>
      </w:pPr>
    </w:p>
    <w:bookmarkStart w:id="118" w:name="page119"/>
    <w:bookmarkEnd w:id="118"/>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2024 INDUCEMENT STOCK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RESTRICTED STOCK UNIT AWARD</w:t>
      </w: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You have been granted the following units representing shares of common stock of INCYTE CORPORATION (“Incyte”)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the Incyte Corporation 2024 Inducement Stock Incentive Plan, as amended (the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Date of Grant:</w:t>
            </w:r>
          </w:p>
        </w:tc>
        <w:tc>
          <w:tcPr>
            <w:tcW w:w="2340" w:type="dxa"/>
            <w:vAlign w:val="bottom"/>
          </w:tcPr>
          <w:p>
            <w:pPr>
              <w:jc w:val="right"/>
              <w:ind w:right="494"/>
              <w:spacing w:after="0"/>
              <w:rPr>
                <w:sz w:val="20"/>
                <w:szCs w:val="20"/>
                <w:color w:val="auto"/>
              </w:rPr>
            </w:pPr>
            <w:r>
              <w:rPr>
                <w:rFonts w:ascii="Times New Roman" w:cs="Times New Roman" w:eastAsia="Times New Roman" w:hAnsi="Times New Roman"/>
                <w:sz w:val="21"/>
                <w:szCs w:val="21"/>
                <w:color w:val="auto"/>
              </w:rPr>
              <w:t>[Date of Grant]</w:t>
            </w:r>
          </w:p>
        </w:tc>
      </w:tr>
      <w:tr>
        <w:trPr>
          <w:trHeight w:val="464"/>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Name of Recipient:</w:t>
            </w:r>
          </w:p>
        </w:tc>
        <w:tc>
          <w:tcPr>
            <w:tcW w:w="2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[Name of Recipient]</w:t>
            </w:r>
          </w:p>
        </w:tc>
      </w:tr>
      <w:tr>
        <w:trPr>
          <w:trHeight w:val="450"/>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Total Number of</w:t>
            </w:r>
          </w:p>
        </w:tc>
        <w:tc>
          <w:tcPr>
            <w:tcW w:w="2340" w:type="dxa"/>
            <w:vAlign w:val="bottom"/>
          </w:tcPr>
          <w:p>
            <w:pPr>
              <w:spacing w:after="0"/>
              <w:rPr>
                <w:sz w:val="24"/>
                <w:szCs w:val="24"/>
                <w:color w:val="auto"/>
              </w:rPr>
            </w:pPr>
          </w:p>
        </w:tc>
      </w:tr>
      <w:tr>
        <w:trPr>
          <w:trHeight w:val="279"/>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Units Granted:</w:t>
            </w:r>
          </w:p>
        </w:tc>
        <w:tc>
          <w:tcPr>
            <w:tcW w:w="2340" w:type="dxa"/>
            <w:vAlign w:val="bottom"/>
          </w:tcPr>
          <w:p>
            <w:pPr>
              <w:jc w:val="right"/>
              <w:ind w:right="674"/>
              <w:spacing w:after="0"/>
              <w:rPr>
                <w:sz w:val="20"/>
                <w:szCs w:val="20"/>
                <w:color w:val="auto"/>
              </w:rPr>
            </w:pPr>
            <w:r>
              <w:rPr>
                <w:rFonts w:ascii="Times New Roman" w:cs="Times New Roman" w:eastAsia="Times New Roman" w:hAnsi="Times New Roman"/>
                <w:sz w:val="21"/>
                <w:szCs w:val="21"/>
                <w:color w:val="auto"/>
              </w:rPr>
              <w:t>[___________]</w:t>
            </w:r>
          </w:p>
        </w:tc>
      </w:tr>
      <w:tr>
        <w:trPr>
          <w:trHeight w:val="490"/>
        </w:trPr>
        <w:tc>
          <w:tcPr>
            <w:tcW w:w="4020" w:type="dxa"/>
            <w:vAlign w:val="bottom"/>
            <w:gridSpan w:val="2"/>
          </w:tcPr>
          <w:p>
            <w:pPr>
              <w:spacing w:after="0"/>
              <w:rPr>
                <w:sz w:val="20"/>
                <w:szCs w:val="20"/>
                <w:color w:val="auto"/>
              </w:rPr>
            </w:pPr>
            <w:r>
              <w:rPr>
                <w:rFonts w:ascii="Times New Roman" w:cs="Times New Roman" w:eastAsia="Times New Roman" w:hAnsi="Times New Roman"/>
                <w:sz w:val="21"/>
                <w:szCs w:val="21"/>
                <w:i w:val="1"/>
                <w:iCs w:val="1"/>
                <w:color w:val="auto"/>
              </w:rPr>
              <w:t xml:space="preserve">Vesting Commencement Date:   </w:t>
            </w:r>
            <w:r>
              <w:rPr>
                <w:rFonts w:ascii="Times New Roman" w:cs="Times New Roman" w:eastAsia="Times New Roman" w:hAnsi="Times New Roman"/>
                <w:sz w:val="21"/>
                <w:szCs w:val="21"/>
                <w:color w:val="auto"/>
              </w:rPr>
              <w:t>[__________]</w:t>
            </w:r>
          </w:p>
        </w:tc>
      </w:tr>
      <w:tr>
        <w:trPr>
          <w:trHeight w:val="490"/>
        </w:trPr>
        <w:tc>
          <w:tcPr>
            <w:tcW w:w="168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Vesting Schedule:</w:t>
            </w:r>
          </w:p>
        </w:tc>
        <w:tc>
          <w:tcPr>
            <w:tcW w:w="2340" w:type="dxa"/>
            <w:vAlign w:val="bottom"/>
          </w:tcPr>
          <w:p>
            <w:pPr>
              <w:jc w:val="right"/>
              <w:ind w:right="894"/>
              <w:spacing w:after="0"/>
              <w:rPr>
                <w:sz w:val="20"/>
                <w:szCs w:val="20"/>
                <w:color w:val="auto"/>
              </w:rPr>
            </w:pPr>
            <w:r>
              <w:rPr>
                <w:rFonts w:ascii="Times New Roman" w:cs="Times New Roman" w:eastAsia="Times New Roman" w:hAnsi="Times New Roman"/>
                <w:sz w:val="21"/>
                <w:szCs w:val="21"/>
                <w:color w:val="auto"/>
              </w:rPr>
              <w:t>[___________]</w:t>
            </w:r>
          </w:p>
        </w:tc>
      </w:tr>
    </w:tbl>
    <w:p>
      <w:pPr>
        <w:spacing w:after="0" w:line="200" w:lineRule="exact"/>
        <w:rPr>
          <w:sz w:val="20"/>
          <w:szCs w:val="20"/>
          <w:color w:val="auto"/>
        </w:rPr>
      </w:pPr>
    </w:p>
    <w:p>
      <w:pPr>
        <w:spacing w:after="0" w:line="24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1"/>
          <w:szCs w:val="21"/>
          <w:b w:val="1"/>
          <w:bCs w:val="1"/>
          <w:color w:val="auto"/>
        </w:rPr>
        <w:t>You and Incyte agree that these units are granted under and governed by the terms and conditions of the Plan and the U.S. Restricted Stock Unit Award Agreement (the “Agreement”) that can be reviewed by clicking on the link provided above. By accepting this Notice, you are agreeing to all of those terms and conditions.</w:t>
      </w:r>
    </w:p>
    <w:p>
      <w:pPr>
        <w:spacing w:after="0" w:line="14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1"/>
          <w:szCs w:val="21"/>
          <w:b w:val="1"/>
          <w:bCs w:val="1"/>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1"/>
          <w:szCs w:val="21"/>
          <w:b w:val="1"/>
          <w:bCs w:val="1"/>
          <w:color w:val="auto"/>
        </w:rPr>
        <w:t>These units are granted in connection with your offer of employment with Incyte and are intended to qualify as an “inducement” grant under Nasdaq Listing Rule 5635(c)(4), which provides an exception from the stockholder approval requirements otherwise applicable to equity compensation arrangements. The Plan and the Agreement will be interpreted in accordance with and consistent with that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1"/>
          <w:szCs w:val="21"/>
          <w:b w:val="1"/>
          <w:bCs w:val="1"/>
          <w:color w:val="auto"/>
        </w:rPr>
        <w:t>2024 INDUCEMENT STOCK INCENTIVE PLAN</w:t>
      </w:r>
    </w:p>
    <w:p>
      <w:pPr>
        <w:spacing w:after="0" w:line="10"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1"/>
          <w:szCs w:val="21"/>
          <w:b w:val="1"/>
          <w:bCs w:val="1"/>
          <w:color w:val="auto"/>
        </w:rPr>
        <w:t>U.S. RESTRICTED STOCK UNIT AWARD AGREEMENT</w:t>
      </w:r>
    </w:p>
    <w:p>
      <w:pPr>
        <w:spacing w:after="0" w:line="238" w:lineRule="exact"/>
        <w:rPr>
          <w:sz w:val="20"/>
          <w:szCs w:val="20"/>
          <w:color w:val="auto"/>
        </w:rPr>
      </w:pPr>
    </w:p>
    <w:p>
      <w:pPr>
        <w:ind w:left="360" w:right="140" w:firstLine="636"/>
        <w:spacing w:after="0" w:line="232" w:lineRule="auto"/>
        <w:rPr>
          <w:sz w:val="20"/>
          <w:szCs w:val="20"/>
          <w:color w:val="auto"/>
        </w:rPr>
      </w:pPr>
      <w:r>
        <w:rPr>
          <w:rFonts w:ascii="Times New Roman" w:cs="Times New Roman" w:eastAsia="Times New Roman" w:hAnsi="Times New Roman"/>
          <w:sz w:val="21"/>
          <w:szCs w:val="21"/>
          <w:color w:val="auto"/>
        </w:rPr>
        <w:t>No cash payment is required for the units you receive or for the issuance of shares of Incyte common stock on settlement of the units. Incyte will, however, withhold any Tax-Related Items, as defined and as further described below.</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The units vest as shown in the Notice of Restricted Stock Unit Award (the “award notice”).</w:t>
      </w:r>
    </w:p>
    <w:p>
      <w:pPr>
        <w:spacing w:after="0" w:line="222" w:lineRule="exact"/>
        <w:rPr>
          <w:sz w:val="20"/>
          <w:szCs w:val="20"/>
          <w:color w:val="auto"/>
        </w:rPr>
      </w:pPr>
    </w:p>
    <w:p>
      <w:pPr>
        <w:ind w:left="360" w:right="240"/>
        <w:spacing w:after="0" w:line="261" w:lineRule="auto"/>
        <w:rPr>
          <w:sz w:val="20"/>
          <w:szCs w:val="20"/>
          <w:color w:val="auto"/>
        </w:rPr>
      </w:pPr>
      <w:r>
        <w:rPr>
          <w:rFonts w:ascii="Times New Roman" w:cs="Times New Roman" w:eastAsia="Times New Roman" w:hAnsi="Times New Roman"/>
          <w:sz w:val="21"/>
          <w:szCs w:val="21"/>
          <w:color w:val="auto"/>
        </w:rPr>
        <w:t>No additional units will vest after your service as an employee, director, consultant or advisor of Incyte (or any subsidiary) has terminated for any reason, except in the event of your full retirement or as provided below under “Change in Control,” or in your offer letter or employment agreement with Incyte.</w:t>
      </w:r>
    </w:p>
    <w:p>
      <w:pPr>
        <w:spacing w:after="0" w:line="208" w:lineRule="exact"/>
        <w:rPr>
          <w:sz w:val="20"/>
          <w:szCs w:val="20"/>
          <w:color w:val="auto"/>
        </w:rPr>
      </w:pPr>
    </w:p>
    <w:p>
      <w:pPr>
        <w:ind w:left="360" w:right="160"/>
        <w:spacing w:after="0" w:line="258" w:lineRule="auto"/>
        <w:rPr>
          <w:sz w:val="20"/>
          <w:szCs w:val="20"/>
          <w:color w:val="auto"/>
        </w:rPr>
      </w:pPr>
      <w:r>
        <w:rPr>
          <w:rFonts w:ascii="Times New Roman" w:cs="Times New Roman" w:eastAsia="Times New Roman" w:hAnsi="Times New Roman"/>
          <w:sz w:val="21"/>
          <w:szCs w:val="21"/>
          <w:color w:val="auto"/>
        </w:rPr>
        <w:t>In the event of your full retirement, your units which were granted at least one year prior to the date of your retirement will continue to vest after your retirement in accordance with the vesting schedule set forth in the award notice. Units granted less than one year prior to the date of your retirement will be forfeited. For this purpose, “full retirement” means your termination of service as an employee of Incyte (or any subsidiary) on or after the date you have attained age 65 and performed at least 10 years of service as an employee of Incyte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2">
            <w:col w:w="1480" w:space="720"/>
            <w:col w:w="8340"/>
          </w:cols>
          <w:pgMar w:left="1020" w:top="1393" w:right="339" w:bottom="1440" w:gutter="0" w:footer="0" w:header="0"/>
        </w:sectPr>
      </w:pPr>
    </w:p>
    <w:bookmarkStart w:id="120" w:name="page121"/>
    <w:bookmarkEnd w:id="120"/>
    <w:p>
      <w:pPr>
        <w:ind w:left="620"/>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Nature of Units</w:t>
      </w:r>
    </w:p>
    <w:p>
      <w:pPr>
        <w:spacing w:after="0" w:line="200" w:lineRule="exact"/>
        <w:rPr>
          <w:sz w:val="20"/>
          <w:szCs w:val="20"/>
          <w:color w:val="auto"/>
        </w:rPr>
      </w:pPr>
    </w:p>
    <w:p>
      <w:pPr>
        <w:spacing w:after="0" w:line="248" w:lineRule="exact"/>
        <w:rPr>
          <w:sz w:val="20"/>
          <w:szCs w:val="20"/>
          <w:color w:val="auto"/>
        </w:rPr>
      </w:pPr>
    </w:p>
    <w:p>
      <w:pPr>
        <w:ind w:right="40"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No Voting Rights or Dividends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color w:val="auto"/>
        </w:rPr>
        <w:t>If your service as an employee, director, consultant or advisor of Incyte (or any subsidiary) terminates for any reason other than your full retirement as defined above under “Vesting,” then your units will be forfeited to the extent that they have not vested before the termination date and do not vest as a result of the termination. In the event of your full retirement, your units granted less than one year prior to the date of your retirement will be forfeited. “Forfeiture” means that the units will immediately be cancelled. You receive no payment for units that are forfeited.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Incyte determines when your service terminates for this purpose.</w:t>
      </w:r>
    </w:p>
    <w:p>
      <w:pPr>
        <w:spacing w:after="0" w:line="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1"/>
          <w:szCs w:val="21"/>
          <w:color w:val="auto"/>
        </w:rPr>
        <w:t xml:space="preserve">For purposes of this award,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1" w:lineRule="exact"/>
        <w:rPr>
          <w:sz w:val="20"/>
          <w:szCs w:val="20"/>
          <w:color w:val="auto"/>
        </w:rPr>
      </w:pPr>
    </w:p>
    <w:p>
      <w:pPr>
        <w:ind w:right="160" w:firstLine="636"/>
        <w:spacing w:after="0" w:line="232" w:lineRule="auto"/>
        <w:rPr>
          <w:sz w:val="20"/>
          <w:szCs w:val="20"/>
          <w:color w:val="auto"/>
        </w:rPr>
      </w:pPr>
      <w:r>
        <w:rPr>
          <w:rFonts w:ascii="Times New Roman" w:cs="Times New Roman" w:eastAsia="Times New Roman" w:hAnsi="Times New Roman"/>
          <w:sz w:val="21"/>
          <w:szCs w:val="21"/>
          <w:color w:val="auto"/>
        </w:rPr>
        <w:t>Your units are mere bookkeeping entries. They represent only Incyte’s unfunded and unsecured promise to issue shares of Incyte common stock on a future date. As a holder of units, you have no rights other than the rights of a general creditor of Incyte.</w:t>
      </w:r>
    </w:p>
    <w:p>
      <w:pPr>
        <w:spacing w:after="0" w:line="1" w:lineRule="exact"/>
        <w:rPr>
          <w:sz w:val="20"/>
          <w:szCs w:val="20"/>
          <w:color w:val="auto"/>
        </w:rPr>
      </w:pPr>
    </w:p>
    <w:p>
      <w:pPr>
        <w:ind w:right="120" w:firstLine="636"/>
        <w:spacing w:after="0" w:line="216" w:lineRule="auto"/>
        <w:rPr>
          <w:sz w:val="20"/>
          <w:szCs w:val="20"/>
          <w:color w:val="auto"/>
        </w:rPr>
      </w:pPr>
      <w:r>
        <w:rPr>
          <w:rFonts w:ascii="Times New Roman" w:cs="Times New Roman" w:eastAsia="Times New Roman" w:hAnsi="Times New Roman"/>
          <w:sz w:val="21"/>
          <w:szCs w:val="21"/>
          <w:color w:val="auto"/>
        </w:rPr>
        <w:t>Your units carry neither voting rights nor rights to dividends. You, or your estate or heirs, have no rights as a stockholder of Incyte unless and until your units are settled by issuing shares of Incyte’s common stock. No dividend equivalents will be provided and no adjustments will be made for dividends or other rights if the applicable record date occurs before your stock certificate is issued, except that in the case of a dividend payable in the form of additional shares of Incyte common stock, the number of units granted under this Agreement will be adjusted proportionately by multiplying that number by the number of shares of Incyte common stock that a holder of one share of Incyte common stock before the dividend payment date would hold after the dividend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-2-</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2">
            <w:col w:w="2460" w:space="720"/>
            <w:col w:w="7980"/>
          </w:cols>
          <w:pgMar w:left="400" w:top="14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b w:val="1"/>
          <w:bCs w:val="1"/>
          <w:color w:val="auto"/>
        </w:rPr>
        <w:t>Settlement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Responsibility for Taxes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21"/>
          <w:szCs w:val="21"/>
          <w:color w:val="auto"/>
        </w:rPr>
        <w:t>Each of your units will be settled as soon as practicable after, but no later than 30 days after, the date the units vest.</w:t>
      </w:r>
    </w:p>
    <w:p>
      <w:pPr>
        <w:spacing w:after="0" w:line="14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1"/>
          <w:szCs w:val="21"/>
          <w:color w:val="auto"/>
        </w:rPr>
        <w:t>At the time of settlement, you will receive one share of Incyte common stock for each vested unit.</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Regardless of any action taken by Incyte or, if different, your employer, the ultimate liability for all income tax (including U.S. federal, state, and local taxes and/or non-U.S. taxes), social insurance, payroll tax, fringe benefits tax, payment on account or other tax-related items related to your participation in the Plan and legally applicable to you (the “Tax-Related Items”) is and remains your responsibility and may exceed the amount, if any, withheld by Incyte or your employer.</w:t>
      </w:r>
    </w:p>
    <w:p>
      <w:pPr>
        <w:spacing w:after="0" w:line="1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1"/>
          <w:szCs w:val="21"/>
          <w:color w:val="auto"/>
        </w:rPr>
        <w:t>Incyte and your employer (i) make no representations or undertakings regarding the treatment of any Tax-Related Items, and (ii) do not commit to and are under no obligation to reduce or eliminate your liability for Tax-Related Items or to structure the terms of this award to achieve any particular tax result.</w:t>
      </w:r>
    </w:p>
    <w:p>
      <w:pPr>
        <w:spacing w:after="0" w:line="162"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21"/>
          <w:szCs w:val="21"/>
          <w:color w:val="auto"/>
        </w:rPr>
        <w:t>If you become subject to taxation in more than one jurisdiction, Incyte and/or your employer (or former employer, as applicable) may be required to withhold or account for Tax-Related Items in more than one jurisdiction.</w:t>
      </w:r>
    </w:p>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Prior to any taxable or tax withholding event, you will make arrangements satisfactory to Incyte and your employer so that Incyte and your employer can fulfill any withholding obligations for Tax-Related Items. Incyte shall not be required to issue any shares of Incyte common stock or deliver the proceeds of the sale of any shares of Incyte common stock until such obligations are satisfied.</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this regard, Incyte will withhold shares of Incyte common stock on settlement of the units to satisfy any applicable withholding obligations for Tax-Related Items. Alternatively, provided you are not a Section 16 officer of Incyte under the Exchange Act, Incyte and/or your employer, or their respective agents, at their discretion, may fulfill any applicable withholding obligations for Tax-Related Items by one or a combination of the following:</w:t>
      </w:r>
    </w:p>
    <w:p>
      <w:pPr>
        <w:spacing w:after="0" w:line="166" w:lineRule="exact"/>
        <w:rPr>
          <w:sz w:val="20"/>
          <w:szCs w:val="20"/>
          <w:color w:val="auto"/>
        </w:rPr>
      </w:pPr>
    </w:p>
    <w:p>
      <w:pPr>
        <w:ind w:left="640" w:hanging="635"/>
        <w:spacing w:after="0" w:line="298" w:lineRule="auto"/>
        <w:tabs>
          <w:tab w:leader="none" w:pos="63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amount payable to you by Incyte and/or your employer;</w:t>
      </w:r>
    </w:p>
    <w:p>
      <w:pPr>
        <w:spacing w:after="0" w:line="129" w:lineRule="exact"/>
        <w:rPr>
          <w:rFonts w:ascii="Times New Roman" w:cs="Times New Roman" w:eastAsia="Times New Roman" w:hAnsi="Times New Roman"/>
          <w:sz w:val="21"/>
          <w:szCs w:val="21"/>
          <w:color w:val="auto"/>
        </w:rPr>
      </w:pPr>
    </w:p>
    <w:p>
      <w:pPr>
        <w:jc w:val="both"/>
        <w:ind w:left="640" w:hanging="635"/>
        <w:spacing w:after="0" w:line="261" w:lineRule="auto"/>
        <w:tabs>
          <w:tab w:leader="none" w:pos="63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of Incyte common stock acquired upon settlement of the units either through a voluntary sale or through a mandatory sale arranged by Incyte (on your behalf pursuant to this authorization without further consent);</w:t>
      </w:r>
    </w:p>
    <w:p>
      <w:pPr>
        <w:spacing w:after="0" w:line="16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you to make a cash payment to Incyte or your employer; and/or</w:t>
      </w:r>
    </w:p>
    <w:p>
      <w:pPr>
        <w:spacing w:after="0" w:line="235" w:lineRule="exact"/>
        <w:rPr>
          <w:rFonts w:ascii="Times New Roman" w:cs="Times New Roman" w:eastAsia="Times New Roman" w:hAnsi="Times New Roman"/>
          <w:sz w:val="21"/>
          <w:szCs w:val="21"/>
          <w:color w:val="auto"/>
        </w:rPr>
      </w:pPr>
    </w:p>
    <w:p>
      <w:pPr>
        <w:ind w:left="640" w:hanging="635"/>
        <w:spacing w:after="0" w:line="285" w:lineRule="auto"/>
        <w:tabs>
          <w:tab w:leader="none" w:pos="63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of withholding determined by Incyte and permitted by applicable law.</w:t>
      </w:r>
    </w:p>
    <w:p>
      <w:pPr>
        <w:spacing w:after="0" w:line="14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1"/>
          <w:szCs w:val="21"/>
          <w:color w:val="auto"/>
        </w:rPr>
        <w:t>If the obligation for Tax-Related Items is satisfied by withholding shares of Incyte common stock, for tax purposes, you will be deemed to have been issued the full number of shares of Incyte common stock subject to the vested units, notwithstanding that a number of shares of Incyte common stock are withheld to pay the Tax-Related Items.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Incyte may withhold or account for Tax-Related Items by considering statutory withholding rates or other applicable withholding rates, including up to the maximum applicable rate in your jurisdiction to the extent permitted under the Plan. In the event any over-withholding results from the application of statutory or other withholding rates, you may receive a refund from your employer or you may be required to request a refund from the tax authorities in your country, but you will not be entitled to any interest or to the equivalent amount in shares of Incyte common stock. In the event any under-withholding results from the application or statutory or other withholding rates, you may be required to pay additional amounts to the tax authorities in your country.</w:t>
      </w:r>
    </w:p>
    <w:p>
      <w:pPr>
        <w:sectPr>
          <w:pgSz w:w="11900" w:h="16838" w:orient="portrait"/>
          <w:cols w:equalWidth="0" w:num="2">
            <w:col w:w="2180" w:space="380"/>
            <w:col w:w="7920"/>
          </w:cols>
          <w:pgMar w:left="1020" w:top="1420" w:right="399" w:bottom="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Units Nontransferable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Beneficiary Designation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The following provisions will apply in the event a Change in Control (as defined in the Plan) occurs while the units granted under this Agreement are outstanding and you are still performing service as an employee, director, consultant or advisor of Incyte (or any parent or subsidiary). For purposes of these provisions, Incyte or any parent or subsidiary for which you are performing services is referred to as the “Employer.”</w:t>
      </w:r>
    </w:p>
    <w:p>
      <w:pPr>
        <w:spacing w:after="0" w:line="165"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21"/>
          <w:szCs w:val="21"/>
          <w:color w:val="auto"/>
        </w:rPr>
        <w:t>If this Agreement is not assumed or replaced with a new comparable award (with the determination of comparability to be made by the Committee), then there would be full accelerated vesting of the units upon the Change in Control.</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1"/>
          <w:szCs w:val="21"/>
          <w:color w:val="auto"/>
        </w:rPr>
        <w:t>If this Agreement is assumed or replaced with a new comparable award, then the units (or such comparable award) would vest in full if within one year following the Change in Control your service for the Employer is terminated without Cause or is Constructively Terminated.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22" w:lineRule="exact"/>
        <w:rPr>
          <w:sz w:val="20"/>
          <w:szCs w:val="20"/>
          <w:color w:val="auto"/>
        </w:rPr>
      </w:pPr>
    </w:p>
    <w:p>
      <w:pPr>
        <w:ind w:right="200" w:firstLine="641"/>
        <w:spacing w:after="0" w:line="256" w:lineRule="auto"/>
        <w:tabs>
          <w:tab w:leader="none" w:pos="88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 or its affiliates; or (D) violation of any of the employee policies or procedures of the Employer; or</w:t>
      </w:r>
    </w:p>
    <w:p>
      <w:pPr>
        <w:spacing w:after="0" w:line="187" w:lineRule="exact"/>
        <w:rPr>
          <w:rFonts w:ascii="Times New Roman" w:cs="Times New Roman" w:eastAsia="Times New Roman" w:hAnsi="Times New Roman"/>
          <w:sz w:val="21"/>
          <w:szCs w:val="21"/>
          <w:color w:val="auto"/>
        </w:rPr>
      </w:pPr>
    </w:p>
    <w:p>
      <w:pPr>
        <w:ind w:right="260" w:firstLine="641"/>
        <w:spacing w:after="0" w:line="261" w:lineRule="auto"/>
        <w:tabs>
          <w:tab w:leader="none" w:pos="94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an employment agreement, consulting agreement, change in control agreement or similar agreement or plan in effect between Incyte and you on the date specified in the award notice that defines “cause” (or words of like import), as defined under such agreement or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“Constructive Termination” shall mean</w:t>
      </w:r>
    </w:p>
    <w:p>
      <w:pPr>
        <w:spacing w:after="0" w:line="222" w:lineRule="exact"/>
        <w:rPr>
          <w:sz w:val="20"/>
          <w:szCs w:val="20"/>
          <w:color w:val="auto"/>
        </w:rPr>
      </w:pPr>
    </w:p>
    <w:p>
      <w:pPr>
        <w:ind w:right="120" w:firstLine="641"/>
        <w:spacing w:after="0" w:line="255" w:lineRule="auto"/>
        <w:tabs>
          <w:tab w:leader="none" w:pos="88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 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184" w:lineRule="exact"/>
        <w:rPr>
          <w:sz w:val="20"/>
          <w:szCs w:val="20"/>
          <w:color w:val="auto"/>
        </w:rPr>
      </w:pPr>
    </w:p>
    <w:p>
      <w:pPr>
        <w:ind w:right="60" w:firstLine="625"/>
        <w:spacing w:after="0" w:line="266" w:lineRule="auto"/>
        <w:tabs>
          <w:tab w:leader="none" w:pos="93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an employment agreement, consulting agreement, change in control agreement or similar agreement or plan in effect between Incyte and you on the date specified in the award notice that defines “constructive termination” (or words of like import), as defined under such agreement or plan.</w:t>
      </w:r>
    </w:p>
    <w:p>
      <w:pPr>
        <w:spacing w:after="0" w:line="21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1"/>
          <w:szCs w:val="21"/>
          <w:color w:val="auto"/>
        </w:rPr>
        <w:t>You may not sell, transfer, assign, pledge or otherwise dispose of any of your units. For instance, you may not use your units as security for a loan. If you attempt to do any of these things, your units will immediately become invalid. You may, however, dispose of any vested but unsettled units in your will.</w:t>
      </w:r>
    </w:p>
    <w:p>
      <w:pPr>
        <w:spacing w:after="0" w:line="162"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21"/>
          <w:szCs w:val="21"/>
          <w:color w:val="auto"/>
        </w:rPr>
        <w:t>Regardless of any marital property settlement agreement, Incyte is not obligated to recognize your former spouse’s interest in your units in any way.</w:t>
      </w:r>
    </w:p>
    <w:p>
      <w:pPr>
        <w:spacing w:after="0" w:line="168" w:lineRule="exact"/>
        <w:rPr>
          <w:sz w:val="20"/>
          <w:szCs w:val="20"/>
          <w:color w:val="auto"/>
        </w:rPr>
      </w:pPr>
    </w:p>
    <w:p>
      <w:pPr>
        <w:ind w:firstLine="636"/>
        <w:spacing w:after="0" w:line="226" w:lineRule="auto"/>
        <w:rPr>
          <w:sz w:val="20"/>
          <w:szCs w:val="20"/>
          <w:color w:val="auto"/>
        </w:rPr>
      </w:pPr>
      <w:r>
        <w:rPr>
          <w:rFonts w:ascii="Times New Roman" w:cs="Times New Roman" w:eastAsia="Times New Roman" w:hAnsi="Times New Roman"/>
          <w:sz w:val="21"/>
          <w:szCs w:val="21"/>
          <w:color w:val="auto"/>
        </w:rPr>
        <w:t>You may designate a beneficiary in writing to receive your vested units in the event you die before settlement of the units. A beneficiary designation must be filed with Incyte on the proper form, and it will be recognized only if it has been received at Incyte’s headquarters before your death If you file no beneficiary designation if none of your designated</w:t>
      </w:r>
    </w:p>
    <w:p>
      <w:pPr>
        <w:sectPr>
          <w:pgSz w:w="11900" w:h="17029" w:orient="portrait"/>
          <w:cols w:equalWidth="0" w:num="2">
            <w:col w:w="2160" w:space="400"/>
            <w:col w:w="7940"/>
          </w:cols>
          <w:pgMar w:left="1020" w:top="34" w:right="379" w:bottom="0" w:gutter="0" w:footer="0" w:header="0"/>
        </w:sectPr>
      </w:pPr>
    </w:p>
    <w:bookmarkStart w:id="123" w:name="page124"/>
    <w:bookmarkEnd w:id="123"/>
    <w:p>
      <w:pPr>
        <w:ind w:left="2140" w:right="60"/>
        <w:spacing w:after="0" w:line="232" w:lineRule="auto"/>
        <w:rPr>
          <w:sz w:val="20"/>
          <w:szCs w:val="20"/>
          <w:color w:val="auto"/>
        </w:rPr>
      </w:pPr>
      <w:r>
        <w:rPr>
          <w:rFonts w:ascii="Times New Roman" w:cs="Times New Roman" w:eastAsia="Times New Roman" w:hAnsi="Times New Roman"/>
          <w:sz w:val="21"/>
          <w:szCs w:val="21"/>
          <w:color w:val="auto"/>
        </w:rPr>
        <w:t>beneficiaries survives you, or if your beneficiary designation is determined not to be valid (in Incyte’s sole and absolute discretion), then your estate will receive any vested units that you hold at the time of your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-3-</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1">
            <w:col w:w="10120"/>
          </w:cols>
          <w:pgMar w:left="1440" w:top="19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41"/>
        </w:trPr>
        <w:tc>
          <w:tcPr>
            <w:tcW w:w="304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Restrictions on Resale</w:t>
            </w:r>
          </w:p>
        </w:tc>
        <w:tc>
          <w:tcPr>
            <w:tcW w:w="808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By accepting the award notice, you agree not to sell any shares of Incyte common</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stock issued upon settlement of the units at a time when applicable laws or Incyte policies</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prohibit a sale. This restriction will apply as long as you are an employee, director, consultant</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Retention Rights</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or advisor of Incyte (or any subsidiary).</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Neither your award nor this Agreement gives you the right to be retained by Incyte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(or any subsidiary) in any capacity. Incyte (and any subsidiaries) reserve the right to</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Adjustments</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terminate your service at any time, with or without cause.</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In the event of a stock split, a stock dividend or a similar change in Incyte common</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Recovery and</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stock, the number of your units covered by this award may be adjusted pursuant to the Plan.</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Incyte shall have the right to recover, or receive reimbursement for, any compensation</w:t>
            </w:r>
          </w:p>
        </w:tc>
        <w:tc>
          <w:tcPr>
            <w:tcW w:w="0" w:type="dxa"/>
            <w:vAlign w:val="bottom"/>
          </w:tcPr>
          <w:p>
            <w:pPr>
              <w:spacing w:after="0"/>
              <w:rPr>
                <w:sz w:val="1"/>
                <w:szCs w:val="1"/>
                <w:color w:val="auto"/>
              </w:rPr>
            </w:pPr>
          </w:p>
        </w:tc>
      </w:tr>
      <w:tr>
        <w:trPr>
          <w:trHeight w:val="212"/>
        </w:trPr>
        <w:tc>
          <w:tcPr>
            <w:tcW w:w="3040" w:type="dxa"/>
            <w:vAlign w:val="bottom"/>
          </w:tcPr>
          <w:p>
            <w:pPr>
              <w:spacing w:after="0" w:line="212" w:lineRule="exact"/>
              <w:rPr>
                <w:sz w:val="20"/>
                <w:szCs w:val="20"/>
                <w:color w:val="auto"/>
              </w:rPr>
            </w:pPr>
            <w:r>
              <w:rPr>
                <w:rFonts w:ascii="Times New Roman" w:cs="Times New Roman" w:eastAsia="Times New Roman" w:hAnsi="Times New Roman"/>
                <w:sz w:val="21"/>
                <w:szCs w:val="21"/>
                <w:b w:val="1"/>
                <w:bCs w:val="1"/>
                <w:color w:val="auto"/>
              </w:rPr>
              <w:t>Reimbursement of Gain</w:t>
            </w: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or profit realized by the issuance or settlement of units under this Agreement, or by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disposition of any shares issued upon settlement of the units, to the extent Incyte has such a</w:t>
            </w:r>
          </w:p>
        </w:tc>
        <w:tc>
          <w:tcPr>
            <w:tcW w:w="0" w:type="dxa"/>
            <w:vAlign w:val="bottom"/>
          </w:tcPr>
          <w:p>
            <w:pPr>
              <w:spacing w:after="0"/>
              <w:rPr>
                <w:sz w:val="1"/>
                <w:szCs w:val="1"/>
                <w:color w:val="auto"/>
              </w:rPr>
            </w:pPr>
          </w:p>
        </w:tc>
      </w:tr>
      <w:tr>
        <w:trPr>
          <w:trHeight w:val="264"/>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b w:val="1"/>
                <w:bCs w:val="1"/>
                <w:color w:val="auto"/>
              </w:rPr>
              <w:t>Compliance with Section</w:t>
            </w: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right of recovery or reimbursement under applicable securities laws.</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080" w:type="dxa"/>
            <w:vAlign w:val="bottom"/>
          </w:tcPr>
          <w:p>
            <w:pPr>
              <w:ind w:left="780"/>
              <w:spacing w:after="0" w:line="213" w:lineRule="exact"/>
              <w:rPr>
                <w:sz w:val="20"/>
                <w:szCs w:val="20"/>
                <w:color w:val="auto"/>
              </w:rPr>
            </w:pPr>
            <w:r>
              <w:rPr>
                <w:rFonts w:ascii="Times New Roman" w:cs="Times New Roman" w:eastAsia="Times New Roman" w:hAnsi="Times New Roman"/>
                <w:sz w:val="21"/>
                <w:szCs w:val="21"/>
                <w:color w:val="auto"/>
              </w:rPr>
              <w:t>Incyte intends that the vesting and settlement of the units awarded under this</w:t>
            </w:r>
          </w:p>
        </w:tc>
        <w:tc>
          <w:tcPr>
            <w:tcW w:w="0" w:type="dxa"/>
            <w:vAlign w:val="bottom"/>
          </w:tcPr>
          <w:p>
            <w:pPr>
              <w:spacing w:after="0"/>
              <w:rPr>
                <w:sz w:val="1"/>
                <w:szCs w:val="1"/>
                <w:color w:val="auto"/>
              </w:rPr>
            </w:pPr>
          </w:p>
        </w:tc>
      </w:tr>
      <w:tr>
        <w:trPr>
          <w:trHeight w:val="212"/>
        </w:trPr>
        <w:tc>
          <w:tcPr>
            <w:tcW w:w="3040" w:type="dxa"/>
            <w:vAlign w:val="bottom"/>
          </w:tcPr>
          <w:p>
            <w:pPr>
              <w:spacing w:after="0" w:line="212" w:lineRule="exact"/>
              <w:rPr>
                <w:sz w:val="20"/>
                <w:szCs w:val="20"/>
                <w:color w:val="auto"/>
              </w:rPr>
            </w:pPr>
            <w:r>
              <w:rPr>
                <w:rFonts w:ascii="Times New Roman" w:cs="Times New Roman" w:eastAsia="Times New Roman" w:hAnsi="Times New Roman"/>
                <w:sz w:val="21"/>
                <w:szCs w:val="21"/>
                <w:b w:val="1"/>
                <w:bCs w:val="1"/>
                <w:color w:val="auto"/>
              </w:rPr>
              <w:t>409A of the Code</w:t>
            </w: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Agreement will qualify for an exemption from the application of, or will otherwise comply</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with, Section 409A of the U.S. Internal Revenue Code. Incyte reserves the right, to the extent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it deems necessary or advisable, to amend this Agreement without your consent in order to</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maintain such qualification for exemption or compliance. By reserving this right, however,</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080" w:type="dxa"/>
            <w:vAlign w:val="bottom"/>
          </w:tcPr>
          <w:p>
            <w:pPr>
              <w:ind w:left="140"/>
              <w:spacing w:after="0" w:line="212" w:lineRule="exact"/>
              <w:rPr>
                <w:sz w:val="20"/>
                <w:szCs w:val="20"/>
                <w:color w:val="auto"/>
              </w:rPr>
            </w:pPr>
            <w:r>
              <w:rPr>
                <w:rFonts w:ascii="Times New Roman" w:cs="Times New Roman" w:eastAsia="Times New Roman" w:hAnsi="Times New Roman"/>
                <w:sz w:val="21"/>
                <w:szCs w:val="21"/>
                <w:color w:val="auto"/>
              </w:rPr>
              <w:t>Incyte is not guarantying that Section 409A will never apply to the vesting and/or settlement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80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of the units, or that the requirements of Section 409A will be complied 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1">
            <w:col w:w="11160"/>
          </w:cols>
          <w:pgMar w:left="400" w:top="1395" w:right="339" w:bottom="1440" w:gutter="0" w:footer="0" w:header="0"/>
        </w:sectPr>
      </w:pPr>
    </w:p>
    <w:bookmarkStart w:id="125" w:name="page126"/>
    <w:bookmarkEnd w:id="125"/>
    <w:p>
      <w:pPr>
        <w:ind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Jurisdiction-Specific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21"/>
          <w:szCs w:val="21"/>
          <w:color w:val="auto"/>
        </w:rPr>
        <w:t>Additional or different terms and conditions and/or information with respect to this award may be included in an appendix to this Agreement. The appendices constitute part of this Agreement.</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This award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award and require you to sign additional agreements or undertakings that Incyte determines may be necessary or advisable for legal or administrative reasons to accomplish the grant of this award or the issuance of the securities issuable upon settlement of this award.</w:t>
      </w:r>
    </w:p>
    <w:p>
      <w:pPr>
        <w:spacing w:after="0" w:line="173" w:lineRule="exact"/>
        <w:rPr>
          <w:sz w:val="20"/>
          <w:szCs w:val="20"/>
          <w:color w:val="auto"/>
        </w:rPr>
      </w:pPr>
    </w:p>
    <w:p>
      <w:pPr>
        <w:ind w:right="500"/>
        <w:spacing w:after="0" w:line="285" w:lineRule="auto"/>
        <w:rPr>
          <w:sz w:val="20"/>
          <w:szCs w:val="20"/>
          <w:color w:val="auto"/>
        </w:rPr>
      </w:pPr>
      <w:r>
        <w:rPr>
          <w:rFonts w:ascii="Times New Roman" w:cs="Times New Roman" w:eastAsia="Times New Roman" w:hAnsi="Times New Roman"/>
          <w:sz w:val="21"/>
          <w:szCs w:val="21"/>
          <w:color w:val="auto"/>
        </w:rPr>
        <w:t>Information regarding the use of personal data in connection with the Plan is set forth in Appendix B to this Agreement (“Appendix B”).</w:t>
      </w:r>
    </w:p>
    <w:p>
      <w:pPr>
        <w:spacing w:after="0" w:line="182" w:lineRule="exact"/>
        <w:rPr>
          <w:sz w:val="20"/>
          <w:szCs w:val="20"/>
          <w:color w:val="auto"/>
        </w:rPr>
      </w:pPr>
    </w:p>
    <w:p>
      <w:pPr>
        <w:ind w:right="660" w:firstLine="636"/>
        <w:spacing w:after="0" w:line="245" w:lineRule="auto"/>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(without regard to its choice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2">
            <w:col w:w="2480" w:space="700"/>
            <w:col w:w="7980"/>
          </w:cols>
          <w:pgMar w:left="400" w:top="1420" w:right="339" w:bottom="1440" w:gutter="0" w:footer="0" w:header="0"/>
        </w:sectPr>
      </w:pPr>
    </w:p>
    <w:bookmarkStart w:id="126" w:name="page127"/>
    <w:bookmarkEnd w:id="126"/>
    <w:p>
      <w:pPr>
        <w:ind w:left="620"/>
        <w:spacing w:after="0"/>
        <w:tabs>
          <w:tab w:leader="none" w:pos="3160" w:val="left"/>
        </w:tabs>
        <w:rPr>
          <w:sz w:val="20"/>
          <w:szCs w:val="20"/>
          <w:color w:val="auto"/>
        </w:rPr>
      </w:pPr>
      <w:r>
        <w:rPr>
          <w:rFonts w:ascii="Times New Roman" w:cs="Times New Roman" w:eastAsia="Times New Roman" w:hAnsi="Times New Roman"/>
          <w:sz w:val="21"/>
          <w:szCs w:val="21"/>
          <w:b w:val="1"/>
          <w:bCs w:val="1"/>
          <w:color w:val="auto"/>
        </w:rPr>
        <w:t>Venue</w:t>
      </w:r>
      <w:r>
        <w:rPr>
          <w:sz w:val="20"/>
          <w:szCs w:val="20"/>
          <w:color w:val="auto"/>
        </w:rPr>
        <w:tab/>
      </w:r>
      <w:r>
        <w:rPr>
          <w:rFonts w:ascii="Times New Roman" w:cs="Times New Roman" w:eastAsia="Times New Roman" w:hAnsi="Times New Roman"/>
          <w:sz w:val="21"/>
          <w:szCs w:val="21"/>
          <w:color w:val="auto"/>
        </w:rPr>
        <w:t>Any and all disputes relating to, concerning or arising from this Agreement, or relating to,</w:t>
      </w:r>
    </w:p>
    <w:p>
      <w:pPr>
        <w:spacing w:after="0" w:line="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concerning or arising from the relationship between you and Incyte evidenced by this award</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or this Agreement, shall be brought and heard exclusively in the United States District Court</w:t>
      </w:r>
    </w:p>
    <w:p>
      <w:pPr>
        <w:spacing w:after="0" w:line="11" w:lineRule="exact"/>
        <w:rPr>
          <w:sz w:val="20"/>
          <w:szCs w:val="20"/>
          <w:color w:val="auto"/>
        </w:rPr>
      </w:pPr>
    </w:p>
    <w:p>
      <w:pPr>
        <w:ind w:left="3180" w:right="80"/>
        <w:spacing w:after="0" w:line="255" w:lineRule="auto"/>
        <w:rPr>
          <w:sz w:val="20"/>
          <w:szCs w:val="20"/>
          <w:color w:val="auto"/>
        </w:rPr>
      </w:pPr>
      <w:r>
        <w:rPr>
          <w:rFonts w:ascii="Times New Roman" w:cs="Times New Roman" w:eastAsia="Times New Roman" w:hAnsi="Times New Roman"/>
          <w:sz w:val="21"/>
          <w:szCs w:val="21"/>
          <w:color w:val="auto"/>
        </w:rPr>
        <w:t>for the District of Delaware or the Delaware Superior Court, New Castle County. You hereby represent and agree that you are subject to the personal jurisdiction of said courts, irrevocably consent to the jurisdiction of such courts in any legal or equitable proceedings related to, concerning or arising from such dispute, and waive, to the fullest extent permitted by law, any objection which you may now or hereafter have that the laying of the venue of any legal or equitable proceedings related to, concerning or arising from such dispute which is brought in such courts is improper or that such proceedings have been brought in an inconvenient forum.</w:t>
      </w:r>
    </w:p>
    <w:p>
      <w:pPr>
        <w:sectPr>
          <w:pgSz w:w="11900" w:h="16838" w:orient="portrait"/>
          <w:cols w:equalWidth="0" w:num="1">
            <w:col w:w="11160"/>
          </w:cols>
          <w:pgMar w:left="400" w:top="1420" w:right="339" w:bottom="1440" w:gutter="0" w:footer="0" w:header="0"/>
        </w:sectPr>
      </w:pPr>
    </w:p>
    <w:p>
      <w:pPr>
        <w:spacing w:after="0" w:line="197" w:lineRule="exact"/>
        <w:rPr>
          <w:sz w:val="20"/>
          <w:szCs w:val="20"/>
          <w:color w:val="auto"/>
        </w:rPr>
      </w:pPr>
    </w:p>
    <w:p>
      <w:pPr>
        <w:ind w:right="20" w:firstLine="636"/>
        <w:spacing w:after="0" w:line="249" w:lineRule="auto"/>
        <w:rPr>
          <w:sz w:val="20"/>
          <w:szCs w:val="20"/>
          <w:color w:val="auto"/>
        </w:rPr>
      </w:pPr>
      <w:r>
        <w:rPr>
          <w:rFonts w:ascii="Times New Roman" w:cs="Times New Roman" w:eastAsia="Times New Roman" w:hAnsi="Times New Roman"/>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1"/>
          <w:szCs w:val="21"/>
          <w:color w:val="auto"/>
        </w:rPr>
        <w:t>The text of the Incyte Corporation 2024 Inducement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6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This Agreement, the award notice and the Plan constitute the entire understanding between you and Incyte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(which may be electronic) entered into between you and Incyte.</w:t>
      </w:r>
    </w:p>
    <w:p>
      <w:pPr>
        <w:spacing w:after="0" w:line="200" w:lineRule="exact"/>
        <w:rPr>
          <w:sz w:val="20"/>
          <w:szCs w:val="20"/>
          <w:color w:val="auto"/>
        </w:rPr>
      </w:pPr>
    </w:p>
    <w:p>
      <w:pPr>
        <w:sectPr>
          <w:pgSz w:w="11900" w:h="16838" w:orient="portrait"/>
          <w:cols w:equalWidth="0" w:num="2">
            <w:col w:w="2460" w:space="720"/>
            <w:col w:w="7980"/>
          </w:cols>
          <w:pgMar w:left="400" w:top="1420" w:right="339" w:bottom="1440" w:gutter="0" w:footer="0" w:header="0"/>
          <w:type w:val="continuous"/>
        </w:sect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i w:val="1"/>
          <w:iCs w:val="1"/>
          <w:color w:val="auto"/>
        </w:rPr>
        <w:t>By accepting the award notice, you agree to all of the terms and conditions</w:t>
      </w:r>
    </w:p>
    <w:p>
      <w:pPr>
        <w:spacing w:after="0" w:line="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i w:val="1"/>
          <w:iCs w:val="1"/>
          <w:color w:val="auto"/>
        </w:rPr>
        <w:t>described in the Agreement (including any appendix)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4862-8101-7044.v1</w:t>
      </w:r>
    </w:p>
    <w:p>
      <w:pPr>
        <w:sectPr>
          <w:pgSz w:w="11900" w:h="16838" w:orient="portrait"/>
          <w:cols w:equalWidth="0" w:num="1">
            <w:col w:w="11160"/>
          </w:cols>
          <w:pgMar w:left="400" w:top="1420" w:right="33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12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3373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12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2024,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12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2024,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29, 2024</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bullet"/>
      <w:start w:val="1"/>
    </w:lvl>
  </w:abstractNum>
  <w:abstractNum w:abstractNumId="11">
    <w:nsid w:val="737B8DDC"/>
    <w:multiLevelType w:val="hybridMultilevel"/>
    <w:lvl w:ilvl="0">
      <w:lvlJc w:val="left"/>
      <w:lvlText w:val="%1)"/>
      <w:numFmt w:val="decimal"/>
      <w:start w:val="2"/>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
      <w:numFmt w:val="bullet"/>
      <w:start w:val="1"/>
    </w:lvl>
    <w:lvl w:ilvl="1">
      <w:lvlJc w:val="left"/>
      <w:lvlText w:val="%2"/>
      <w:numFmt w:val="decimal"/>
      <w:start w:val="104"/>
    </w:lvl>
  </w:abstractNum>
  <w:abstractNum w:abstractNumId="32">
    <w:nsid w:val="70A64E2A"/>
    <w:multiLevelType w:val="hybridMultilevel"/>
    <w:lvl w:ilvl="0">
      <w:lvlJc w:val="left"/>
      <w:lvlText w:val="**"/>
      <w:numFmt w:val="bullet"/>
      <w:start w:val="1"/>
    </w:lvl>
    <w:lvl w:ilvl="1">
      <w:lvlJc w:val="left"/>
      <w:lvlText w:val="%2"/>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upperLetter"/>
      <w:start w:val="1"/>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lowerRoman"/>
      <w:start w:val="1"/>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upperLetter"/>
      <w:start w:val="1"/>
    </w:lvl>
  </w:abstractNum>
  <w:abstractNum w:abstractNumId="43">
    <w:nsid w:val="38437FDB"/>
    <w:multiLevelType w:val="hybridMultilevel"/>
    <w:lvl w:ilvl="0">
      <w:lvlJc w:val="left"/>
      <w:lvlText w:val="(%1)"/>
      <w:numFmt w:val="upperLetter"/>
      <w:start w:val="1"/>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1)"/>
      <w:numFmt w:val="lowerRoman"/>
      <w:start w:val="1"/>
    </w:lvl>
  </w:abstractNum>
  <w:abstractNum w:abstractNumId="46">
    <w:nsid w:val="684A481A"/>
    <w:multiLevelType w:val="hybridMultilevel"/>
    <w:lvl w:ilvl="0">
      <w:lvlJc w:val="left"/>
      <w:lvlText w:val="(%1)"/>
      <w:numFmt w:val="lowerRoman"/>
      <w:start w:val="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2024-10-29T15:16:37Z</dcterms:created>
  <dcterms:modified xsi:type="dcterms:W3CDTF">2024-10-29T15:16:37Z</dcterms:modified>
</cp:coreProperties>
</file>