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223520</wp:posOffset>
            </wp:positionV>
            <wp:extent cx="659511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5110" cy="342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-224155</wp:posOffset>
            </wp:positionV>
            <wp:extent cx="65951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4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29" w:lineRule="exact"/>
        <w:rPr>
          <w:sz w:val="24"/>
          <w:szCs w:val="24"/>
          <w:color w:val="auto"/>
        </w:rPr>
      </w:pPr>
    </w:p>
    <w:p>
      <w:pPr>
        <w:ind w:left="640" w:right="120" w:hanging="318"/>
        <w:spacing w:after="0" w:line="273" w:lineRule="auto"/>
        <w:tabs>
          <w:tab w:leader="none" w:pos="640"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2019</w:t>
      </w: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9" w:lineRule="exact"/>
        <w:rPr>
          <w:sz w:val="24"/>
          <w:szCs w:val="24"/>
          <w:color w:val="auto"/>
        </w:rPr>
      </w:pPr>
    </w:p>
    <w:p>
      <w:pPr>
        <w:ind w:left="640" w:right="100" w:hanging="318"/>
        <w:spacing w:after="0" w:line="273" w:lineRule="auto"/>
        <w:tabs>
          <w:tab w:leader="none" w:pos="640" w:val="left"/>
        </w:tabs>
        <w:numPr>
          <w:ilvl w:val="0"/>
          <w:numId w:val="2"/>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69" w:lineRule="exact"/>
        <w:rPr>
          <w:sz w:val="24"/>
          <w:szCs w:val="24"/>
          <w:color w:val="auto"/>
        </w:rPr>
      </w:pPr>
    </w:p>
    <w:p>
      <w:pPr>
        <w:ind w:left="3580"/>
        <w:spacing w:after="0"/>
        <w:tabs>
          <w:tab w:leader="none" w:pos="61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001-12400</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INCYTE CORPORATION</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34" w:lineRule="exact"/>
        <w:rPr>
          <w:sz w:val="24"/>
          <w:szCs w:val="24"/>
          <w:color w:val="auto"/>
        </w:rPr>
      </w:pPr>
    </w:p>
    <w:tbl>
      <w:tblPr>
        <w:tblLayout w:type="fixed"/>
        <w:tblInd w:w="480" w:type="dxa"/>
        <w:tblCellMar>
          <w:top w:w="0" w:type="dxa"/>
          <w:left w:w="0" w:type="dxa"/>
          <w:bottom w:w="0" w:type="dxa"/>
          <w:right w:w="0" w:type="dxa"/>
        </w:tblCellMar>
      </w:tblPr>
      <w:tr>
        <w:trPr>
          <w:trHeight w:val="205"/>
        </w:trPr>
        <w:tc>
          <w:tcPr>
            <w:tcW w:w="660" w:type="dxa"/>
            <w:vAlign w:val="bottom"/>
          </w:tcPr>
          <w:p>
            <w:pPr>
              <w:spacing w:after="0"/>
              <w:rPr>
                <w:sz w:val="17"/>
                <w:szCs w:val="17"/>
                <w:color w:val="auto"/>
              </w:rPr>
            </w:pPr>
          </w:p>
        </w:tc>
        <w:tc>
          <w:tcPr>
            <w:tcW w:w="3120" w:type="dxa"/>
            <w:vAlign w:val="bottom"/>
            <w:gridSpan w:val="2"/>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700" w:type="dxa"/>
            <w:vAlign w:val="bottom"/>
            <w:gridSpan w:val="2"/>
          </w:tcPr>
          <w:p>
            <w:pPr>
              <w:jc w:val="right"/>
              <w:ind w:right="1548"/>
              <w:spacing w:after="0"/>
              <w:rPr>
                <w:sz w:val="20"/>
                <w:szCs w:val="20"/>
                <w:color w:val="auto"/>
              </w:rPr>
            </w:pPr>
            <w:r>
              <w:rPr>
                <w:rFonts w:ascii="Times New Roman" w:cs="Times New Roman" w:eastAsia="Times New Roman" w:hAnsi="Times New Roman"/>
                <w:sz w:val="16"/>
                <w:szCs w:val="16"/>
                <w:b w:val="1"/>
                <w:bCs w:val="1"/>
                <w:color w:val="auto"/>
              </w:rPr>
              <w:t>94-3136539</w:t>
            </w:r>
          </w:p>
        </w:tc>
      </w:tr>
      <w:tr>
        <w:trPr>
          <w:trHeight w:val="203"/>
        </w:trPr>
        <w:tc>
          <w:tcPr>
            <w:tcW w:w="660" w:type="dxa"/>
            <w:vAlign w:val="bottom"/>
          </w:tcPr>
          <w:p>
            <w:pPr>
              <w:spacing w:after="0"/>
              <w:rPr>
                <w:sz w:val="17"/>
                <w:szCs w:val="17"/>
                <w:color w:val="auto"/>
              </w:rPr>
            </w:pPr>
          </w:p>
        </w:tc>
        <w:tc>
          <w:tcPr>
            <w:tcW w:w="3120" w:type="dxa"/>
            <w:vAlign w:val="bottom"/>
            <w:gridSpan w:val="2"/>
          </w:tcPr>
          <w:p>
            <w:pPr>
              <w:jc w:val="center"/>
              <w:ind w:right="23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700" w:type="dxa"/>
            <w:vAlign w:val="bottom"/>
            <w:gridSpan w:val="2"/>
          </w:tcPr>
          <w:p>
            <w:pPr>
              <w:jc w:val="center"/>
              <w:ind w:right="1268"/>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660" w:type="dxa"/>
            <w:vAlign w:val="bottom"/>
          </w:tcPr>
          <w:p>
            <w:pPr>
              <w:spacing w:after="0"/>
              <w:rPr>
                <w:sz w:val="18"/>
                <w:szCs w:val="18"/>
                <w:color w:val="auto"/>
              </w:rPr>
            </w:pPr>
          </w:p>
        </w:tc>
        <w:tc>
          <w:tcPr>
            <w:tcW w:w="3120" w:type="dxa"/>
            <w:vAlign w:val="bottom"/>
            <w:gridSpan w:val="2"/>
          </w:tcPr>
          <w:p>
            <w:pPr>
              <w:jc w:val="center"/>
              <w:ind w:right="21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700" w:type="dxa"/>
            <w:vAlign w:val="bottom"/>
            <w:gridSpan w:val="2"/>
          </w:tcPr>
          <w:p>
            <w:pPr>
              <w:jc w:val="center"/>
              <w:ind w:right="1268"/>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395"/>
        </w:trPr>
        <w:tc>
          <w:tcPr>
            <w:tcW w:w="660" w:type="dxa"/>
            <w:vAlign w:val="bottom"/>
          </w:tcPr>
          <w:p>
            <w:pPr>
              <w:spacing w:after="0"/>
              <w:rPr>
                <w:sz w:val="24"/>
                <w:szCs w:val="24"/>
                <w:color w:val="auto"/>
              </w:rPr>
            </w:pPr>
          </w:p>
        </w:tc>
        <w:tc>
          <w:tcPr>
            <w:tcW w:w="3120" w:type="dxa"/>
            <w:vAlign w:val="bottom"/>
            <w:gridSpan w:val="2"/>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1801 Augustine Cut-Off</w:t>
            </w: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05"/>
        </w:trPr>
        <w:tc>
          <w:tcPr>
            <w:tcW w:w="660" w:type="dxa"/>
            <w:vAlign w:val="bottom"/>
          </w:tcPr>
          <w:p>
            <w:pPr>
              <w:spacing w:after="0"/>
              <w:rPr>
                <w:sz w:val="17"/>
                <w:szCs w:val="17"/>
                <w:color w:val="auto"/>
              </w:rPr>
            </w:pPr>
          </w:p>
        </w:tc>
        <w:tc>
          <w:tcPr>
            <w:tcW w:w="3120" w:type="dxa"/>
            <w:vAlign w:val="bottom"/>
            <w:gridSpan w:val="2"/>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Wilmington, DE 19803</w:t>
            </w: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700" w:type="dxa"/>
            <w:vAlign w:val="bottom"/>
            <w:gridSpan w:val="2"/>
          </w:tcPr>
          <w:p>
            <w:pPr>
              <w:jc w:val="right"/>
              <w:ind w:right="1748"/>
              <w:spacing w:after="0"/>
              <w:rPr>
                <w:sz w:val="20"/>
                <w:szCs w:val="20"/>
                <w:color w:val="auto"/>
              </w:rPr>
            </w:pPr>
            <w:r>
              <w:rPr>
                <w:rFonts w:ascii="Times New Roman" w:cs="Times New Roman" w:eastAsia="Times New Roman" w:hAnsi="Times New Roman"/>
                <w:sz w:val="16"/>
                <w:szCs w:val="16"/>
                <w:b w:val="1"/>
                <w:bCs w:val="1"/>
                <w:color w:val="auto"/>
              </w:rPr>
              <w:t>19803</w:t>
            </w:r>
          </w:p>
        </w:tc>
      </w:tr>
      <w:tr>
        <w:trPr>
          <w:trHeight w:val="210"/>
        </w:trPr>
        <w:tc>
          <w:tcPr>
            <w:tcW w:w="660" w:type="dxa"/>
            <w:vAlign w:val="bottom"/>
          </w:tcPr>
          <w:p>
            <w:pPr>
              <w:spacing w:after="0"/>
              <w:rPr>
                <w:sz w:val="18"/>
                <w:szCs w:val="18"/>
                <w:color w:val="auto"/>
              </w:rPr>
            </w:pPr>
          </w:p>
        </w:tc>
        <w:tc>
          <w:tcPr>
            <w:tcW w:w="3120" w:type="dxa"/>
            <w:vAlign w:val="bottom"/>
            <w:gridSpan w:val="2"/>
          </w:tcPr>
          <w:p>
            <w:pPr>
              <w:jc w:val="center"/>
              <w:ind w:right="21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700" w:type="dxa"/>
            <w:vAlign w:val="bottom"/>
            <w:gridSpan w:val="2"/>
          </w:tcPr>
          <w:p>
            <w:pPr>
              <w:jc w:val="center"/>
              <w:ind w:right="1268"/>
              <w:spacing w:after="0"/>
              <w:rPr>
                <w:sz w:val="20"/>
                <w:szCs w:val="20"/>
                <w:color w:val="auto"/>
              </w:rPr>
            </w:pPr>
            <w:r>
              <w:rPr>
                <w:rFonts w:ascii="Times New Roman" w:cs="Times New Roman" w:eastAsia="Times New Roman" w:hAnsi="Times New Roman"/>
                <w:sz w:val="16"/>
                <w:szCs w:val="16"/>
                <w:color w:val="auto"/>
              </w:rPr>
              <w:t>(Zip Code)</w:t>
            </w:r>
          </w:p>
        </w:tc>
      </w:tr>
      <w:tr>
        <w:trPr>
          <w:trHeight w:val="316"/>
        </w:trPr>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580" w:type="dxa"/>
            <w:vAlign w:val="bottom"/>
            <w:gridSpan w:val="2"/>
          </w:tcPr>
          <w:p>
            <w:pPr>
              <w:jc w:val="center"/>
              <w:ind w:left="203"/>
              <w:spacing w:after="0"/>
              <w:rPr>
                <w:sz w:val="20"/>
                <w:szCs w:val="20"/>
                <w:color w:val="auto"/>
              </w:rPr>
            </w:pPr>
            <w:r>
              <w:rPr>
                <w:rFonts w:ascii="Times New Roman" w:cs="Times New Roman" w:eastAsia="Times New Roman" w:hAnsi="Times New Roman"/>
                <w:sz w:val="16"/>
                <w:szCs w:val="16"/>
                <w:b w:val="1"/>
                <w:bCs w:val="1"/>
                <w:color w:val="auto"/>
              </w:rPr>
              <w:t>(302) 498-6700</w:t>
            </w: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10"/>
        </w:trPr>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940" w:type="dxa"/>
            <w:vAlign w:val="bottom"/>
            <w:gridSpan w:val="4"/>
          </w:tcPr>
          <w:p>
            <w:pPr>
              <w:jc w:val="center"/>
              <w:ind w:left="93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3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97"/>
        </w:trPr>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940" w:type="dxa"/>
            <w:vAlign w:val="bottom"/>
            <w:gridSpan w:val="4"/>
          </w:tcPr>
          <w:p>
            <w:pPr>
              <w:jc w:val="center"/>
              <w:ind w:left="91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63"/>
        </w:trPr>
        <w:tc>
          <w:tcPr>
            <w:tcW w:w="660" w:type="dxa"/>
            <w:vAlign w:val="bottom"/>
          </w:tcPr>
          <w:p>
            <w:pPr>
              <w:spacing w:after="0"/>
              <w:rPr>
                <w:sz w:val="22"/>
                <w:szCs w:val="22"/>
                <w:color w:val="auto"/>
              </w:rPr>
            </w:pPr>
          </w:p>
        </w:tc>
        <w:tc>
          <w:tcPr>
            <w:tcW w:w="3120" w:type="dxa"/>
            <w:vAlign w:val="bottom"/>
            <w:gridSpan w:val="2"/>
          </w:tcPr>
          <w:p>
            <w:pPr>
              <w:jc w:val="center"/>
              <w:ind w:right="195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900" w:type="dxa"/>
            <w:vAlign w:val="bottom"/>
            <w:gridSpan w:val="3"/>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700" w:type="dxa"/>
            <w:vAlign w:val="bottom"/>
            <w:gridSpan w:val="2"/>
          </w:tcPr>
          <w:p>
            <w:pPr>
              <w:jc w:val="center"/>
              <w:ind w:left="260"/>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20"/>
        </w:trPr>
        <w:tc>
          <w:tcPr>
            <w:tcW w:w="6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r>
      <w:tr>
        <w:trPr>
          <w:trHeight w:val="182"/>
        </w:trPr>
        <w:tc>
          <w:tcPr>
            <w:tcW w:w="3780" w:type="dxa"/>
            <w:vAlign w:val="bottom"/>
            <w:gridSpan w:val="3"/>
          </w:tcPr>
          <w:p>
            <w:pPr>
              <w:jc w:val="center"/>
              <w:ind w:right="1279"/>
              <w:spacing w:after="0"/>
              <w:rPr>
                <w:sz w:val="20"/>
                <w:szCs w:val="20"/>
                <w:color w:val="auto"/>
              </w:rPr>
            </w:pPr>
            <w:r>
              <w:rPr>
                <w:rFonts w:ascii="Times New Roman" w:cs="Times New Roman" w:eastAsia="Times New Roman" w:hAnsi="Times New Roman"/>
                <w:sz w:val="14"/>
                <w:szCs w:val="14"/>
                <w:color w:val="auto"/>
              </w:rPr>
              <w:t>Common Stock, $.001 par value per share</w:t>
            </w:r>
          </w:p>
        </w:tc>
        <w:tc>
          <w:tcPr>
            <w:tcW w:w="420" w:type="dxa"/>
            <w:vAlign w:val="bottom"/>
          </w:tcPr>
          <w:p>
            <w:pPr>
              <w:spacing w:after="0"/>
              <w:rPr>
                <w:sz w:val="15"/>
                <w:szCs w:val="15"/>
                <w:color w:val="auto"/>
              </w:rPr>
            </w:pPr>
          </w:p>
        </w:tc>
        <w:tc>
          <w:tcPr>
            <w:tcW w:w="2480" w:type="dxa"/>
            <w:vAlign w:val="bottom"/>
            <w:gridSpan w:val="2"/>
          </w:tcPr>
          <w:p>
            <w:pPr>
              <w:jc w:val="center"/>
              <w:ind w:right="1320"/>
              <w:spacing w:after="0"/>
              <w:rPr>
                <w:sz w:val="20"/>
                <w:szCs w:val="20"/>
                <w:color w:val="auto"/>
              </w:rPr>
            </w:pPr>
            <w:r>
              <w:rPr>
                <w:rFonts w:ascii="Times New Roman" w:cs="Times New Roman" w:eastAsia="Times New Roman" w:hAnsi="Times New Roman"/>
                <w:sz w:val="14"/>
                <w:szCs w:val="14"/>
                <w:color w:val="auto"/>
              </w:rPr>
              <w:t>INCY</w:t>
            </w:r>
          </w:p>
        </w:tc>
        <w:tc>
          <w:tcPr>
            <w:tcW w:w="340" w:type="dxa"/>
            <w:vAlign w:val="bottom"/>
          </w:tcPr>
          <w:p>
            <w:pPr>
              <w:spacing w:after="0"/>
              <w:rPr>
                <w:sz w:val="15"/>
                <w:szCs w:val="15"/>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81" w:lineRule="exact"/>
        <w:rPr>
          <w:sz w:val="24"/>
          <w:szCs w:val="24"/>
          <w:color w:val="auto"/>
        </w:rPr>
      </w:pPr>
    </w:p>
    <w:p>
      <w:pPr>
        <w:jc w:val="both"/>
        <w:ind w:firstLine="324"/>
        <w:spacing w:after="0" w:line="21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w:t>
      </w:r>
    </w:p>
    <w:p>
      <w:pPr>
        <w:spacing w:after="0" w:line="96" w:lineRule="exact"/>
        <w:rPr>
          <w:sz w:val="24"/>
          <w:szCs w:val="24"/>
          <w:color w:val="auto"/>
        </w:rPr>
      </w:pPr>
    </w:p>
    <w:p>
      <w:pPr>
        <w:jc w:val="both"/>
        <w:ind w:firstLine="324"/>
        <w:spacing w:after="0" w:line="21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w:t>
      </w:r>
    </w:p>
    <w:p>
      <w:pPr>
        <w:spacing w:after="0" w:line="96" w:lineRule="exact"/>
        <w:rPr>
          <w:sz w:val="24"/>
          <w:szCs w:val="24"/>
          <w:color w:val="auto"/>
        </w:rPr>
      </w:pPr>
    </w:p>
    <w:p>
      <w:pPr>
        <w:jc w:val="both"/>
        <w:ind w:firstLine="324"/>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380"/>
          </w:cols>
          <w:pgMar w:left="760" w:top="661" w:right="759" w:bottom="1440" w:gutter="0" w:footer="0" w:header="0"/>
        </w:sectPr>
      </w:pPr>
    </w:p>
    <w:p>
      <w:pPr>
        <w:spacing w:after="0" w:line="71" w:lineRule="exact"/>
        <w:rPr>
          <w:sz w:val="24"/>
          <w:szCs w:val="24"/>
          <w:color w:val="auto"/>
        </w:rPr>
      </w:pPr>
    </w:p>
    <w:p>
      <w:pPr>
        <w:ind w:left="1720"/>
        <w:spacing w:after="0" w:line="215"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line="215"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Arial Unicode MS" w:cs="Arial Unicode MS" w:eastAsia="Arial Unicode MS" w:hAnsi="Arial Unicode MS"/>
          <w:sz w:val="16"/>
          <w:szCs w:val="16"/>
          <w:color w:val="auto"/>
        </w:rPr>
        <w:t>☐</w:t>
      </w:r>
    </w:p>
    <w:p>
      <w:pPr>
        <w:spacing w:after="0" w:line="200" w:lineRule="exact"/>
        <w:rPr>
          <w:sz w:val="24"/>
          <w:szCs w:val="24"/>
          <w:color w:val="auto"/>
        </w:rPr>
      </w:pPr>
    </w:p>
    <w:p>
      <w:pPr>
        <w:sectPr>
          <w:pgSz w:w="11900" w:h="16838" w:orient="portrait"/>
          <w:cols w:equalWidth="0" w:num="2">
            <w:col w:w="6480" w:space="720"/>
            <w:col w:w="3180"/>
          </w:cols>
          <w:pgMar w:left="760" w:top="661" w:right="759" w:bottom="1440" w:gutter="0" w:footer="0" w:header="0"/>
          <w:type w:val="continuous"/>
        </w:sectPr>
      </w:pPr>
    </w:p>
    <w:p>
      <w:pPr>
        <w:spacing w:after="0" w:line="17"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195" w:lineRule="exact"/>
        <w:rPr>
          <w:sz w:val="24"/>
          <w:szCs w:val="24"/>
          <w:color w:val="auto"/>
        </w:rPr>
      </w:pPr>
    </w:p>
    <w:p>
      <w:pPr>
        <w:sectPr>
          <w:pgSz w:w="11900" w:h="16838" w:orient="portrait"/>
          <w:cols w:equalWidth="0" w:num="2">
            <w:col w:w="6140" w:space="720"/>
            <w:col w:w="3520"/>
          </w:cols>
          <w:pgMar w:left="760" w:top="661" w:right="759" w:bottom="1440" w:gutter="0" w:footer="0" w:header="0"/>
          <w:type w:val="continuous"/>
        </w:sectPr>
      </w:pPr>
    </w:p>
    <w:p>
      <w:pPr>
        <w:ind w:left="6860"/>
        <w:spacing w:after="0" w:line="215"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Arial Unicode MS" w:cs="Arial Unicode MS" w:eastAsia="Arial Unicode MS" w:hAnsi="Arial Unicode MS"/>
          <w:sz w:val="16"/>
          <w:szCs w:val="16"/>
          <w:color w:val="auto"/>
        </w:rPr>
        <w:t>☐</w:t>
      </w:r>
    </w:p>
    <w:p>
      <w:pPr>
        <w:sectPr>
          <w:pgSz w:w="11900" w:h="16838" w:orient="portrait"/>
          <w:cols w:equalWidth="0" w:num="1">
            <w:col w:w="10380"/>
          </w:cols>
          <w:pgMar w:left="760" w:top="661" w:right="759" w:bottom="1440" w:gutter="0" w:footer="0" w:header="0"/>
          <w:type w:val="continuous"/>
        </w:sectPr>
      </w:pPr>
    </w:p>
    <w:p>
      <w:pPr>
        <w:spacing w:after="0" w:line="149" w:lineRule="exact"/>
        <w:rPr>
          <w:sz w:val="24"/>
          <w:szCs w:val="24"/>
          <w:color w:val="auto"/>
        </w:rPr>
      </w:pPr>
    </w:p>
    <w:p>
      <w:pPr>
        <w:ind w:right="80" w:firstLine="324"/>
        <w:spacing w:after="0" w:line="21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71" w:lineRule="exact"/>
        <w:rPr>
          <w:sz w:val="24"/>
          <w:szCs w:val="24"/>
          <w:color w:val="auto"/>
        </w:rPr>
      </w:pPr>
    </w:p>
    <w:p>
      <w:pPr>
        <w:ind w:left="320" w:right="1720"/>
        <w:spacing w:after="0" w:line="28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The number of outstanding shares of the registrant’s Common Stock, $.001 par value, was 215,066,629 as of July 23,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664845</wp:posOffset>
            </wp:positionV>
            <wp:extent cx="659511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9511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133350</wp:posOffset>
            </wp:positionV>
            <wp:extent cx="65951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175895</wp:posOffset>
            </wp:positionV>
            <wp:extent cx="659511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95110" cy="34290"/>
                    </a:xfrm>
                    <a:prstGeom prst="rect">
                      <a:avLst/>
                    </a:prstGeom>
                    <a:noFill/>
                  </pic:spPr>
                </pic:pic>
              </a:graphicData>
            </a:graphic>
          </wp:anchor>
        </w:drawing>
      </w:r>
    </w:p>
    <w:p>
      <w:pPr>
        <w:sectPr>
          <w:pgSz w:w="11900" w:h="16838" w:orient="portrait"/>
          <w:cols w:equalWidth="0" w:num="1">
            <w:col w:w="10380"/>
          </w:cols>
          <w:pgMar w:left="760" w:top="661" w:right="75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980" w:type="dxa"/>
            <w:vAlign w:val="bottom"/>
            <w:gridSpan w:val="9"/>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w w:val="99"/>
              </w:rPr>
              <w:t>INCYTE CORPORATION</w:t>
            </w:r>
          </w:p>
        </w:tc>
        <w:tc>
          <w:tcPr>
            <w:tcW w:w="1000" w:type="dxa"/>
            <w:vAlign w:val="bottom"/>
          </w:tcPr>
          <w:p>
            <w:pPr>
              <w:spacing w:after="0"/>
              <w:rPr>
                <w:sz w:val="20"/>
                <w:szCs w:val="20"/>
                <w:color w:val="auto"/>
              </w:rPr>
            </w:pPr>
          </w:p>
        </w:tc>
      </w:tr>
      <w:tr>
        <w:trPr>
          <w:trHeight w:val="351"/>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360" w:type="dxa"/>
            <w:vAlign w:val="bottom"/>
            <w:gridSpan w:val="8"/>
          </w:tcPr>
          <w:p>
            <w:pPr>
              <w:jc w:val="center"/>
              <w:ind w:right="270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000" w:type="dxa"/>
            <w:vAlign w:val="bottom"/>
          </w:tcPr>
          <w:p>
            <w:pPr>
              <w:spacing w:after="0"/>
              <w:rPr>
                <w:sz w:val="24"/>
                <w:szCs w:val="24"/>
                <w:color w:val="auto"/>
              </w:rPr>
            </w:pPr>
          </w:p>
        </w:tc>
      </w:tr>
      <w:tr>
        <w:trPr>
          <w:trHeight w:val="338"/>
        </w:trPr>
        <w:tc>
          <w:tcPr>
            <w:tcW w:w="8060" w:type="dxa"/>
            <w:vAlign w:val="bottom"/>
            <w:gridSpan w:val="23"/>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PART I</w:t>
              </w:r>
            </w:hyperlink>
            <w:r>
              <w:rPr>
                <w:rFonts w:ascii="Times New Roman" w:cs="Times New Roman" w:eastAsia="Times New Roman" w:hAnsi="Times New Roman"/>
                <w:sz w:val="18"/>
                <w:szCs w:val="18"/>
                <w:b w:val="1"/>
                <w:bCs w:val="1"/>
                <w:color w:val="000000"/>
              </w:rPr>
              <w:t>:</w:t>
            </w:r>
            <w:r>
              <w:rPr>
                <w:rFonts w:ascii="Times New Roman" w:cs="Times New Roman" w:eastAsia="Times New Roman" w:hAnsi="Times New Roman"/>
                <w:sz w:val="18"/>
                <w:szCs w:val="18"/>
                <w:b w:val="1"/>
                <w:bCs w:val="1"/>
                <w:color w:val="0000EE"/>
              </w:rPr>
              <w:t xml:space="preserve"> </w:t>
            </w:r>
            <w:hyperlink w:anchor="page3">
              <w:r>
                <w:rPr>
                  <w:rFonts w:ascii="Times New Roman" w:cs="Times New Roman" w:eastAsia="Times New Roman" w:hAnsi="Times New Roman"/>
                  <w:sz w:val="18"/>
                  <w:szCs w:val="18"/>
                  <w:b w:val="1"/>
                  <w:bCs w:val="1"/>
                  <w:color w:val="0000EE"/>
                </w:rPr>
                <w:t>FINANCIAL INFORMATION</w:t>
              </w:r>
            </w:hyperlink>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580" w:type="dxa"/>
            <w:vAlign w:val="bottom"/>
            <w:tcBorders>
              <w:top w:val="single" w:sz="8" w:color="0000EE"/>
            </w:tcBorders>
            <w:gridSpan w:val="2"/>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Item 1.</w:t>
              </w:r>
            </w:hyperlink>
          </w:p>
        </w:tc>
        <w:tc>
          <w:tcPr>
            <w:tcW w:w="120" w:type="dxa"/>
            <w:vAlign w:val="bottom"/>
            <w:gridSpan w:val="3"/>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32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4980" w:type="dxa"/>
            <w:vAlign w:val="bottom"/>
            <w:gridSpan w:val="9"/>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Balance Sheets</w:t>
              </w:r>
            </w:hyperlink>
          </w:p>
        </w:tc>
        <w:tc>
          <w:tcPr>
            <w:tcW w:w="4360" w:type="dxa"/>
            <w:vAlign w:val="bottom"/>
            <w:gridSpan w:val="8"/>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Operations</w:t>
              </w:r>
            </w:hyperlink>
          </w:p>
        </w:tc>
        <w:tc>
          <w:tcPr>
            <w:tcW w:w="3640" w:type="dxa"/>
            <w:vAlign w:val="bottom"/>
            <w:gridSpan w:val="7"/>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300" w:type="dxa"/>
            <w:vAlign w:val="bottom"/>
            <w:gridSpan w:val="17"/>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Comprehensive Income</w:t>
              </w:r>
            </w:hyperlink>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0" w:type="dxa"/>
            <w:vAlign w:val="bottom"/>
            <w:tcBorders>
              <w:top w:val="single" w:sz="8" w:color="0000EE"/>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Statements of Stockholders’ Equity</w:t>
              </w:r>
            </w:hyperlink>
          </w:p>
        </w:tc>
        <w:tc>
          <w:tcPr>
            <w:tcW w:w="180" w:type="dxa"/>
            <w:vAlign w:val="bottom"/>
            <w:tcBorders>
              <w:top w:val="single" w:sz="8" w:color="0000EE"/>
            </w:tcBorders>
          </w:tcPr>
          <w:p>
            <w:pPr>
              <w:spacing w:after="0"/>
              <w:rPr>
                <w:sz w:val="24"/>
                <w:szCs w:val="24"/>
                <w:color w:val="auto"/>
              </w:rPr>
            </w:pPr>
          </w:p>
        </w:tc>
        <w:tc>
          <w:tcPr>
            <w:tcW w:w="2720" w:type="dxa"/>
            <w:vAlign w:val="bottom"/>
            <w:gridSpan w:val="2"/>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Condensed Consolidated Statements of Cash Flows</w:t>
              </w:r>
            </w:hyperlink>
          </w:p>
        </w:tc>
        <w:tc>
          <w:tcPr>
            <w:tcW w:w="3580" w:type="dxa"/>
            <w:vAlign w:val="bottom"/>
            <w:gridSpan w:val="6"/>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Notes to Condensed Consolidated Financial Statements</w:t>
              </w:r>
            </w:hyperlink>
          </w:p>
        </w:tc>
        <w:tc>
          <w:tcPr>
            <w:tcW w:w="3300" w:type="dxa"/>
            <w:vAlign w:val="bottom"/>
            <w:gridSpan w:val="5"/>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12"/>
        </w:trPr>
        <w:tc>
          <w:tcPr>
            <w:tcW w:w="700" w:type="dxa"/>
            <w:vAlign w:val="bottom"/>
            <w:gridSpan w:val="5"/>
          </w:tcPr>
          <w:p>
            <w:pPr>
              <w:spacing w:after="0"/>
              <w:rPr>
                <w:rFonts w:ascii="Times New Roman" w:cs="Times New Roman" w:eastAsia="Times New Roman" w:hAnsi="Times New Roman"/>
                <w:sz w:val="18"/>
                <w:szCs w:val="18"/>
                <w:b w:val="1"/>
                <w:bCs w:val="1"/>
                <w:color w:val="0000EE"/>
              </w:rPr>
            </w:pPr>
            <w:hyperlink w:anchor="page38">
              <w:r>
                <w:rPr>
                  <w:rFonts w:ascii="Times New Roman" w:cs="Times New Roman" w:eastAsia="Times New Roman" w:hAnsi="Times New Roman"/>
                  <w:sz w:val="18"/>
                  <w:szCs w:val="18"/>
                  <w:b w:val="1"/>
                  <w:bCs w:val="1"/>
                  <w:color w:val="0000EE"/>
                </w:rPr>
                <w:t>Item 2.</w:t>
              </w:r>
            </w:hyperlink>
          </w:p>
        </w:tc>
        <w:tc>
          <w:tcPr>
            <w:tcW w:w="60" w:type="dxa"/>
            <w:vAlign w:val="bottom"/>
          </w:tcPr>
          <w:p>
            <w:pPr>
              <w:spacing w:after="0"/>
              <w:rPr>
                <w:sz w:val="24"/>
                <w:szCs w:val="24"/>
                <w:color w:val="auto"/>
              </w:rPr>
            </w:pPr>
          </w:p>
        </w:tc>
        <w:tc>
          <w:tcPr>
            <w:tcW w:w="7300" w:type="dxa"/>
            <w:vAlign w:val="bottom"/>
            <w:gridSpan w:val="17"/>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80" w:type="dxa"/>
            <w:vAlign w:val="bottom"/>
            <w:gridSpan w:val="6"/>
            <w:shd w:val="clear" w:color="auto" w:fill="0000EE"/>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700" w:type="dxa"/>
            <w:vAlign w:val="bottom"/>
            <w:gridSpan w:val="5"/>
          </w:tcPr>
          <w:p>
            <w:pPr>
              <w:spacing w:after="0"/>
              <w:rPr>
                <w:rFonts w:ascii="Times New Roman" w:cs="Times New Roman" w:eastAsia="Times New Roman" w:hAnsi="Times New Roman"/>
                <w:sz w:val="18"/>
                <w:szCs w:val="18"/>
                <w:b w:val="1"/>
                <w:bCs w:val="1"/>
                <w:color w:val="0000EE"/>
              </w:rPr>
            </w:pPr>
            <w:hyperlink w:anchor="page63">
              <w:r>
                <w:rPr>
                  <w:rFonts w:ascii="Times New Roman" w:cs="Times New Roman" w:eastAsia="Times New Roman" w:hAnsi="Times New Roman"/>
                  <w:sz w:val="18"/>
                  <w:szCs w:val="18"/>
                  <w:b w:val="1"/>
                  <w:bCs w:val="1"/>
                  <w:color w:val="0000EE"/>
                </w:rPr>
                <w:t>Item 3.</w:t>
              </w:r>
            </w:hyperlink>
          </w:p>
        </w:tc>
        <w:tc>
          <w:tcPr>
            <w:tcW w:w="60" w:type="dxa"/>
            <w:vAlign w:val="bottom"/>
          </w:tcPr>
          <w:p>
            <w:pPr>
              <w:spacing w:after="0"/>
              <w:rPr>
                <w:sz w:val="24"/>
                <w:szCs w:val="24"/>
                <w:color w:val="auto"/>
              </w:rPr>
            </w:pPr>
          </w:p>
        </w:tc>
        <w:tc>
          <w:tcPr>
            <w:tcW w:w="7300" w:type="dxa"/>
            <w:vAlign w:val="bottom"/>
            <w:gridSpan w:val="17"/>
          </w:tcPr>
          <w:p>
            <w:pPr>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Quantitative and Qualitative Disclosures about Market Risk</w:t>
              </w:r>
            </w:hyperlink>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80" w:type="dxa"/>
            <w:vAlign w:val="bottom"/>
            <w:gridSpan w:val="6"/>
            <w:shd w:val="clear" w:color="auto" w:fill="0000EE"/>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700" w:type="dxa"/>
            <w:vAlign w:val="bottom"/>
            <w:gridSpan w:val="5"/>
          </w:tcPr>
          <w:p>
            <w:pPr>
              <w:spacing w:after="0"/>
              <w:rPr>
                <w:rFonts w:ascii="Times New Roman" w:cs="Times New Roman" w:eastAsia="Times New Roman" w:hAnsi="Times New Roman"/>
                <w:sz w:val="18"/>
                <w:szCs w:val="18"/>
                <w:b w:val="1"/>
                <w:bCs w:val="1"/>
                <w:color w:val="0000EE"/>
              </w:rPr>
            </w:pPr>
            <w:hyperlink w:anchor="page63">
              <w:r>
                <w:rPr>
                  <w:rFonts w:ascii="Times New Roman" w:cs="Times New Roman" w:eastAsia="Times New Roman" w:hAnsi="Times New Roman"/>
                  <w:sz w:val="18"/>
                  <w:szCs w:val="18"/>
                  <w:b w:val="1"/>
                  <w:bCs w:val="1"/>
                  <w:color w:val="0000EE"/>
                </w:rPr>
                <w:t>Item 4.</w:t>
              </w:r>
            </w:hyperlink>
          </w:p>
        </w:tc>
        <w:tc>
          <w:tcPr>
            <w:tcW w:w="60" w:type="dxa"/>
            <w:vAlign w:val="bottom"/>
          </w:tcPr>
          <w:p>
            <w:pPr>
              <w:spacing w:after="0"/>
              <w:rPr>
                <w:sz w:val="24"/>
                <w:szCs w:val="24"/>
                <w:color w:val="auto"/>
              </w:rPr>
            </w:pPr>
          </w:p>
        </w:tc>
        <w:tc>
          <w:tcPr>
            <w:tcW w:w="7300" w:type="dxa"/>
            <w:vAlign w:val="bottom"/>
            <w:gridSpan w:val="17"/>
          </w:tcPr>
          <w:p>
            <w:pPr>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Controls and Procedures</w:t>
              </w:r>
            </w:hyperlink>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80" w:type="dxa"/>
            <w:vAlign w:val="bottom"/>
            <w:gridSpan w:val="1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8060" w:type="dxa"/>
            <w:vAlign w:val="bottom"/>
            <w:gridSpan w:val="23"/>
          </w:tcPr>
          <w:p>
            <w:pPr>
              <w:spacing w:after="0"/>
              <w:rPr>
                <w:rFonts w:ascii="Times New Roman" w:cs="Times New Roman" w:eastAsia="Times New Roman" w:hAnsi="Times New Roman"/>
                <w:sz w:val="18"/>
                <w:szCs w:val="18"/>
                <w:b w:val="1"/>
                <w:bCs w:val="1"/>
                <w:color w:val="0000EE"/>
              </w:rPr>
            </w:pPr>
            <w:hyperlink w:anchor="page64">
              <w:r>
                <w:rPr>
                  <w:rFonts w:ascii="Times New Roman" w:cs="Times New Roman" w:eastAsia="Times New Roman" w:hAnsi="Times New Roman"/>
                  <w:sz w:val="18"/>
                  <w:szCs w:val="18"/>
                  <w:b w:val="1"/>
                  <w:bCs w:val="1"/>
                  <w:color w:val="0000EE"/>
                </w:rPr>
                <w:t>PART II</w:t>
              </w:r>
            </w:hyperlink>
            <w:r>
              <w:rPr>
                <w:rFonts w:ascii="Times New Roman" w:cs="Times New Roman" w:eastAsia="Times New Roman" w:hAnsi="Times New Roman"/>
                <w:sz w:val="18"/>
                <w:szCs w:val="18"/>
                <w:b w:val="1"/>
                <w:bCs w:val="1"/>
                <w:color w:val="000000"/>
              </w:rPr>
              <w:t>:</w:t>
            </w:r>
            <w:r>
              <w:rPr>
                <w:rFonts w:ascii="Times New Roman" w:cs="Times New Roman" w:eastAsia="Times New Roman" w:hAnsi="Times New Roman"/>
                <w:sz w:val="18"/>
                <w:szCs w:val="18"/>
                <w:b w:val="1"/>
                <w:bCs w:val="1"/>
                <w:color w:val="0000EE"/>
              </w:rPr>
              <w:t xml:space="preserve"> </w:t>
            </w:r>
            <w:hyperlink w:anchor="page64">
              <w:r>
                <w:rPr>
                  <w:rFonts w:ascii="Times New Roman" w:cs="Times New Roman" w:eastAsia="Times New Roman" w:hAnsi="Times New Roman"/>
                  <w:sz w:val="18"/>
                  <w:szCs w:val="18"/>
                  <w:b w:val="1"/>
                  <w:bCs w:val="1"/>
                  <w:color w:val="0000EE"/>
                </w:rPr>
                <w:t>OTHER INFORMATION</w:t>
              </w:r>
            </w:hyperlink>
          </w:p>
        </w:tc>
        <w:tc>
          <w:tcPr>
            <w:tcW w:w="1000" w:type="dxa"/>
            <w:vAlign w:val="bottom"/>
          </w:tcPr>
          <w:p>
            <w:pPr>
              <w:spacing w:after="0"/>
              <w:rPr>
                <w:sz w:val="24"/>
                <w:szCs w:val="24"/>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5280" w:type="dxa"/>
            <w:vAlign w:val="bottom"/>
            <w:gridSpan w:val="1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680" w:type="dxa"/>
            <w:vAlign w:val="bottom"/>
            <w:gridSpan w:val="4"/>
          </w:tcPr>
          <w:p>
            <w:pPr>
              <w:spacing w:after="0"/>
              <w:rPr>
                <w:rFonts w:ascii="Times New Roman" w:cs="Times New Roman" w:eastAsia="Times New Roman" w:hAnsi="Times New Roman"/>
                <w:sz w:val="18"/>
                <w:szCs w:val="18"/>
                <w:b w:val="1"/>
                <w:bCs w:val="1"/>
                <w:color w:val="0000EE"/>
                <w:w w:val="98"/>
              </w:rPr>
            </w:pPr>
            <w:hyperlink w:anchor="page64">
              <w:r>
                <w:rPr>
                  <w:rFonts w:ascii="Times New Roman" w:cs="Times New Roman" w:eastAsia="Times New Roman" w:hAnsi="Times New Roman"/>
                  <w:sz w:val="18"/>
                  <w:szCs w:val="18"/>
                  <w:b w:val="1"/>
                  <w:bCs w:val="1"/>
                  <w:color w:val="0000EE"/>
                  <w:w w:val="98"/>
                </w:rPr>
                <w:t>Item 1A.</w:t>
              </w:r>
            </w:hyperlink>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300" w:type="dxa"/>
            <w:vAlign w:val="bottom"/>
            <w:gridSpan w:val="17"/>
          </w:tcPr>
          <w:p>
            <w:pPr>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Risk Factors</w:t>
              </w:r>
            </w:hyperlink>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0"/>
        </w:trPr>
        <w:tc>
          <w:tcPr>
            <w:tcW w:w="68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0" w:type="dxa"/>
            <w:vAlign w:val="bottom"/>
            <w:gridSpan w:val="1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680" w:type="dxa"/>
            <w:vAlign w:val="bottom"/>
            <w:gridSpan w:val="4"/>
          </w:tcPr>
          <w:p>
            <w:pPr>
              <w:spacing w:after="0"/>
              <w:rPr>
                <w:rFonts w:ascii="Times New Roman" w:cs="Times New Roman" w:eastAsia="Times New Roman" w:hAnsi="Times New Roman"/>
                <w:sz w:val="18"/>
                <w:szCs w:val="18"/>
                <w:b w:val="1"/>
                <w:bCs w:val="1"/>
                <w:color w:val="0000EE"/>
              </w:rPr>
            </w:pPr>
            <w:hyperlink w:anchor="page87">
              <w:r>
                <w:rPr>
                  <w:rFonts w:ascii="Times New Roman" w:cs="Times New Roman" w:eastAsia="Times New Roman" w:hAnsi="Times New Roman"/>
                  <w:sz w:val="18"/>
                  <w:szCs w:val="18"/>
                  <w:b w:val="1"/>
                  <w:bCs w:val="1"/>
                  <w:color w:val="0000EE"/>
                </w:rPr>
                <w:t>Item 6.</w:t>
              </w:r>
            </w:hyperlink>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300" w:type="dxa"/>
            <w:vAlign w:val="bottom"/>
            <w:gridSpan w:val="17"/>
          </w:tcPr>
          <w:p>
            <w:pPr>
              <w:spacing w:after="0"/>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Exhibits</w:t>
              </w:r>
            </w:hyperlink>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0"/>
        </w:trPr>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540" w:type="dxa"/>
            <w:vAlign w:val="bottom"/>
            <w:gridSpan w:val="1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88">
              <w:r>
                <w:rPr>
                  <w:rFonts w:ascii="Times New Roman" w:cs="Times New Roman" w:eastAsia="Times New Roman" w:hAnsi="Times New Roman"/>
                  <w:sz w:val="18"/>
                  <w:szCs w:val="18"/>
                  <w:color w:val="0000EE"/>
                  <w:w w:val="97"/>
                </w:rPr>
                <w:t>Signatures</w:t>
              </w:r>
            </w:hyperlink>
          </w:p>
        </w:tc>
        <w:tc>
          <w:tcPr>
            <w:tcW w:w="6540" w:type="dxa"/>
            <w:vAlign w:val="bottom"/>
            <w:gridSpan w:val="14"/>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56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120" w:type="dxa"/>
            <w:vAlign w:val="bottom"/>
          </w:tcPr>
          <w:p>
            <w:pPr>
              <w:jc w:val="center"/>
              <w:ind w:left="29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INCYTE CORPORATION</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80" w:type="dxa"/>
            <w:vAlign w:val="bottom"/>
            <w:gridSpan w:val="3"/>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4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thousands, except number of shares and par value)</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6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20" w:type="dxa"/>
            <w:vAlign w:val="bottom"/>
            <w:gridSpan w:val="2"/>
            <w:vMerge w:val="continue"/>
          </w:tcPr>
          <w:p>
            <w:pPr>
              <w:spacing w:after="0"/>
              <w:rPr>
                <w:sz w:val="18"/>
                <w:szCs w:val="18"/>
                <w:color w:val="auto"/>
              </w:rPr>
            </w:pPr>
          </w:p>
        </w:tc>
        <w:tc>
          <w:tcPr>
            <w:tcW w:w="15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1,416,224</w:t>
            </w:r>
          </w:p>
        </w:tc>
        <w:tc>
          <w:tcPr>
            <w:tcW w:w="1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1,163,980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Marketable securities—available-for-sale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279,631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274,343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302,680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307,598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53,563</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79,366</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2,058,625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1,832,254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60" w:type="dxa"/>
            <w:vAlign w:val="bottom"/>
            <w:gridSpan w:val="2"/>
          </w:tcPr>
          <w:p>
            <w:pPr>
              <w:spacing w:after="0"/>
              <w:rPr>
                <w:sz w:val="18"/>
                <w:szCs w:val="18"/>
                <w:color w:val="auto"/>
              </w:rPr>
            </w:pPr>
          </w:p>
        </w:tc>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and investments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 term investments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115,563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99,199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Inventory</w:t>
            </w:r>
          </w:p>
        </w:tc>
        <w:tc>
          <w:tcPr>
            <w:tcW w:w="156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339,122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319,751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right-of use assets, net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204,596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215,364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Goodwill</w:t>
            </w:r>
          </w:p>
        </w:tc>
        <w:tc>
          <w:tcPr>
            <w:tcW w:w="156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155,593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155,593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36,606</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19,157</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2,947,633</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2,645,762</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66,184</w:t>
            </w:r>
          </w:p>
        </w:tc>
        <w:tc>
          <w:tcPr>
            <w:tcW w:w="1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103,827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Accrued compensation</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53,697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60,176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payable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210,474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229,401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35,929</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31,844</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367,105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425,277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60" w:type="dxa"/>
            <w:vAlign w:val="bottom"/>
            <w:gridSpan w:val="2"/>
          </w:tcPr>
          <w:p>
            <w:pPr>
              <w:spacing w:after="0"/>
              <w:rPr>
                <w:sz w:val="18"/>
                <w:szCs w:val="18"/>
                <w:color w:val="auto"/>
              </w:rPr>
            </w:pPr>
          </w:p>
        </w:tc>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senior notes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250,071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255,157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33,761</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21,927</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700,442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719,795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80" w:type="dxa"/>
            <w:vAlign w:val="bottom"/>
            <w:gridSpan w:val="3"/>
          </w:tcPr>
          <w:p>
            <w:pPr>
              <w:ind w:left="20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5,000,000 shares authorized; none issued or</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outstanding as of June 30, 2019 and December 31, 2018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80" w:type="dxa"/>
            <w:vAlign w:val="bottom"/>
            <w:gridSpan w:val="3"/>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$0.001 par value; 400,000,000 shares authorized; 214,865,720 and</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213,274,660 shares issued and outstanding as of June 30, 2019 and December 31,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2018, respectively</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3,925,975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3,813,678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(1,670,034)</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(1,877,759)</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2,247,191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1,925,967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2,947,633</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2,645,762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4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220" w:hanging="211"/>
        <w:spacing w:after="0"/>
        <w:tabs>
          <w:tab w:leader="none" w:pos="2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condensed consolidated balance sheet at December 31, 2018 has been derived from the audited financial statements at that date.</w:t>
      </w:r>
    </w:p>
    <w:p>
      <w:pPr>
        <w:spacing w:after="0" w:line="23" w:lineRule="exact"/>
        <w:rPr>
          <w:rFonts w:ascii="Times New Roman" w:cs="Times New Roman" w:eastAsia="Times New Roman" w:hAnsi="Times New Roman"/>
          <w:sz w:val="16"/>
          <w:szCs w:val="16"/>
          <w:color w:val="auto"/>
        </w:rPr>
      </w:pPr>
    </w:p>
    <w:p>
      <w:pPr>
        <w:ind w:left="3720"/>
        <w:spacing w:after="0" w:line="23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accompanying notes</w:t>
      </w:r>
      <w:r>
        <w:rPr>
          <w:rFonts w:ascii="Times New Roman" w:cs="Times New Roman" w:eastAsia="Times New Roman" w:hAnsi="Times New Roman"/>
          <w:sz w:val="18"/>
          <w:szCs w:val="18"/>
          <w:color w:val="auto"/>
        </w:rPr>
        <w:t>.</w:t>
      </w:r>
    </w:p>
    <w:p>
      <w:pPr>
        <w:sectPr>
          <w:pgSz w:w="11900" w:h="16838" w:orient="portrait"/>
          <w:cols w:equalWidth="0" w:num="1">
            <w:col w:w="9060"/>
          </w:cols>
          <w:pgMar w:left="1420" w:top="513" w:right="141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amounts)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5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52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Borders>
              <w:bottom w:val="single" w:sz="8" w:color="CCEEFF"/>
            </w:tcBorders>
          </w:tcPr>
          <w:p>
            <w:pPr>
              <w:spacing w:after="0"/>
              <w:rPr>
                <w:sz w:val="12"/>
                <w:szCs w:val="12"/>
                <w:color w:val="auto"/>
              </w:rPr>
            </w:pPr>
          </w:p>
        </w:tc>
      </w:tr>
      <w:tr>
        <w:trPr>
          <w:trHeight w:val="21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revenues, net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433,897</w:t>
            </w:r>
          </w:p>
        </w:tc>
        <w:tc>
          <w:tcPr>
            <w:tcW w:w="8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365,524</w:t>
            </w:r>
          </w:p>
        </w:tc>
        <w:tc>
          <w:tcPr>
            <w:tcW w:w="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830,146</w:t>
            </w:r>
          </w:p>
        </w:tc>
        <w:tc>
          <w:tcPr>
            <w:tcW w:w="6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700,029</w:t>
            </w:r>
          </w:p>
        </w:tc>
        <w:tc>
          <w:tcPr>
            <w:tcW w:w="40" w:type="dxa"/>
            <w:vAlign w:val="bottom"/>
          </w:tcPr>
          <w:p>
            <w:pPr>
              <w:spacing w:after="0"/>
              <w:rPr>
                <w:sz w:val="18"/>
                <w:szCs w:val="18"/>
                <w:color w:val="auto"/>
              </w:rPr>
            </w:pPr>
          </w:p>
        </w:tc>
      </w:tr>
      <w:tr>
        <w:trPr>
          <w:trHeight w:val="216"/>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Product royalty revenues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76,035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137,643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103,669</w:t>
            </w:r>
          </w:p>
        </w:tc>
        <w:tc>
          <w:tcPr>
            <w:tcW w:w="40" w:type="dxa"/>
            <w:vAlign w:val="bottom"/>
            <w:shd w:val="clear" w:color="auto" w:fill="CCEEFF"/>
          </w:tcPr>
          <w:p>
            <w:pPr>
              <w:spacing w:after="0"/>
              <w:rPr>
                <w:sz w:val="18"/>
                <w:szCs w:val="18"/>
                <w:color w:val="auto"/>
              </w:rPr>
            </w:pPr>
          </w:p>
        </w:tc>
      </w:tr>
      <w:tr>
        <w:trPr>
          <w:trHeight w:val="216"/>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Milestone and contract revenues</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40" w:type="dxa"/>
            <w:vAlign w:val="bottom"/>
          </w:tcPr>
          <w:p>
            <w:pPr>
              <w:spacing w:after="0"/>
              <w:rPr>
                <w:sz w:val="18"/>
                <w:szCs w:val="18"/>
                <w:color w:val="auto"/>
              </w:rPr>
            </w:pPr>
          </w:p>
        </w:tc>
      </w:tr>
      <w:tr>
        <w:trPr>
          <w:trHeight w:val="216"/>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revenues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shd w:val="clear" w:color="auto" w:fill="CCEEFF"/>
          </w:tcPr>
          <w:p>
            <w:pPr>
              <w:spacing w:after="0"/>
              <w:rPr>
                <w:sz w:val="18"/>
                <w:szCs w:val="18"/>
                <w:color w:val="auto"/>
              </w:rPr>
            </w:pPr>
          </w:p>
        </w:tc>
      </w:tr>
      <w:tr>
        <w:trPr>
          <w:trHeight w:val="210"/>
        </w:trPr>
        <w:tc>
          <w:tcPr>
            <w:tcW w:w="5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529,932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521,516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1,027,789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903,798</w:t>
            </w:r>
          </w:p>
        </w:tc>
        <w:tc>
          <w:tcPr>
            <w:tcW w:w="40" w:type="dxa"/>
            <w:vAlign w:val="bottom"/>
            <w:shd w:val="clear" w:color="auto" w:fill="CCEEFF"/>
          </w:tcPr>
          <w:p>
            <w:pPr>
              <w:spacing w:after="0"/>
              <w:rPr>
                <w:sz w:val="18"/>
                <w:szCs w:val="18"/>
                <w:color w:val="auto"/>
              </w:rPr>
            </w:pPr>
          </w:p>
        </w:tc>
      </w:tr>
      <w:tr>
        <w:trPr>
          <w:trHeight w:val="210"/>
        </w:trPr>
        <w:tc>
          <w:tcPr>
            <w:tcW w:w="5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198"/>
        </w:trPr>
        <w:tc>
          <w:tcPr>
            <w:tcW w:w="522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Cost of product revenues (including definite-lived intangible</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51,994</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42,962</w:t>
            </w:r>
          </w:p>
        </w:tc>
        <w:tc>
          <w:tcPr>
            <w:tcW w:w="40" w:type="dxa"/>
            <w:vAlign w:val="bottom"/>
          </w:tcPr>
          <w:p>
            <w:pPr>
              <w:spacing w:after="0"/>
              <w:rPr>
                <w:sz w:val="20"/>
                <w:szCs w:val="20"/>
                <w:color w:val="auto"/>
              </w:rPr>
            </w:pPr>
          </w:p>
        </w:tc>
      </w:tr>
      <w:tr>
        <w:trPr>
          <w:trHeight w:val="216"/>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289,363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298,089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559,908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601,192</w:t>
            </w:r>
          </w:p>
        </w:tc>
        <w:tc>
          <w:tcPr>
            <w:tcW w:w="40" w:type="dxa"/>
            <w:vAlign w:val="bottom"/>
            <w:shd w:val="clear" w:color="auto" w:fill="CCEEFF"/>
          </w:tcPr>
          <w:p>
            <w:pPr>
              <w:spacing w:after="0"/>
              <w:rPr>
                <w:sz w:val="18"/>
                <w:szCs w:val="18"/>
                <w:color w:val="auto"/>
              </w:rPr>
            </w:pPr>
          </w:p>
        </w:tc>
      </w:tr>
      <w:tr>
        <w:trPr>
          <w:trHeight w:val="216"/>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105,943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108,029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229,926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229,527</w:t>
            </w:r>
          </w:p>
        </w:tc>
        <w:tc>
          <w:tcPr>
            <w:tcW w:w="40" w:type="dxa"/>
            <w:vAlign w:val="bottom"/>
          </w:tcPr>
          <w:p>
            <w:pPr>
              <w:spacing w:after="0"/>
              <w:rPr>
                <w:sz w:val="18"/>
                <w:szCs w:val="18"/>
                <w:color w:val="auto"/>
              </w:rPr>
            </w:pPr>
          </w:p>
        </w:tc>
      </w:tr>
      <w:tr>
        <w:trPr>
          <w:trHeight w:val="198"/>
        </w:trPr>
        <w:tc>
          <w:tcPr>
            <w:tcW w:w="522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Change in fair value of acquisition-related contingent</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consideration</w:t>
            </w:r>
          </w:p>
        </w:tc>
        <w:tc>
          <w:tcPr>
            <w:tcW w:w="1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6,608</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7,303</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13,279</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13,988</w:t>
            </w:r>
          </w:p>
        </w:tc>
        <w:tc>
          <w:tcPr>
            <w:tcW w:w="40" w:type="dxa"/>
            <w:vAlign w:val="bottom"/>
            <w:shd w:val="clear" w:color="auto" w:fill="CCEEFF"/>
          </w:tcPr>
          <w:p>
            <w:pPr>
              <w:spacing w:after="0"/>
              <w:rPr>
                <w:sz w:val="20"/>
                <w:szCs w:val="20"/>
                <w:color w:val="auto"/>
              </w:rPr>
            </w:pPr>
          </w:p>
        </w:tc>
      </w:tr>
      <w:tr>
        <w:trPr>
          <w:trHeight w:val="210"/>
        </w:trPr>
        <w:tc>
          <w:tcPr>
            <w:tcW w:w="5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431,320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438,277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855,107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887,669</w:t>
            </w:r>
          </w:p>
        </w:tc>
        <w:tc>
          <w:tcPr>
            <w:tcW w:w="40" w:type="dxa"/>
            <w:vAlign w:val="bottom"/>
            <w:shd w:val="clear" w:color="auto" w:fill="CCEEFF"/>
          </w:tcPr>
          <w:p>
            <w:pPr>
              <w:spacing w:after="0"/>
              <w:rPr>
                <w:sz w:val="18"/>
                <w:szCs w:val="18"/>
                <w:color w:val="auto"/>
              </w:rPr>
            </w:pPr>
          </w:p>
        </w:tc>
      </w:tr>
      <w:tr>
        <w:trPr>
          <w:trHeight w:val="210"/>
        </w:trPr>
        <w:tc>
          <w:tcPr>
            <w:tcW w:w="5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98,612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83,239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172,682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16,129</w:t>
            </w:r>
          </w:p>
        </w:tc>
        <w:tc>
          <w:tcPr>
            <w:tcW w:w="4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10,270</w:t>
            </w:r>
          </w:p>
        </w:tc>
        <w:tc>
          <w:tcPr>
            <w:tcW w:w="4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(783)</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(loss) on long term investments</w:t>
            </w:r>
          </w:p>
        </w:tc>
        <w:tc>
          <w:tcPr>
            <w:tcW w:w="1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(34,641)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(11,962)</w:t>
            </w:r>
          </w:p>
        </w:tc>
      </w:tr>
      <w:tr>
        <w:trPr>
          <w:trHeight w:val="210"/>
        </w:trPr>
        <w:tc>
          <w:tcPr>
            <w:tcW w:w="5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108,671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212,768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13,654</w:t>
            </w:r>
          </w:p>
        </w:tc>
        <w:tc>
          <w:tcPr>
            <w:tcW w:w="4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5,138</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40" w:type="dxa"/>
            <w:vAlign w:val="bottom"/>
            <w:tcBorders>
              <w:bottom w:val="single" w:sz="8" w:color="CCEEFF"/>
            </w:tcBorders>
          </w:tcPr>
          <w:p>
            <w:pPr>
              <w:spacing w:after="0"/>
              <w:rPr>
                <w:sz w:val="18"/>
                <w:szCs w:val="18"/>
                <w:color w:val="auto"/>
              </w:rPr>
            </w:pPr>
          </w:p>
        </w:tc>
      </w:tr>
      <w:tr>
        <w:trPr>
          <w:trHeight w:val="210"/>
        </w:trPr>
        <w:tc>
          <w:tcPr>
            <w:tcW w:w="5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56"/>
        </w:trPr>
        <w:tc>
          <w:tcPr>
            <w:tcW w:w="5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105,318</w:t>
            </w:r>
          </w:p>
        </w:tc>
        <w:tc>
          <w:tcPr>
            <w:tcW w:w="80" w:type="dxa"/>
            <w:vAlign w:val="bottom"/>
          </w:tcPr>
          <w:p>
            <w:pPr>
              <w:spacing w:after="0"/>
              <w:rPr>
                <w:sz w:val="22"/>
                <w:szCs w:val="22"/>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52,394</w:t>
            </w:r>
          </w:p>
        </w:tc>
        <w:tc>
          <w:tcPr>
            <w:tcW w:w="60" w:type="dxa"/>
            <w:vAlign w:val="bottom"/>
          </w:tcPr>
          <w:p>
            <w:pPr>
              <w:spacing w:after="0"/>
              <w:rPr>
                <w:sz w:val="22"/>
                <w:szCs w:val="22"/>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207,630</w:t>
            </w:r>
          </w:p>
        </w:tc>
        <w:tc>
          <w:tcPr>
            <w:tcW w:w="60" w:type="dxa"/>
            <w:vAlign w:val="bottom"/>
          </w:tcPr>
          <w:p>
            <w:pPr>
              <w:spacing w:after="0"/>
              <w:rPr>
                <w:sz w:val="22"/>
                <w:szCs w:val="22"/>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11,254</w:t>
            </w:r>
          </w:p>
        </w:tc>
        <w:tc>
          <w:tcPr>
            <w:tcW w:w="40" w:type="dxa"/>
            <w:vAlign w:val="bottom"/>
          </w:tcPr>
          <w:p>
            <w:pPr>
              <w:spacing w:after="0"/>
              <w:rPr>
                <w:sz w:val="22"/>
                <w:szCs w:val="22"/>
                <w:color w:val="auto"/>
              </w:rPr>
            </w:pPr>
          </w:p>
        </w:tc>
      </w:tr>
      <w:tr>
        <w:trPr>
          <w:trHeight w:val="197"/>
        </w:trPr>
        <w:tc>
          <w:tcPr>
            <w:tcW w:w="5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4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8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6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4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Shares used in computing net income per share:</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214,620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212,210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214,342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211,945</w:t>
            </w:r>
          </w:p>
        </w:tc>
        <w:tc>
          <w:tcPr>
            <w:tcW w:w="40" w:type="dxa"/>
            <w:vAlign w:val="bottom"/>
            <w:shd w:val="clear" w:color="auto" w:fill="CCEEFF"/>
          </w:tcPr>
          <w:p>
            <w:pPr>
              <w:spacing w:after="0"/>
              <w:rPr>
                <w:sz w:val="18"/>
                <w:szCs w:val="18"/>
                <w:color w:val="auto"/>
              </w:rPr>
            </w:pP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217,483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215,103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217,274</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215,294</w:t>
            </w:r>
          </w:p>
        </w:tc>
        <w:tc>
          <w:tcPr>
            <w:tcW w:w="40" w:type="dxa"/>
            <w:vAlign w:val="bottom"/>
          </w:tcPr>
          <w:p>
            <w:pPr>
              <w:spacing w:after="0"/>
              <w:rPr>
                <w:sz w:val="20"/>
                <w:szCs w:val="20"/>
                <w:color w:val="auto"/>
              </w:rPr>
            </w:pPr>
          </w:p>
        </w:tc>
      </w:tr>
    </w:tbl>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1660" w:type="dxa"/>
            <w:vAlign w:val="bottom"/>
            <w:gridSpan w:val="4"/>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80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460" w:type="dxa"/>
            <w:vAlign w:val="bottom"/>
          </w:tcPr>
          <w:p>
            <w:pPr>
              <w:spacing w:after="0"/>
              <w:rPr>
                <w:sz w:val="15"/>
                <w:szCs w:val="15"/>
                <w:color w:val="auto"/>
              </w:rPr>
            </w:pPr>
          </w:p>
        </w:tc>
        <w:tc>
          <w:tcPr>
            <w:tcW w:w="166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5"/>
                <w:szCs w:val="15"/>
                <w:color w:val="auto"/>
              </w:rPr>
            </w:pPr>
          </w:p>
        </w:tc>
        <w:tc>
          <w:tcPr>
            <w:tcW w:w="1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60" w:type="dxa"/>
            <w:vAlign w:val="bottom"/>
          </w:tcPr>
          <w:p>
            <w:pPr>
              <w:spacing w:after="0"/>
              <w:rPr>
                <w:sz w:val="12"/>
                <w:szCs w:val="12"/>
                <w:color w:val="auto"/>
              </w:rPr>
            </w:pPr>
          </w:p>
        </w:tc>
        <w:tc>
          <w:tcPr>
            <w:tcW w:w="800" w:type="dxa"/>
            <w:vAlign w:val="bottom"/>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2"/>
                <w:szCs w:val="12"/>
                <w:color w:val="auto"/>
              </w:rPr>
            </w:pPr>
          </w:p>
        </w:tc>
        <w:tc>
          <w:tcPr>
            <w:tcW w:w="780" w:type="dxa"/>
            <w:vAlign w:val="bottom"/>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2"/>
                <w:szCs w:val="12"/>
                <w:color w:val="auto"/>
              </w:rPr>
            </w:pPr>
          </w:p>
        </w:tc>
        <w:tc>
          <w:tcPr>
            <w:tcW w:w="820" w:type="dxa"/>
            <w:vAlign w:val="bottom"/>
          </w:tcPr>
          <w:p>
            <w:pPr>
              <w:jc w:val="right"/>
              <w:ind w:right="18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$ 105,318</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$ 52,394</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$ 207,630</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11,254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(158)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gain (loss) on marketable securities, net of tax</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16"/>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Defined benefit pension obligations, net of tax</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$ 105,600</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$ 52,707</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$ 208,830</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11,208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3620"/>
              <w:spacing w:after="0"/>
              <w:rPr>
                <w:sz w:val="20"/>
                <w:szCs w:val="20"/>
                <w:color w:val="auto"/>
              </w:rPr>
            </w:pPr>
            <w:r>
              <w:rPr>
                <w:rFonts w:ascii="Times New Roman" w:cs="Times New Roman" w:eastAsia="Times New Roman" w:hAnsi="Times New Roman"/>
                <w:sz w:val="18"/>
                <w:szCs w:val="18"/>
                <w:color w:val="auto"/>
                <w:w w:val="99"/>
              </w:rPr>
              <w:t>See accompanying notes.</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46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7"/>
        </w:trPr>
        <w:tc>
          <w:tcPr>
            <w:tcW w:w="5460" w:type="dxa"/>
            <w:vAlign w:val="bottom"/>
          </w:tcPr>
          <w:p>
            <w:pPr>
              <w:ind w:left="4480"/>
              <w:spacing w:after="0"/>
              <w:rPr>
                <w:sz w:val="20"/>
                <w:szCs w:val="20"/>
                <w:color w:val="auto"/>
              </w:rPr>
            </w:pPr>
            <w:r>
              <w:rPr>
                <w:rFonts w:ascii="Times New Roman" w:cs="Times New Roman" w:eastAsia="Times New Roman" w:hAnsi="Times New Roman"/>
                <w:sz w:val="18"/>
                <w:szCs w:val="18"/>
                <w:color w:val="auto"/>
              </w:rPr>
              <w:t>5</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5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3" w:right="141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number of shares)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8"/>
          </w:tcPr>
          <w:p>
            <w:pPr>
              <w:ind w:left="440"/>
              <w:spacing w:after="0"/>
              <w:rPr>
                <w:sz w:val="20"/>
                <w:szCs w:val="20"/>
                <w:color w:val="auto"/>
              </w:rPr>
            </w:pPr>
            <w:r>
              <w:rPr>
                <w:rFonts w:ascii="Times New Roman" w:cs="Times New Roman" w:eastAsia="Times New Roman" w:hAnsi="Times New Roman"/>
                <w:sz w:val="14"/>
                <w:szCs w:val="14"/>
                <w:b w:val="1"/>
                <w:bCs w:val="1"/>
                <w:color w:val="auto"/>
              </w:rPr>
              <w:t>For the Six Months Ended June 30, 2018</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60" w:type="dxa"/>
            <w:vAlign w:val="bottom"/>
          </w:tcPr>
          <w:p>
            <w:pPr>
              <w:spacing w:after="0"/>
              <w:rPr>
                <w:sz w:val="10"/>
                <w:szCs w:val="10"/>
                <w:color w:val="auto"/>
              </w:rPr>
            </w:pP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0"/>
                <w:szCs w:val="10"/>
                <w:color w:val="auto"/>
              </w:rPr>
            </w:pPr>
          </w:p>
        </w:tc>
        <w:tc>
          <w:tcPr>
            <w:tcW w:w="13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0"/>
                <w:szCs w:val="10"/>
                <w:color w:val="auto"/>
              </w:rPr>
            </w:pPr>
          </w:p>
        </w:tc>
        <w:tc>
          <w:tcPr>
            <w:tcW w:w="9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00" w:type="dxa"/>
            <w:vAlign w:val="bottom"/>
          </w:tcPr>
          <w:p>
            <w:pPr>
              <w:spacing w:after="0"/>
              <w:rPr>
                <w:sz w:val="15"/>
                <w:szCs w:val="15"/>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at January 1, 2018</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3,627,433</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(1,990,005)</w:t>
            </w: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1,630,629</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623,709 shares of Common Stock upon</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 and settlement of employee</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units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2,576</w:t>
            </w:r>
          </w:p>
        </w:tc>
        <w:tc>
          <w:tcPr>
            <w:tcW w:w="0" w:type="dxa"/>
            <w:vAlign w:val="bottom"/>
          </w:tcPr>
          <w:p>
            <w:pPr>
              <w:spacing w:after="0"/>
              <w:rPr>
                <w:sz w:val="1"/>
                <w:szCs w:val="1"/>
                <w:color w:val="auto"/>
              </w:rPr>
            </w:pPr>
          </w:p>
        </w:tc>
      </w:tr>
      <w:tr>
        <w:trPr>
          <w:trHeight w:val="195"/>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1,032 shares of Common Stock for services</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rendered</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539 shares of Common Stock upon conversion</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of Convertible Senior Notes due 2018</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09"/>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compensation</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36,224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36,224</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Adoption of ASU No. 2016-01</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2,753</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0" w:type="dxa"/>
            <w:vAlign w:val="bottom"/>
          </w:tcPr>
          <w:p>
            <w:pPr>
              <w:spacing w:after="0"/>
              <w:rPr>
                <w:sz w:val="1"/>
                <w:szCs w:val="1"/>
                <w:color w:val="auto"/>
              </w:rPr>
            </w:pPr>
          </w:p>
        </w:tc>
      </w:tr>
      <w:tr>
        <w:trPr>
          <w:trHeight w:val="203"/>
        </w:trPr>
        <w:tc>
          <w:tcPr>
            <w:tcW w:w="3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(41,140)</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(41,140)</w:t>
            </w:r>
          </w:p>
        </w:tc>
        <w:tc>
          <w:tcPr>
            <w:tcW w:w="0" w:type="dxa"/>
            <w:vAlign w:val="bottom"/>
          </w:tcPr>
          <w:p>
            <w:pPr>
              <w:spacing w:after="0"/>
              <w:rPr>
                <w:sz w:val="1"/>
                <w:szCs w:val="1"/>
                <w:color w:val="auto"/>
              </w:rPr>
            </w:pPr>
          </w:p>
        </w:tc>
      </w:tr>
      <w:tr>
        <w:trPr>
          <w:trHeight w:val="19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at March 31, 2018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3,666,346</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(2,028,392)</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1,628,044</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369,109 shares of Common Stock upon</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 and settlement of employee</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units and 150,538 shares of Common</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Stock under the ESPP</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15,480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15,480</w:t>
            </w:r>
          </w:p>
        </w:tc>
        <w:tc>
          <w:tcPr>
            <w:tcW w:w="0" w:type="dxa"/>
            <w:vAlign w:val="bottom"/>
          </w:tcPr>
          <w:p>
            <w:pPr>
              <w:spacing w:after="0"/>
              <w:rPr>
                <w:sz w:val="1"/>
                <w:szCs w:val="1"/>
                <w:color w:val="auto"/>
              </w:rPr>
            </w:pPr>
          </w:p>
        </w:tc>
      </w:tr>
      <w:tr>
        <w:trPr>
          <w:trHeight w:val="195"/>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1,281 shares of Common Stock for services</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rendered</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38 shares of Common Stock upon conversion</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of Convertible Senior Notes due 2018</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9"/>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compensation</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36,605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36,605</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52,394</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52,394</w:t>
            </w:r>
          </w:p>
        </w:tc>
        <w:tc>
          <w:tcPr>
            <w:tcW w:w="0" w:type="dxa"/>
            <w:vAlign w:val="bottom"/>
          </w:tcPr>
          <w:p>
            <w:pPr>
              <w:spacing w:after="0"/>
              <w:rPr>
                <w:sz w:val="1"/>
                <w:szCs w:val="1"/>
                <w:color w:val="auto"/>
              </w:rPr>
            </w:pPr>
          </w:p>
        </w:tc>
      </w:tr>
      <w:tr>
        <w:trPr>
          <w:trHeight w:val="196"/>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Balances at June 30, 2018</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3,718,518</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(9,809)</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(1,975,998)</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1,732,923</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8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8"/>
          </w:tcPr>
          <w:p>
            <w:pPr>
              <w:ind w:left="440"/>
              <w:spacing w:after="0"/>
              <w:rPr>
                <w:sz w:val="20"/>
                <w:szCs w:val="20"/>
                <w:color w:val="auto"/>
              </w:rPr>
            </w:pPr>
            <w:r>
              <w:rPr>
                <w:rFonts w:ascii="Times New Roman" w:cs="Times New Roman" w:eastAsia="Times New Roman" w:hAnsi="Times New Roman"/>
                <w:sz w:val="14"/>
                <w:szCs w:val="14"/>
                <w:b w:val="1"/>
                <w:bCs w:val="1"/>
                <w:color w:val="auto"/>
              </w:rPr>
              <w:t>For the Six Months Ended June 30, 2019</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860" w:type="dxa"/>
            <w:vAlign w:val="bottom"/>
          </w:tcPr>
          <w:p>
            <w:pPr>
              <w:spacing w:after="0"/>
              <w:rPr>
                <w:sz w:val="10"/>
                <w:szCs w:val="10"/>
                <w:color w:val="auto"/>
              </w:rPr>
            </w:pP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0"/>
                <w:szCs w:val="10"/>
                <w:color w:val="auto"/>
              </w:rPr>
            </w:pPr>
          </w:p>
        </w:tc>
        <w:tc>
          <w:tcPr>
            <w:tcW w:w="13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0"/>
                <w:szCs w:val="10"/>
                <w:color w:val="auto"/>
              </w:rPr>
            </w:pPr>
          </w:p>
        </w:tc>
        <w:tc>
          <w:tcPr>
            <w:tcW w:w="98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00" w:type="dxa"/>
            <w:vAlign w:val="bottom"/>
          </w:tcPr>
          <w:p>
            <w:pPr>
              <w:spacing w:after="0"/>
              <w:rPr>
                <w:sz w:val="15"/>
                <w:szCs w:val="15"/>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at January 1, 2019</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3,813,678</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(1,877,759)</w:t>
            </w: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1,925,967</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1,044,745 shares of Common Stock upon</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 and settlement of employee</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units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15,480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15,481</w:t>
            </w:r>
          </w:p>
        </w:tc>
        <w:tc>
          <w:tcPr>
            <w:tcW w:w="0" w:type="dxa"/>
            <w:vAlign w:val="bottom"/>
          </w:tcPr>
          <w:p>
            <w:pPr>
              <w:spacing w:after="0"/>
              <w:rPr>
                <w:sz w:val="1"/>
                <w:szCs w:val="1"/>
                <w:color w:val="auto"/>
              </w:rPr>
            </w:pPr>
          </w:p>
        </w:tc>
      </w:tr>
      <w:tr>
        <w:trPr>
          <w:trHeight w:val="195"/>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1,200 shares of Common Stock for services</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rendered</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Stock compensation</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40,690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40,690</w:t>
            </w: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Adoption of ASU No. 2016-02 (Note 2)</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102,312</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102,312</w:t>
            </w:r>
          </w:p>
        </w:tc>
        <w:tc>
          <w:tcPr>
            <w:tcW w:w="0" w:type="dxa"/>
            <w:vAlign w:val="bottom"/>
          </w:tcPr>
          <w:p>
            <w:pPr>
              <w:spacing w:after="0"/>
              <w:rPr>
                <w:sz w:val="1"/>
                <w:szCs w:val="1"/>
                <w:color w:val="auto"/>
              </w:rPr>
            </w:pPr>
          </w:p>
        </w:tc>
      </w:tr>
      <w:tr>
        <w:trPr>
          <w:trHeight w:val="196"/>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Balances at March 31, 2019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3,869,952</w:t>
            </w:r>
          </w:p>
        </w:tc>
        <w:tc>
          <w:tcPr>
            <w:tcW w:w="100" w:type="dxa"/>
            <w:vAlign w:val="bottom"/>
          </w:tcPr>
          <w:p>
            <w:pPr>
              <w:spacing w:after="0"/>
              <w:rPr>
                <w:sz w:val="17"/>
                <w:szCs w:val="17"/>
                <w:color w:val="auto"/>
              </w:rPr>
            </w:pPr>
          </w:p>
        </w:tc>
        <w:tc>
          <w:tcPr>
            <w:tcW w:w="420" w:type="dxa"/>
            <w:vAlign w:val="bottom"/>
          </w:tcPr>
          <w:p>
            <w:pPr>
              <w:jc w:val="right"/>
              <w:ind w:right="263"/>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(9,247)</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(1,775,352)</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2,085,567</w:t>
            </w: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400,292 shares of Common Stock upon</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stock options and settlement of employee</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stock units and 143,379 shares of Common</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under the ESPP</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15,191</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1,444 shares of Common Stock for services</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rendered</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09"/>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compensation</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40,710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40,710</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105,318</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105,318</w:t>
            </w:r>
          </w:p>
        </w:tc>
        <w:tc>
          <w:tcPr>
            <w:tcW w:w="0" w:type="dxa"/>
            <w:vAlign w:val="bottom"/>
          </w:tcPr>
          <w:p>
            <w:pPr>
              <w:spacing w:after="0"/>
              <w:rPr>
                <w:sz w:val="1"/>
                <w:szCs w:val="1"/>
                <w:color w:val="auto"/>
              </w:rPr>
            </w:pPr>
          </w:p>
        </w:tc>
      </w:tr>
      <w:tr>
        <w:trPr>
          <w:trHeight w:val="196"/>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Balances at June 30, 2019</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3,925,975</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(8,965)</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(1,670,034)</w:t>
            </w: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2,247,191</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spacing w:after="0" w:line="225" w:lineRule="auto"/>
        <w:rPr>
          <w:sz w:val="20"/>
          <w:szCs w:val="20"/>
          <w:color w:val="auto"/>
        </w:rPr>
      </w:pPr>
      <w:r>
        <w:rPr>
          <w:rFonts w:ascii="Times New Roman" w:cs="Times New Roman" w:eastAsia="Times New Roman" w:hAnsi="Times New Roman"/>
          <w:sz w:val="18"/>
          <w:szCs w:val="18"/>
          <w:b w:val="1"/>
          <w:bCs w:val="1"/>
          <w:color w:val="auto"/>
        </w:rPr>
        <w:t>(unaudited, in thousands)</w:t>
      </w:r>
    </w:p>
    <w:tbl>
      <w:tblPr>
        <w:tblLayout w:type="fixed"/>
        <w:tblInd w:w="0" w:type="dxa"/>
        <w:tblCellMar>
          <w:top w:w="0" w:type="dxa"/>
          <w:left w:w="0" w:type="dxa"/>
          <w:bottom w:w="0" w:type="dxa"/>
          <w:right w:w="0" w:type="dxa"/>
        </w:tblCellMar>
      </w:tblPr>
      <w:tr>
        <w:trPr>
          <w:trHeight w:val="131"/>
        </w:trPr>
        <w:tc>
          <w:tcPr>
            <w:tcW w:w="7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60" w:type="dxa"/>
            <w:vAlign w:val="bottom"/>
            <w:gridSpan w:val="5"/>
          </w:tcPr>
          <w:p>
            <w:pPr>
              <w:ind w:left="260"/>
              <w:spacing w:after="0" w:line="131" w:lineRule="exact"/>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70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0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r>
      <w:tr>
        <w:trPr>
          <w:trHeight w:val="210"/>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207,630</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11,254</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27,326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26,925</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81,207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72,829</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(gain) loss on long term investments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(16,364)</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11,962</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fair value of acquisition-related contingent consideration</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13,988</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(50,011)</w:t>
            </w:r>
          </w:p>
        </w:tc>
      </w:tr>
      <w:tr>
        <w:trPr>
          <w:trHeight w:val="216"/>
        </w:trPr>
        <w:tc>
          <w:tcPr>
            <w:tcW w:w="7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(23,589)</w:t>
            </w:r>
          </w:p>
        </w:tc>
      </w:tr>
      <w:tr>
        <w:trPr>
          <w:trHeight w:val="216"/>
        </w:trPr>
        <w:tc>
          <w:tcPr>
            <w:tcW w:w="7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(2,288)</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(32,243)</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7,888</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(20,055)</w:t>
            </w:r>
          </w:p>
        </w:tc>
      </w:tr>
      <w:tr>
        <w:trPr>
          <w:trHeight w:val="210"/>
        </w:trPr>
        <w:tc>
          <w:tcPr>
            <w:tcW w:w="708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308,623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long term investments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(8,936)</w:t>
            </w: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(65,561)</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(23,381)</w:t>
            </w: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(103,970)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(58,827)</w:t>
            </w:r>
          </w:p>
        </w:tc>
      </w:tr>
      <w:tr>
        <w:trPr>
          <w:trHeight w:val="216"/>
        </w:trPr>
        <w:tc>
          <w:tcPr>
            <w:tcW w:w="7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Sale and maturities of marketable securities</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99,821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58,694</w:t>
            </w:r>
          </w:p>
        </w:tc>
        <w:tc>
          <w:tcPr>
            <w:tcW w:w="100" w:type="dxa"/>
            <w:vAlign w:val="bottom"/>
            <w:tcBorders>
              <w:bottom w:val="single" w:sz="8" w:color="CCEEFF"/>
            </w:tcBorders>
          </w:tcPr>
          <w:p>
            <w:pPr>
              <w:spacing w:after="0"/>
              <w:rPr>
                <w:sz w:val="18"/>
                <w:szCs w:val="18"/>
                <w:color w:val="auto"/>
              </w:rPr>
            </w:pPr>
          </w:p>
        </w:tc>
      </w:tr>
      <w:tr>
        <w:trPr>
          <w:trHeight w:val="210"/>
        </w:trPr>
        <w:tc>
          <w:tcPr>
            <w:tcW w:w="7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(69,710)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(32,450)</w:t>
            </w:r>
          </w:p>
        </w:tc>
        <w:tc>
          <w:tcPr>
            <w:tcW w:w="100" w:type="dxa"/>
            <w:vAlign w:val="bottom"/>
            <w:shd w:val="clear" w:color="auto" w:fill="CCEEFF"/>
          </w:tcPr>
          <w:p>
            <w:pPr>
              <w:spacing w:after="0"/>
              <w:rPr>
                <w:sz w:val="18"/>
                <w:szCs w:val="18"/>
                <w:color w:val="auto"/>
              </w:rPr>
            </w:pPr>
          </w:p>
        </w:tc>
      </w:tr>
      <w:tr>
        <w:trPr>
          <w:trHeight w:val="210"/>
        </w:trPr>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stock under stock plans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18,043</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Payment of finance lease liabilities</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(409)</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(16,766)</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(9,886)</w:t>
            </w:r>
          </w:p>
        </w:tc>
      </w:tr>
      <w:tr>
        <w:trPr>
          <w:trHeight w:val="210"/>
        </w:trPr>
        <w:tc>
          <w:tcPr>
            <w:tcW w:w="70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13,497</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8,157</w:t>
            </w:r>
          </w:p>
        </w:tc>
        <w:tc>
          <w:tcPr>
            <w:tcW w:w="100" w:type="dxa"/>
            <w:vAlign w:val="bottom"/>
            <w:tcBorders>
              <w:bottom w:val="single" w:sz="8" w:color="CCEEFF"/>
            </w:tcBorders>
          </w:tcPr>
          <w:p>
            <w:pPr>
              <w:spacing w:after="0"/>
              <w:rPr>
                <w:sz w:val="18"/>
                <w:szCs w:val="18"/>
                <w:color w:val="auto"/>
              </w:rPr>
            </w:pPr>
          </w:p>
        </w:tc>
      </w:tr>
      <w:tr>
        <w:trPr>
          <w:trHeight w:val="210"/>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rates on cash, cash equivalents, restricted cash and investments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cash equivalents, restricted cash and investments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252,252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29,083</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restricted cash and investments at beginning of period</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1,164,986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900,434</w:t>
            </w:r>
          </w:p>
        </w:tc>
        <w:tc>
          <w:tcPr>
            <w:tcW w:w="100" w:type="dxa"/>
            <w:vAlign w:val="bottom"/>
            <w:shd w:val="clear" w:color="auto" w:fill="CCEEFF"/>
          </w:tcPr>
          <w:p>
            <w:pPr>
              <w:spacing w:after="0"/>
              <w:rPr>
                <w:sz w:val="18"/>
                <w:szCs w:val="18"/>
                <w:color w:val="auto"/>
              </w:rPr>
            </w:pPr>
          </w:p>
        </w:tc>
      </w:tr>
      <w:tr>
        <w:trPr>
          <w:trHeight w:val="250"/>
        </w:trPr>
        <w:tc>
          <w:tcPr>
            <w:tcW w:w="7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restricted cash and investments at end of period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1,417,238</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929,517</w:t>
            </w:r>
          </w:p>
        </w:tc>
        <w:tc>
          <w:tcPr>
            <w:tcW w:w="100" w:type="dxa"/>
            <w:vAlign w:val="bottom"/>
            <w:tcBorders>
              <w:bottom w:val="single" w:sz="8" w:color="CCEEFF"/>
            </w:tcBorders>
          </w:tcPr>
          <w:p>
            <w:pPr>
              <w:spacing w:after="0"/>
              <w:rPr>
                <w:sz w:val="21"/>
                <w:szCs w:val="21"/>
                <w:color w:val="auto"/>
              </w:rPr>
            </w:pPr>
          </w:p>
        </w:tc>
      </w:tr>
      <w:tr>
        <w:trPr>
          <w:trHeight w:val="197"/>
        </w:trPr>
        <w:tc>
          <w:tcPr>
            <w:tcW w:w="70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Schedule of Cash Flow Information</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100" w:type="dxa"/>
            <w:vAlign w:val="bottom"/>
            <w:shd w:val="clear" w:color="auto" w:fill="CCEEFF"/>
          </w:tcPr>
          <w:p>
            <w:pPr>
              <w:spacing w:after="0"/>
              <w:rPr>
                <w:sz w:val="18"/>
                <w:szCs w:val="18"/>
                <w:color w:val="auto"/>
              </w:rPr>
            </w:pPr>
          </w:p>
        </w:tc>
      </w:tr>
      <w:tr>
        <w:trPr>
          <w:trHeight w:val="198"/>
        </w:trPr>
        <w:tc>
          <w:tcPr>
            <w:tcW w:w="7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Reclassification to common stock and additional paid in capital in connection with conversions</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of 0.375% convertible senior notes due 2018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0"/>
                <w:szCs w:val="20"/>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 assets obtained in exchange for new operating lease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Leased assets obtained in exchange for new finance lease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29,740</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bl>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spacing w:after="0" w:line="204" w:lineRule="auto"/>
        <w:rPr>
          <w:sz w:val="20"/>
          <w:szCs w:val="20"/>
          <w:color w:val="auto"/>
        </w:rPr>
      </w:pPr>
      <w:r>
        <w:rPr>
          <w:rFonts w:ascii="Times New Roman" w:cs="Times New Roman" w:eastAsia="Times New Roman" w:hAnsi="Times New Roman"/>
          <w:sz w:val="18"/>
          <w:szCs w:val="18"/>
          <w:b w:val="1"/>
          <w:bCs w:val="1"/>
          <w:color w:val="auto"/>
        </w:rPr>
        <w:t>June 30, 2019</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34" w:lineRule="exact"/>
        <w:rPr>
          <w:sz w:val="20"/>
          <w:szCs w:val="20"/>
          <w:color w:val="auto"/>
        </w:rPr>
      </w:pPr>
    </w:p>
    <w:p>
      <w:pPr>
        <w:ind w:left="360" w:hanging="358"/>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business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Incyte Corporation (including its subsidiaries, “Incyte,” “we,” “us,” or “our”) is a biopharmaceutical company focused on developing and commercializing proprietary therapeutics. Our portfolio includes compounds in various stages, ranging from preclinical to late stage development, and commercialized products JAKAFI® (ruxolitinib) and ICLUSIG® (ponatinib). Our operations are treated as one operating segment.</w:t>
      </w:r>
    </w:p>
    <w:p>
      <w:pPr>
        <w:spacing w:after="0" w:line="176" w:lineRule="exact"/>
        <w:rPr>
          <w:sz w:val="20"/>
          <w:szCs w:val="20"/>
          <w:color w:val="auto"/>
        </w:rPr>
      </w:pPr>
    </w:p>
    <w:p>
      <w:pPr>
        <w:ind w:left="660" w:right="5400" w:hanging="658"/>
        <w:spacing w:after="0" w:line="503" w:lineRule="auto"/>
        <w:tabs>
          <w:tab w:leader="none" w:pos="372"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spacing w:after="0" w:line="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for interim financial information and with the instructions to Form 10-Q and Article 10 of Regulation S-X. The condensed consolidated balance sheet as of June 30, 2019, the condensed consolidated statements of operations, comprehensive income, and stockholders’ equity for the three and six months ended June 30, 2019 and 2018, and the condensed consolidated statements of cash flows for the six months ended June 30, 2019 and 2018 are unaudited, but include all adjustments, consisting only of normal recurring adjustments, which we consider necessary for a fair presentation of the financial position, operating results and cash flows for the periods presented. The condensed consolidated balance sheet at December 31, 2018 has been derived from audited financial statements.</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we believe that the disclosures in these financial statements are adequate to make the information presented not misleading, certain information and footnote information normally included in financial statements prepared in accordance with accounting principles generally accepted in the United States (“U.S. GAAP”) have been condensed or omitted pursuant to the rules and regulations of the Securities and Exchange Commission.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Results for any interim period are not necessarily indicative of results for any future interim period or for the entire year. The accompanying financial statements should be read in conjunction with the financial statements and notes thereto included in our Annual Report on Form 10-K for the year ended December 31, 2018.</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The condensed consolidated financial statements include the accounts of Incyte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and our wholly owned subsidiaries. All inter-company accounts, transactions, and profits have been eliminated in consolidation.</w:t>
      </w:r>
    </w:p>
    <w:p>
      <w:pPr>
        <w:spacing w:after="0" w:line="17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Foreign Currency Translation</w:t>
      </w:r>
      <w:r>
        <w:rPr>
          <w:rFonts w:ascii="Times New Roman" w:cs="Times New Roman" w:eastAsia="Times New Roman" w:hAnsi="Times New Roman"/>
          <w:sz w:val="18"/>
          <w:szCs w:val="18"/>
          <w:color w:val="auto"/>
        </w:rPr>
        <w:t>. Operations in non-U.S. entities are recorded in the functional currency of each entity.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financial reporting purposes, the functional currency of an entity is determined by a review of the source of an entity's most predominant cash flows. The results of operations for any non-U.S. dollar functional currency entities are translated from functional currencies into U.S. dollars using the average currency rate during each month. Assets and liabilities are translated using currency rates at the end of the period. Adjustments resulting from translating the financial statements of our foreign entities that use their local currency as the functional currency into U.S. dollars are reflected as a component of other comprehensive income (loss). Transaction gains and losses are recorded in other income (expense), net, in the condensed consolidated statements of operations.</w:t>
      </w:r>
    </w:p>
    <w:p>
      <w:pPr>
        <w:spacing w:after="0" w:line="18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accounting principles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accepted in the United States requires management to make estimates and assumptions that affect the amounts reported in the financial statements and accompanying notes. Actual results could differ from those estimates.</w:t>
      </w:r>
    </w:p>
    <w:p>
      <w:pPr>
        <w:spacing w:after="0" w:line="1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Concentrations of Credit Risk. </w:t>
      </w:r>
      <w:r>
        <w:rPr>
          <w:rFonts w:ascii="Times New Roman" w:cs="Times New Roman" w:eastAsia="Times New Roman" w:hAnsi="Times New Roman"/>
          <w:sz w:val="18"/>
          <w:szCs w:val="18"/>
          <w:color w:val="auto"/>
        </w:rPr>
        <w:t>Cash, cash equivalents, marketable securities, and trade receivables are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which potentially subject us to concentrations of credit risk. The estimated fair value of financial instruments approximates the carrying value based on available market information. We primarily invest our excess available funds in debt securities and, by policy, limit the amount of credit exposure to any one issuer and to any one type of investment,</w:t>
      </w:r>
    </w:p>
    <w:p>
      <w:pPr>
        <w:sectPr>
          <w:pgSz w:w="11900" w:h="16838" w:orient="portrait"/>
          <w:cols w:equalWidth="0" w:num="1">
            <w:col w:w="9060"/>
          </w:cols>
          <w:pgMar w:left="1420" w:top="513" w:right="1419"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than securities issued or guaranteed by the U.S. government and money market funds that meet certain guidelines. Our receivables mainly relate to our product sales of JAKAFI, ICLUSIG and collaborative agreements with pharmaceutical companies. We have not experienced any significant credit losses on cash, cash equivalents, marketable securities, or trade receivables to date and do not require collateral on receivables.</w:t>
      </w:r>
    </w:p>
    <w:p>
      <w:pPr>
        <w:spacing w:after="0" w:line="17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Cash and cash equivalents are held in banks or in custodial accounts with banks.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equivalents are defined as all liquid investments and money market funds with maturity from date of purchase of 90 days or less that are readily convertible into cash.</w:t>
      </w:r>
    </w:p>
    <w:p>
      <w:pPr>
        <w:spacing w:after="0" w:line="17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Marketable Securities—Available-for-Sale. </w:t>
      </w:r>
      <w:r>
        <w:rPr>
          <w:rFonts w:ascii="Times New Roman" w:cs="Times New Roman" w:eastAsia="Times New Roman" w:hAnsi="Times New Roman"/>
          <w:sz w:val="18"/>
          <w:szCs w:val="18"/>
          <w:color w:val="auto"/>
        </w:rPr>
        <w:t>Our marketable securities consist of investments in corporate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and U.S. government securities that are classified as available-for-sale. Available-for-sale securities are carried at fair value, based on quoted market prices and observable inputs, with unrealized gains and losses, net of tax, reported as a separate component of stockholders’ equity. We classify marketable securities that are available for use in current operations as current assets on the condensed consolidated balance sheets. Realized gains and losses and declines in value judged to be other than temporary for available-for-sale securities are included in other income (expense), net on the condensed consolidated statements of operations. The cost of securities sold is based on the specific identification method.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Accounts Receivable. </w:t>
      </w:r>
      <w:r>
        <w:rPr>
          <w:rFonts w:ascii="Times New Roman" w:cs="Times New Roman" w:eastAsia="Times New Roman" w:hAnsi="Times New Roman"/>
          <w:sz w:val="18"/>
          <w:szCs w:val="18"/>
          <w:color w:val="auto"/>
        </w:rPr>
        <w:t>As of June 30, 2019 and December 31, 2018, we had a de minimis allowance for doubtful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accounts. We provide an allowance for doubtful accounts based on experience and specifically identified risks. Accounts receivable are carried at fair value and charged off against the allowance for doubtful accounts when we determine that recovery is unlikely and we cease collection efforts.</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Inventory. </w:t>
      </w:r>
      <w:r>
        <w:rPr>
          <w:rFonts w:ascii="Times New Roman" w:cs="Times New Roman" w:eastAsia="Times New Roman" w:hAnsi="Times New Roman"/>
          <w:sz w:val="18"/>
          <w:szCs w:val="18"/>
          <w:color w:val="auto"/>
        </w:rPr>
        <w:t>Inventories are determined at the lower of cost and net realizable value with cost determined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 identification method and may consist of raw materials, work in process and finished goods.</w:t>
      </w:r>
    </w:p>
    <w:p>
      <w:pPr>
        <w:spacing w:after="0" w:line="16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JAKAFI raw materials and work-in-process inventory is not subject to expiration and the shelf life of finished goods inventory is 36 months from the start of manufacturing of the finished goods. ICLUSIG raw materials and work-in-process inventory is not subject to expiration and finished goods inventory has a shelf life of 24 months from the start of manufacturing of the finished goods. We evaluate for potential excess inventory by analyzing current and future product demand relative to the remaining product shelf life. We build demand forecasts by considering factors such as, but not limited to, overall market potential, market share, market acceptance and patient usage. We classify inventory as current on the condensed consolidated balance sheets when we expect inventory to be consumed for commercial use within the next twelve months.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Variable Interest Entities</w:t>
      </w:r>
      <w:r>
        <w:rPr>
          <w:rFonts w:ascii="Times New Roman" w:cs="Times New Roman" w:eastAsia="Times New Roman" w:hAnsi="Times New Roman"/>
          <w:sz w:val="18"/>
          <w:szCs w:val="18"/>
          <w:color w:val="auto"/>
        </w:rPr>
        <w:t>. We perform an initial and ongoing evaluation of the entities with which we have variable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interests, such as equity ownership, in order to identify entities (i) that do not have sufficient equity investment at risk to permit the entity to finance its activities without additional subordinated financial support or (ii) in which the equity investors lack an essential characteristic of a controlling financial interest as variable interest entities (“VIE” or “VIEs”). If an entity is identified as a VIE, we perform an assessment to determine whether we have both (i) the power to direct activities that most significantly impact the VIE’s economic performance and (ii) have the obligation to absorb losses from or the right to receive benefits of the VIE that could potentially be significant to the VIE. If both of these criteria are satisfied, we are identified as the primary beneficiary of the VIE. As of June 30, 2019, there were no entities in which we held a variable interest which we determined to be VIEs.</w:t>
      </w:r>
    </w:p>
    <w:p>
      <w:pPr>
        <w:spacing w:after="0" w:line="18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Long Term Investments. </w:t>
      </w:r>
      <w:r>
        <w:rPr>
          <w:rFonts w:ascii="Times New Roman" w:cs="Times New Roman" w:eastAsia="Times New Roman" w:hAnsi="Times New Roman"/>
          <w:sz w:val="18"/>
          <w:szCs w:val="18"/>
          <w:color w:val="auto"/>
        </w:rPr>
        <w:t>Our long term investments consist of equity investments in common stock of publicly-held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with whom we have entered into collaboration and license agreements. We classify all of our equity investments in common stock of publicly-held companies as long term investments on the condensed consolidated balance sheets. Our equity investments are accounted for at fair value using readily determinable pricing available on a securities exchange on the condensed consolidated balance sheets. All changes in fair value are reported in the condensed consolidated statements of operations as an unrealized gain (loss) on long term investments.</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assessing whether we exercise significant influence over any of the companies in which we hold equity investments, we consider the nature and magnitude of our investment, any voting and protective rights we hold, any participation in the governance of the other company, and other relevant factors such as the presence of a collaboration or</w:t>
      </w:r>
    </w:p>
    <w:p>
      <w:pPr>
        <w:sectPr>
          <w:pgSz w:w="11900" w:h="16838" w:orient="portrait"/>
          <w:cols w:equalWidth="0" w:num="1">
            <w:col w:w="9060"/>
          </w:cols>
          <w:pgMar w:left="1420" w:top="513" w:right="141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business relationship. Currently, none of our equity investments in publicly-held companies are considered relationships in which we are able to assert control.</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Property and Equipment, net. </w:t>
      </w:r>
      <w:r>
        <w:rPr>
          <w:rFonts w:ascii="Times New Roman" w:cs="Times New Roman" w:eastAsia="Times New Roman" w:hAnsi="Times New Roman"/>
          <w:sz w:val="18"/>
          <w:szCs w:val="18"/>
          <w:color w:val="auto"/>
        </w:rPr>
        <w:t>Property and equipment, net is stated at cost, less accumulated depreciation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Depreciation is recorded using the straight-line method over the estimated useful lives of the respective assets. Leasehold improvements are amortized over the shorter of the estimated useful life of the assets or lease term.</w:t>
      </w:r>
    </w:p>
    <w:p>
      <w:pPr>
        <w:spacing w:after="0" w:line="17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Lease Accounting. </w:t>
      </w:r>
      <w:r>
        <w:rPr>
          <w:rFonts w:ascii="Times New Roman" w:cs="Times New Roman" w:eastAsia="Times New Roman" w:hAnsi="Times New Roman"/>
          <w:sz w:val="18"/>
          <w:szCs w:val="18"/>
          <w:color w:val="auto"/>
        </w:rPr>
        <w:t>The new accounting standard for leases, Accounting Standard Codification (“ASC”) 842,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Leases, was adopted for the fiscal year beginning on January 1, 2019. Per the new standard, all leases with a lease term greater than 12 months, regardless of lease type classification, are recorded as an obligation on the balance sheet with a corresponding right-of-use asset. Under the prior leasing standard, only contracts assessed as capital leases were recorded on the balance sheet. Both finance and operating leases are reflected as liabilities on the commencement date of the lease based on the present value of the lease payments to be made over the lease term. Current operating lease liabilities are reflected in accrued and other current liabilities and noncurrent operating lease liabilities are reflected in other liabilities on the condensed consolidated balance sheet. Right-of-use assets are valued at the initial measurement of the lease liability, plus any initial direct costs or rent prepayments, minus lease incentives and deferred lease payments, and are amortized over the lease term. Operating right-of-use assets are recorded in property and equipment, net on the condensed consolidated balance sheet. For operating leases, the expense recognition is similar to that of operating leases under ASC 840, with a single lease cost recognized on a straight-line basis. For finance leases, the expense recognition is similar to that of capital leases under ASC 840, with separate amortization and interest expense, with higher interest expense in the earlier periods of a lease. Leases with an initial term of 12 months or less are not recorded on the balance sheet and we recognize lease expense for these leases on a straight-line basis over the term of the lease.</w:t>
      </w:r>
    </w:p>
    <w:p>
      <w:pPr>
        <w:spacing w:after="0" w:line="19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determining whether a contract contains a lease, asset and service agreements are assessed at onset and upon modification for criteria of specifically identified assets, control and economic benefit.</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Intangible Assets, net. </w:t>
      </w:r>
      <w:r>
        <w:rPr>
          <w:rFonts w:ascii="Times New Roman" w:cs="Times New Roman" w:eastAsia="Times New Roman" w:hAnsi="Times New Roman"/>
          <w:sz w:val="18"/>
          <w:szCs w:val="18"/>
          <w:color w:val="auto"/>
        </w:rPr>
        <w:t>Other intangible assets, net consist of licensed intellectual property rights acquired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combinations, which are reported at acquisition date fair value, less accumulated amortization. Intangible assets with finite lives are amortized over their estimated useful lives using the straight-line method.</w:t>
      </w:r>
    </w:p>
    <w:p>
      <w:pPr>
        <w:spacing w:after="0" w:line="17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Impairment of Long-Lived Assets. </w:t>
      </w:r>
      <w:r>
        <w:rPr>
          <w:rFonts w:ascii="Times New Roman" w:cs="Times New Roman" w:eastAsia="Times New Roman" w:hAnsi="Times New Roman"/>
          <w:sz w:val="18"/>
          <w:szCs w:val="18"/>
          <w:color w:val="auto"/>
        </w:rPr>
        <w:t>Long-lived assets with finite lives are tested for impairment whenever events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circumstances indicate that the carrying value of an asset may not be recoverable. If indicators of impairment are present, the asset is tested for recoverability by comparing the carrying value of the asset to the related estimated undiscounted future cash flows expected to be derived from the asset. If the expected cash flows are less than the carrying value of the asset, then the asset is considered to be impaired and its carrying value is written down to fair value, based on the related estimated discounted future cash flows.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Goodwill is calculated as the difference between the acquisition date fair value of the consideration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transferred and the values assigned to the assets acquired and liabilities assumed. Goodwill is not amortized but is tested for impairment at the reporting unit level at least annually as of October 1 or when a triggering event occurs that could indicate a potential impairment by assessing qualitative factors or performing a quantitative analysis in determining whether it is more likely than not that the fair value of net assets are below their carrying amounts. A reporting unit is the same as, or one level below, an operating segment. Our operations are currently comprised of a single, entity wide reporting unit. We completed our most recent annual impairment assessment as of October 1, 2018 and determined that the carrying value of our goodwill was not impaired.</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We account for income taxes using the asset and liability approach which requires the recognition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deferred tax assets and liabilities for the expected future tax consequences of temporary differences between the carrying amount of assets and liabilities for financial reporting purposes and amounts reportable for income tax purposes. Deferred tax assets are reduced by a valuation allowance when, in the opinion of management, it is more-likely-than-not that some portion or all of the deferred tax assets will not be realized.</w:t>
      </w:r>
    </w:p>
    <w:p>
      <w:pPr>
        <w:spacing w:after="0" w:line="18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recognize the tax benefit from an uncertain tax position only if it is more-likely-than-not that the position will be sustained upon examination by the taxing authorities, including resolutions of any related appeals or litigation processes,</w:t>
      </w:r>
    </w:p>
    <w:p>
      <w:pPr>
        <w:sectPr>
          <w:pgSz w:w="11900" w:h="16838" w:orient="portrait"/>
          <w:cols w:equalWidth="0" w:num="1">
            <w:col w:w="9060"/>
          </w:cols>
          <w:pgMar w:left="1420" w:top="513" w:right="141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the technical merits of the position. The tax benefit that is recorded for these positions is measured at the largest amount of benefit that is greater than 50 percent likely of being realized upon ultimate settlement. We adjust the level of the liability to reflect any subsequent changes in the relevant facts surrounding the uncertain positions. Any interest and penalties on uncertain tax positions are included within the tax provision.</w:t>
      </w:r>
    </w:p>
    <w:p>
      <w:pPr>
        <w:spacing w:after="0" w:line="1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Financing Costs Related to Long-term Debt. </w:t>
      </w:r>
      <w:r>
        <w:rPr>
          <w:rFonts w:ascii="Times New Roman" w:cs="Times New Roman" w:eastAsia="Times New Roman" w:hAnsi="Times New Roman"/>
          <w:sz w:val="18"/>
          <w:szCs w:val="18"/>
          <w:color w:val="auto"/>
        </w:rPr>
        <w:t>Costs associated with obtaining long-term debt are deferred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amortized over the term of the related debt using the effective interest method. Such costs are presented as a direct deduction from the carrying amount of the long-term debt liability, consistent with debt discounts, on the condensed consolidated balance sheets.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Grant Accounting. </w:t>
      </w:r>
      <w:r>
        <w:rPr>
          <w:rFonts w:ascii="Times New Roman" w:cs="Times New Roman" w:eastAsia="Times New Roman" w:hAnsi="Times New Roman"/>
          <w:sz w:val="18"/>
          <w:szCs w:val="18"/>
          <w:color w:val="auto"/>
        </w:rPr>
        <w:t>Grant amounts received from government agencies for operations are deferred and are amortized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income over the service period of the grant. Grant amounts received for purchases of capital assets are deferred and amortized into other income (expense), net over the useful life of the related capital assets. Such amounts are recorded in other liabilities on the condensed consolidated balance sheets.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Income (Loss) Per Share. </w:t>
      </w:r>
      <w:r>
        <w:rPr>
          <w:rFonts w:ascii="Times New Roman" w:cs="Times New Roman" w:eastAsia="Times New Roman" w:hAnsi="Times New Roman"/>
          <w:sz w:val="18"/>
          <w:szCs w:val="18"/>
          <w:color w:val="auto"/>
        </w:rPr>
        <w:t>Our basic and diluted net income (loss) per share is calculated by dividing the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(loss) by the weighted average number of shares of common stock outstanding during all periods presented. Options to purchase stock, restricted stock units, performance stock units and shares issuable upon the conversion of convertible debt are included in diluted earnings per share calculations, unless the effects are anti-dilutive.</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Accumulated Other Comprehensive Income (Loss). </w:t>
      </w:r>
      <w:r>
        <w:rPr>
          <w:rFonts w:ascii="Times New Roman" w:cs="Times New Roman" w:eastAsia="Times New Roman" w:hAnsi="Times New Roman"/>
          <w:sz w:val="18"/>
          <w:szCs w:val="18"/>
          <w:color w:val="auto"/>
        </w:rPr>
        <w:t>Accumulated other comprehensive income (loss) consists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unrealized gains or losses on marketable securities that are classified as available-for-sale, foreign currency translation gains or losses and defined benefit pension obligations.</w:t>
      </w:r>
    </w:p>
    <w:p>
      <w:pPr>
        <w:spacing w:after="0" w:line="1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Revenue-generating contracts are assessed to identify distinct performance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allocating transaction prices to those performance obligations, and criteria for satisfaction of a performance obligation. Revenue is recognized when we have satisfied a performance obligation through transferring control of the promised good or service to a customer. Control, in this instance, may mean the ability to prevent other entities from directing the use of, and receiving benefit from, a good or service. We determine at contract inception whether we will transfer control of a promised good or service over time or satisfy the performance obligation at a point in time through analysis of the following criteria: (i) the entity has a present right to payment, (ii) the customer has legal title, (iii) the customer has physical possession, (iv) the customer has the significant risks and rewards of ownership and (v) the customer has accepted the asset. We assess collectability based primarily on the customer’s payment history and on the creditworthiness of the customer.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Product Revenues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product revenues consist of U.S. sales of JAKAFI and European sales of ICLUSIG. Product revenues are recognized once we satisfy the performance obligation at a point in time under the revenue recognition criteria as described above. In November 2011, we began shipping JAKAFI to our customers in the U.S., which include specialty pharmacies and wholesalers. In June 2016, we acquired the right to and began shipping ICLUSIG to our customers in the European Union and certain other jurisdictions, which include retail pharmacies, hospital pharmacies and distributors.</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recognize revenues for product received by our customers net of allowances for customer credits, including estimated rebates, chargebacks, discounts, returns, distribution service fees, patient assistance programs, and government rebates, such as Medicare Part D coverage gap reimbursements in the U.S. At June 30, 2019 and December 31, 2018, $60.9 million and $44.8 million, respectively, of accrued sales allowances were included in accrued and other current liabilities on the condensed consolidated balance sheets. Product shipping and handling costs are included in cost of product revenues.</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Customer Credits: </w:t>
      </w:r>
      <w:r>
        <w:rPr>
          <w:rFonts w:ascii="Times New Roman" w:cs="Times New Roman" w:eastAsia="Times New Roman" w:hAnsi="Times New Roman"/>
          <w:sz w:val="18"/>
          <w:szCs w:val="18"/>
          <w:color w:val="auto"/>
        </w:rPr>
        <w:t>Our customers are offered various forms of consideration, including allowances, service fees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prompt payment discounts. We expect our customers will earn prompt payment discounts and, therefore, we deduct the full amount of these discounts from total product sales when revenues are recognized. Service fees are also deducted from total product sales as they are earned.</w:t>
      </w:r>
    </w:p>
    <w:p>
      <w:pPr>
        <w:sectPr>
          <w:pgSz w:w="11900" w:h="16838" w:orient="portrait"/>
          <w:cols w:equalWidth="0" w:num="1">
            <w:col w:w="9060"/>
          </w:cols>
          <w:pgMar w:left="1420" w:top="513" w:right="1419"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Rebates and Discounts: </w:t>
      </w:r>
      <w:r>
        <w:rPr>
          <w:rFonts w:ascii="Times New Roman" w:cs="Times New Roman" w:eastAsia="Times New Roman" w:hAnsi="Times New Roman"/>
          <w:sz w:val="18"/>
          <w:szCs w:val="18"/>
          <w:color w:val="auto"/>
        </w:rPr>
        <w:t>Allowances for rebates include mandated discounts under the Medicaid Drug Rebate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in the U.S. and mandated discounts in Europe in markets where government-sponsored healthcare systems are the primary payers for healthcare. Rebates are amounts owed after the final dispensing of the product to a benefit plan participant and are based upon contractual agreements or legal requirements with public sector benefit providers. The accrual for rebates is based on statutory discount rates and expected utilization as well as historical data we have accumulated since product launches. Our estimates for expected utilization of rebates are based on data received from our customers. Rebates are generally invoiced and paid in arrears so that the accrual balance consists of an estimate of the amount expected to be incurred for the current quarter’s activity, plus an accrual balance for known prior quarters’ unpaid rebates. If actual future rebates vary from estimates, we may need to adjust prior period accruals, which would affect revenue in the period of adjustment.</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Chargebacks: </w:t>
      </w:r>
      <w:r>
        <w:rPr>
          <w:rFonts w:ascii="Times New Roman" w:cs="Times New Roman" w:eastAsia="Times New Roman" w:hAnsi="Times New Roman"/>
          <w:sz w:val="18"/>
          <w:szCs w:val="18"/>
          <w:color w:val="auto"/>
        </w:rPr>
        <w:t>Chargebacks are discounts that occur when certain contracted customers, which currently consist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of group purchasing organizations, Public Health Service institutions, non-profit clinics, and Federal government entities purchasing via the Federal Supply Schedule, purchase directly from our wholesalers. Contracted customers generally purchase the product at a discounted price. The wholesalers, in turn, charges back to us the difference between the price initially paid by the wholesalers and the discounted price paid by the contracted customers. In addition to actual chargebacks received we maintain an accrual for chargebacks based on the estimated contractual discounts on the inventory levels on hand in our distribution channel. If actual future chargebacks vary from these estimates, we may need to adjust prior period accruals, which would affect revenue in the period of adjustment.</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Medicare Part D Coverage Gap: </w:t>
      </w:r>
      <w:r>
        <w:rPr>
          <w:rFonts w:ascii="Times New Roman" w:cs="Times New Roman" w:eastAsia="Times New Roman" w:hAnsi="Times New Roman"/>
          <w:sz w:val="18"/>
          <w:szCs w:val="18"/>
          <w:color w:val="auto"/>
        </w:rPr>
        <w:t>Medicare Part D prescription drug benefit mandates manufacturers to fund 70%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Medicare Part D insurance coverage gap for prescription drugs sold to eligible patients. Our estimates for the expected Medicare Part D coverage gap are based on historical invoices received and in part from data received from our customers. Funding of the coverage gap is generally invoiced and paid in arrears so that the accrual balance consists of an estimate of the amount expected to be incurred for the current quarter’s activity, plus an accrual balance for known prior quarters. If actual future funding varies from estimates, we may need to adjust prior period accruals, which would affect revenue in the period of adjustment.</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Co-payment Assistance: </w:t>
      </w:r>
      <w:r>
        <w:rPr>
          <w:rFonts w:ascii="Times New Roman" w:cs="Times New Roman" w:eastAsia="Times New Roman" w:hAnsi="Times New Roman"/>
          <w:sz w:val="18"/>
          <w:szCs w:val="18"/>
          <w:color w:val="auto"/>
        </w:rPr>
        <w:t>Patients who have commercial insurance and meet certain eligibility requirements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co-payment assistance. We accrue a liability for co-payment assistance based on actual program participation and estimates of program redemption using data provided by third-party administrators.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Product Royalty Revenues</w:t>
      </w:r>
    </w:p>
    <w:p>
      <w:pPr>
        <w:spacing w:after="0" w:line="227"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Royalty revenues on commercial sales for ruxolitinib (marketed as JAKAVI</w:t>
      </w:r>
      <w:r>
        <w:rPr>
          <w:rFonts w:ascii="Times New Roman" w:cs="Times New Roman" w:eastAsia="Times New Roman" w:hAnsi="Times New Roman"/>
          <w:sz w:val="36"/>
          <w:szCs w:val="36"/>
          <w:color w:val="auto"/>
          <w:vertAlign w:val="superscript"/>
        </w:rPr>
        <w:t>®</w:t>
      </w:r>
      <w:r>
        <w:rPr>
          <w:rFonts w:ascii="Times New Roman" w:cs="Times New Roman" w:eastAsia="Times New Roman" w:hAnsi="Times New Roman"/>
          <w:sz w:val="18"/>
          <w:szCs w:val="18"/>
          <w:color w:val="auto"/>
        </w:rPr>
        <w:t xml:space="preserve"> outside the United States) by Novartis Pharmaceutical International Ltd. (“Novartis”) are based on net sales of licensed products in licensed territories as provided by Novartis. Royalty revenues on commercial sales for baricitinib (marketed as OLUMIANT) by Eli Lilly and Company (“Lilly”) are based on net sales of licensed products in licensed territories as provided by Lilly. We recognize royalty revenues in the period the sales occur.</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Cost of Product Revenues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Cost of product revenues includes all JAKAFI related product costs as well as ICLUSIG related product costs. The acquired ICLUSIG inventories were recorded at fair value less costs to sell in connection with our June 2016 acquisition of ARIAD Pharmaceuticals (Luxembourg) S.à.r.l., since renamed Incyte Biosciences Luxembourg S.à.r.l. (the “Acquisition”). In addition, cost of product revenues include low single-digit royalties under our collaboration and license agreement to Novartis on all future sales of JAKAFI in the United States. Subsequent to the Acquisition on June 1, 2016, cost of product revenues also includes the amortization of our licensed intellectual property for ICLUSIG using the straight-line method over the estimated useful life of 12.5 years.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Milestone and Contract Revenues</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Our license agreements, which fall within the scope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include distinct drug compound out-licensing, collection of upfront payments, milestones or royalty revenues from a counterparty,</w:t>
      </w:r>
    </w:p>
    <w:p>
      <w:pPr>
        <w:sectPr>
          <w:pgSz w:w="11900" w:h="16838" w:orient="portrait"/>
          <w:cols w:equalWidth="0" w:num="1">
            <w:col w:w="9060"/>
          </w:cols>
          <w:pgMar w:left="1420" w:top="513" w:right="1419"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 provision of commercially available products to suppliers. Our agreements often include contractual milestones, which typically relate to the achievement of pre-specified development, regulatory and commercialization events outside of our control, such as regulatory approval of a compound, first patient dosing or achievement of sales-based thresholds. For such cases, we believe that revenue related to these events should not be recognized until the milestone has been achieved.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Some contracts form collaborative arrangements of various types with third-parties. We assess whether the nature of the arrangement is within the scope of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in conjunction with the new revenue guidance to determine the nature of the performance obligations and associated transaction prices. A collaborative relationship may exist when we participate in an activity or process with another party, such as performance of research and development services or the exchange of intellectual property for use in clinical trials, when both parties share in the risks and rewards that result from the activity or participate and govern contract activities through a joint steering committee.</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regulatory review and approval process, which includes preclinical testing and clinical trials of each drug candidate, is lengthy, expensive and uncertain. Securing approval by the U.S. Food and Drug Administration (the “FDA”) requires the submission of extensive preclinical and clinical data and supporting information to the FDA for each indication to establish a drug candidate’s safety and efficacy. The approval process takes many years, requires the expenditure of substantial resources, involves post-marketing surveillance and may involve ongoing requirements for post-marketing studies. Before commencing clinical investigations of a drug candidate in humans, we must submit an Investigational New Drug application (“IND”), which must be reviewed by the FDA.</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steps generally required before a drug may be marketed in the United States include preclinical laboratory tests, animal studies and formulation studies, submission to the FDA of an IND for human clinical testing, performance of adequate and well-controlled clinical trials in three phases, as described below, to establish the safety and efficacy of the drug for each indication, submission of a new drug application (“NDA”) or biologics license application (“BLA”) to the FDA for review and FDA approval of the NDA or BLA.</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Similar requirements exist within foreign regulatory agencies as well. The time required satisfying the FDA requirements or similar requirements of foreign regulatory agencies may vary substantially based on the type, complexity and novelty of the product or the targeted disease.</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Preclinical testing includes laboratory evaluation of product pharmacology, drug metabolism, and toxicity, which includes animal studies, to assess potential safety and efficacy as well as product chemistry, stability, formulation, development, and testing. The results of the preclinical tests, together with manufacturing information and analytical data, are submitted to the FDA as part of an IND. The FDA may raise safety concerns or questions about the conduct of the clinical trials included in the IND, and any of these concerns or questions must be resolved before clinical trials can proceed. We cannot be sure that submission of an IND will result in the FDA allowing clinical trials to commence. Clinical trials involve the administration of the investigational drug or the marketed drug to human subjects under the supervision of qualified investigators and in accordance with good clinical practices regulations covering the protection of human subjects. Clinical trials typically are conducted in three sequential phases, but the phases may overlap or be combined. Phase I usually involves the initial introduction of the investigational drug into healthy volunteers to evaluate its safety, dosage tolerance, absorption, metabolism, distribution and excretion. Phase II usually involves clinical trials in a limited patient population to evaluate dosage tolerance and optimal dosage, identify possible adverse effects and safety risks, and evaluate and gain preliminary evidence of the efficacy of the drug for specific indications. Phase III clinical trials usually further evaluate clinical efficacy and safety by testing the drug in its final form in an expanded patient population, providing statistical evidence of efficacy and safety, and providing an adequate basis for labeling. We cannot guarantee that Phase I, Phase II or Phase III testing will be completed successfully within any specified period of time, if at all. Furthermore, we, the institutional review board for a trial, or the FDA may suspend clinical trials at any time on various grounds, including a finding that the subjects or patients are being exposed to an unacceptable health risk.</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Generally, the milestone events contained in our collaboration agreements coincide with the progression of our drugs from development, to regulatory approval and then to commercialization. The process of successfully discovering a new development candidate, having it approved and successfully commercialized is highly uncertain. As such, the</w:t>
      </w:r>
    </w:p>
    <w:p>
      <w:pPr>
        <w:sectPr>
          <w:pgSz w:w="11900" w:h="16838" w:orient="portrait"/>
          <w:cols w:equalWidth="0" w:num="1">
            <w:col w:w="9060"/>
          </w:cols>
          <w:pgMar w:left="1420" w:top="513" w:right="141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milestone payments we may earn from our partners involve a significant degree of risk to achieve. Therefore, as a drug candidate progresses through the stages of its life-cycle, the value of the drug candidate generally increases.</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Costs. </w:t>
      </w:r>
      <w:r>
        <w:rPr>
          <w:rFonts w:ascii="Times New Roman" w:cs="Times New Roman" w:eastAsia="Times New Roman" w:hAnsi="Times New Roman"/>
          <w:sz w:val="18"/>
          <w:szCs w:val="18"/>
          <w:color w:val="auto"/>
        </w:rPr>
        <w:t>Our policy is to expense research and development costs as incurred. We often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with clinical research organizations (“CROs”) to facilitate, coordinate and perform agreed upon research and development of a new drug. To ensure that research and development costs are expensed as incurred, we record monthly accruals for clinical trials and preclinical testing costs based on the work performed under the contract.</w:t>
      </w:r>
    </w:p>
    <w:p>
      <w:pPr>
        <w:spacing w:after="0" w:line="18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These CRO contracts typically call for the payment of fees for services at the initiation of the contract and/or upon the achievement of certain clinical trial milestones. In the event that we prepay CRO fees, we record the prepayment as a prepaid asset and amortize the asset into research and development expense over the period of time the contracted research and development services are performed. Most professional fees, including project and clinical management, data management, monitoring, and medical writing fees are incurred throughout the contract period. These professional fees are expensed based on their percentage of completion at a particular date. Our CRO contracts generally include pass through fees. Pass through fees include, but are not limited to, regulatory expenses, investigator fees, travel costs, and other miscellaneous costs, including shipping and printing fees. We expense the costs of pass through fees under our CRO contracts as they are incurred, based on the best information available to us at the time. The estimates of the pass through fees incurred are based on the amount of work completed for the clinical trial and are monitored through correspondence with the CROs, internal reviews and a review of contractual terms. The factors utilized to derive the estimates include the number of patients enrolled, duration of the clinical trial, estimated patient attrition, screening rate and length of the dosing regimen. CRO fees incurred to set up the clinical trial are expensed during the setup period. Under our clinical trial collaboration agreements we may be reimbursed for certain development costs incurred. Such costs are recorded as a reduction of research and development expense in the period in which the related expense is incurred.</w:t>
      </w:r>
    </w:p>
    <w:p>
      <w:pPr>
        <w:spacing w:after="0" w:line="19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Stock Compensation. </w:t>
      </w:r>
      <w:r>
        <w:rPr>
          <w:rFonts w:ascii="Times New Roman" w:cs="Times New Roman" w:eastAsia="Times New Roman" w:hAnsi="Times New Roman"/>
          <w:sz w:val="18"/>
          <w:szCs w:val="18"/>
          <w:color w:val="auto"/>
        </w:rPr>
        <w:t>Share-based payment transactions with employees, which include stock options,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units (“RSUs”) and performance shares (“PSUs”), are recognized as compensation expense over the requisite service period based on their estimated fair values as well as expected forfeiture rates. The stock compensation process requires significant judgment and the use of estimates, particularly surrounding Black-Scholes assumptions such as stock price volatility over the option term and expected option lives, as well as expected forfeiture rates and the probability of PSUs vesting. The fair value of stock options, which are subject to graded vesting, are recognized as compensation expense over the requisite service period using the accelerated attribution method. The fair value of RSUs that are subject to cliff vesting are recognized as compensation expense over the requisite service period using the straight-line attribution method, and the fair value of RSUs that are subject to graded vesting are recognized as compensation expense over the requisite service period using the accelerated attribution method. The fair value of PSUs are recognized as compensation expense beginning at the time in which the performance conditions are deemed probable of achievement, which we assess as of the end of each reporting period. Once a performance condition is considered probable, we record compensation expense based on the portion of the service period elapsed to date with respect to that award, with a cumulative catch-up, net of estimated forfeitures, and recognize any remaining compensation expense, if any, over the remaining requisite service period using the straight-line attribution method for PSUs that are subject to cliff vesting and using the accelerated attribution method for PSUs that are subject to graded vesting.</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Long term Incentive Plans. </w:t>
      </w:r>
      <w:r>
        <w:rPr>
          <w:rFonts w:ascii="Times New Roman" w:cs="Times New Roman" w:eastAsia="Times New Roman" w:hAnsi="Times New Roman"/>
          <w:sz w:val="18"/>
          <w:szCs w:val="18"/>
          <w:color w:val="auto"/>
        </w:rPr>
        <w:t>We have long term incentive plans which provide eligible employees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opportunity to receive performance and service-based incentive compensation, which may be comprised of cash, stock options, restricted stock units and/or performance shares. The payment of cash and the grant or vesting of equity may be contingent upon the achievement of pre-determined regulatory, sales and internal performance milestones.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Acquisition-Related Contingent Consideration. </w:t>
      </w:r>
      <w:r>
        <w:rPr>
          <w:rFonts w:ascii="Times New Roman" w:cs="Times New Roman" w:eastAsia="Times New Roman" w:hAnsi="Times New Roman"/>
          <w:sz w:val="18"/>
          <w:szCs w:val="18"/>
          <w:color w:val="auto"/>
        </w:rPr>
        <w:t>Acquisition-related contingent consideration, which consists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royalty and certain potential milestone obligations to Takeda Pharmaceutical Company Limited, which acquired ARIAD (“Takeda”), is recorded on the acquisition date at the estimated fair value of the obligation, in accordance with the acquisition method of accounting. The fair value measurement is based on significant inputs that are unobservable in the market and thus represents a Level 3 measurement. The fair value of the acquisition-related contingent consideration is remeasured each reporting period, with changes in fair value recorded in the condensed consolidated statements of operations.</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February 2016, the Financial Accounting Standards Board (“FASB”) issued ASC 842, Leases, that requires lessees to recognize assets and liabilities on the balance sheet for most leases including operating leases. Additionally, the FASB issued clarifying guidance to the topic in ASUs No. 2018-10, No. 2018-11, No. 2018-20 and No. 2019-01 which clarified certain aspects of the new leases standard and provided an optional transition method. The guidance requires that the lessees classify leases as either a finance or operating lease and lessors classify all leases as sales-type, direct financing or operating leases. The statement of operations presentation and expense recognition for lessees for finance leases is similar to that of capital leases under ASC 840, with separate interest and amortization expense with higher interest expense in the earlier periods of a lease. For operating leases, the statement of operations presentation and expense recognition is similar to that of operating leases under ASC 840, with a single lease cost recognized on a straight-line basis. We implemented a third-party information technology application to facilitate activities for the new accounting and disclosure requirements and implemented new internal control procedures to support the new accounting and reporting processes associated with adopting the guidance. We elected the package of practical expedients and adopted utilizing the optional transition method as defined within ASU No. 2018-11. Accordingly, prior periods will not be restated to reflect the adopted standard. We did not elect the hindsight expedient.</w:t>
      </w:r>
    </w:p>
    <w:p>
      <w:pPr>
        <w:spacing w:after="0" w:line="19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 result of adoption on January 1, 2019, we recorded $23.6 million of lease right-of-use assets, $23.7 million of lease liabilities and an adjustment to retained earnings of $0.1 million. In addition, our capital lease assets and liabilities are now classified as finance lease right-of-use assets and liabilities. The capital asset and financing liability of $18.7 million recorded in 2018 related to the Morges office building and construction, described more fully in Note 7, was derecognized upon adoption. The adoption of the standard did not materially impact our consolidated net income and had no impact on our consolidated cash flows.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June 2016, the FASB issued ASU No. 2016-13, “Financial Instruments – Credit Losses (Topic 326): Measurement of Credit Losses on Financial Instruments.” This guidance applies to all entities and impacts how entities account for credit losses for most financial assets and other instruments. For available-for-sale debt securities, entities will be required to recognize an allowance for credit losses rather than a reduction to the carrying value of the asset. For trade receivables, loans and held-to-maturity debt securities, entities will be required to estimate lifetime expected credit losses. The FASB released clarifying guidance in April 2019 within ASU No. 2019-04, “Codification Improvements to Topic 326, Financial Instruments – Credit Losses,” and in May 2019 within ASU No. 2019-05, “Financial Instruments – Credit Losses (Topic 326): Targeted Transition Relief.” The updates provide guidance on estimating credit losses, including transition relief by allowing for election of the fair value methodology on an instrument-by-instrument basis for eligible financial instruments within the scope of ASC 825-10. This guidance is effective for fiscal years beginning after December 15, 2019 and interim periods therein. Elections under ASU 2019-05 require a modified retrospective application through a cumulative-effect adjustment in the opening balance of retained earnings upon adoption. We are currently analyzing the impact of the ASUs on our condensed consolidated financial statements.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June 2018, the FASB issued ASU No. 2018-07, “Compensation – Stock Compensation (Topic 718): Improvements to Nonemployee Share-Based Payment Accounting.” This guidance expanded the scope of ASC 718 to include share-based payments granted to nonemployees in exchange for goods or services and supersedes the guidance in ASC 505-50. Under this new standard, nonemployee awards are measured on the grant date by estimating the fair value of the equity instruments to be issued rather than the fair value of the goods or services received. Entities may use the expected term when estimating the fair value of a nonemployee option or elect to use the contractual term as the expected term, on an award-by-award basis. The cumulative effect of the transition adjustment is to be recorded as an adjustment to retained earnings as of the beginning of the annual period of adoption. We adopted this standard for the period beginning January 1, 2019 and concluded there to be no change in our previous accounting for nonemployee awards and no impact on our condensed consolidated financial statements.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August 2018, the FASB issued ASU No. 2018-14, “Compensation – Retirement Benefits – Defined Benefit Plans</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General,” an update to Subtopic ASC 715-20. The guidance amended year-end disclosure requirements related to defined benefit pension plans, and does not affect interim disclosures. The guidance is effective for fiscal years ending after December 15, 2020, and is permitted for early adoption. The standard is to be applied on a retrospective basis. Incyte</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sponsors defined benefit plans for employees located in Europe. We are currently analyzing the impact of ASU No. 2018-14 on our consolidated financial statements.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August 2018, the FASB issued ASU No. 2018-15, “Intangibles – Goodwill and Other – Internal-Use Software,” an update to Subtopic ASC 350-40. The guidance directs accounting for service contracts for cloud computing arrangements to follow guidance within ASC 350-40 to determine capitalization of implementation costs. The guidance is effective for fiscal years beginning after December 15, 2019, and is permitted for early adoption. The standard may be applied on either a retrospective or prospective basis. We are currently analyzing the impact of ASU No. 2018-15 on our condensed consolidated financial statements.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August 2018, the SEC issued a final rule Release No. 33-10532, “Disclosure Update and Simplification,” to amend certain disclosure requirements now seen as redundant, duplicative, overlapping, outdated or superseded in the wake of recent accounting pronouncements. The amended rules became effective November 5, 2018. We analyzed the release in preparation of our Form 10-Q during the first interim period in 2019, which resulted in the additional disclosure of changes to stockholders’ equity during interim periods, as presented within the condensed consolidated statements of stockholders’ equity. We note that many of the amended requirements under this Release are not applicable to the Company, as we do not make dividend payments to stockholders, currently report our activities under a single business segment, and already provided all other significant disclosure requirements.</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November 2018, the FASB issued ASU No. 2018-18, “Collaborative Arrangements (Topic 808): Clarifying the Interaction Between Topic 808 and Topic 606.” The guidance clarifies the interactions between Topic 808 and Topic 606, including clarifications on revenue recognition, unit of account, and reporting disclosure requirements. The guidance is effective for fiscal years beginning after December 15, 2019, and is permitted for early adoption. The standard is to be applied on a retrospective basis to the date of the initial application of Topic 606. We utilize collaborative arrangements as described in our license agreements footnote and are currently analyzing the impact of ASU No. 2018-18 on our condensed consolidated financial statements.</w:t>
      </w:r>
    </w:p>
    <w:p>
      <w:pPr>
        <w:spacing w:after="0" w:line="185" w:lineRule="exact"/>
        <w:rPr>
          <w:sz w:val="20"/>
          <w:szCs w:val="20"/>
          <w:color w:val="auto"/>
        </w:rPr>
      </w:pPr>
    </w:p>
    <w:p>
      <w:pPr>
        <w:ind w:left="360" w:hanging="358"/>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disaggregated revenue for the periods presented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9"/>
        </w:trPr>
        <w:tc>
          <w:tcPr>
            <w:tcW w:w="3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210"/>
        </w:trPr>
        <w:tc>
          <w:tcPr>
            <w:tcW w:w="316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80" w:type="dxa"/>
            <w:vAlign w:val="bottom"/>
            <w:tcBorders>
              <w:bottom w:val="single" w:sz="8" w:color="CCEEFF"/>
            </w:tcBorders>
          </w:tcPr>
          <w:p>
            <w:pPr>
              <w:spacing w:after="0"/>
              <w:rPr>
                <w:sz w:val="18"/>
                <w:szCs w:val="18"/>
                <w:color w:val="auto"/>
              </w:rPr>
            </w:pPr>
          </w:p>
        </w:tc>
      </w:tr>
      <w:tr>
        <w:trPr>
          <w:trHeight w:val="21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JAKAFI revenues, net</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409,506</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345,624</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785,117</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659,344</w:t>
            </w:r>
          </w:p>
        </w:tc>
        <w:tc>
          <w:tcPr>
            <w:tcW w:w="180" w:type="dxa"/>
            <w:vAlign w:val="bottom"/>
            <w:shd w:val="clear" w:color="auto" w:fill="CCEEFF"/>
          </w:tcPr>
          <w:p>
            <w:pPr>
              <w:spacing w:after="0"/>
              <w:rPr>
                <w:sz w:val="18"/>
                <w:szCs w:val="18"/>
                <w:color w:val="auto"/>
              </w:rPr>
            </w:pPr>
          </w:p>
        </w:tc>
      </w:tr>
      <w:tr>
        <w:trPr>
          <w:trHeight w:val="230"/>
        </w:trPr>
        <w:tc>
          <w:tcPr>
            <w:tcW w:w="3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ICLUSIG revenues, net</w:t>
            </w:r>
          </w:p>
        </w:tc>
        <w:tc>
          <w:tcPr>
            <w:tcW w:w="3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24,391</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19,900</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45,029</w:t>
            </w:r>
          </w:p>
        </w:tc>
        <w:tc>
          <w:tcPr>
            <w:tcW w:w="1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40,685</w:t>
            </w:r>
          </w:p>
        </w:tc>
        <w:tc>
          <w:tcPr>
            <w:tcW w:w="180" w:type="dxa"/>
            <w:vAlign w:val="bottom"/>
            <w:tcBorders>
              <w:bottom w:val="single" w:sz="8" w:color="CCEEFF"/>
            </w:tcBorders>
          </w:tcPr>
          <w:p>
            <w:pPr>
              <w:spacing w:after="0"/>
              <w:rPr>
                <w:sz w:val="19"/>
                <w:szCs w:val="19"/>
                <w:color w:val="auto"/>
              </w:rPr>
            </w:pPr>
          </w:p>
        </w:tc>
      </w:tr>
      <w:tr>
        <w:trPr>
          <w:trHeight w:val="22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product revenues, net</w:t>
            </w: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433,897</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365,524</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830,146</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700,029</w:t>
            </w:r>
          </w:p>
        </w:tc>
        <w:tc>
          <w:tcPr>
            <w:tcW w:w="180" w:type="dxa"/>
            <w:vAlign w:val="bottom"/>
            <w:shd w:val="clear" w:color="auto" w:fill="CCEEFF"/>
          </w:tcPr>
          <w:p>
            <w:pPr>
              <w:spacing w:after="0"/>
              <w:rPr>
                <w:sz w:val="19"/>
                <w:szCs w:val="19"/>
                <w:color w:val="auto"/>
              </w:rPr>
            </w:pPr>
          </w:p>
        </w:tc>
      </w:tr>
      <w:tr>
        <w:trPr>
          <w:trHeight w:val="23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JAKAVI product royalty revenues</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56,895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102,466</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88,438</w:t>
            </w:r>
          </w:p>
        </w:tc>
        <w:tc>
          <w:tcPr>
            <w:tcW w:w="180" w:type="dxa"/>
            <w:vAlign w:val="bottom"/>
          </w:tcPr>
          <w:p>
            <w:pPr>
              <w:spacing w:after="0"/>
              <w:rPr>
                <w:sz w:val="19"/>
                <w:szCs w:val="19"/>
                <w:color w:val="auto"/>
              </w:rPr>
            </w:pPr>
          </w:p>
        </w:tc>
      </w:tr>
      <w:tr>
        <w:trPr>
          <w:trHeight w:val="23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OLUMIANT product royalty revenues</w:t>
            </w:r>
          </w:p>
        </w:tc>
        <w:tc>
          <w:tcPr>
            <w:tcW w:w="3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19,140</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8,852</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35,177</w:t>
            </w:r>
          </w:p>
        </w:tc>
        <w:tc>
          <w:tcPr>
            <w:tcW w:w="1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15,231</w:t>
            </w:r>
          </w:p>
        </w:tc>
        <w:tc>
          <w:tcPr>
            <w:tcW w:w="180" w:type="dxa"/>
            <w:vAlign w:val="bottom"/>
            <w:shd w:val="clear" w:color="auto" w:fill="CCEEFF"/>
          </w:tcPr>
          <w:p>
            <w:pPr>
              <w:spacing w:after="0"/>
              <w:rPr>
                <w:sz w:val="19"/>
                <w:szCs w:val="19"/>
                <w:color w:val="auto"/>
              </w:rPr>
            </w:pPr>
          </w:p>
        </w:tc>
      </w:tr>
      <w:tr>
        <w:trPr>
          <w:trHeight w:val="22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Total product royalty revenues</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76,035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55,953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137,643</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103,669</w:t>
            </w:r>
          </w:p>
        </w:tc>
        <w:tc>
          <w:tcPr>
            <w:tcW w:w="180" w:type="dxa"/>
            <w:vAlign w:val="bottom"/>
          </w:tcPr>
          <w:p>
            <w:pPr>
              <w:spacing w:after="0"/>
              <w:rPr>
                <w:sz w:val="19"/>
                <w:szCs w:val="19"/>
                <w:color w:val="auto"/>
              </w:rPr>
            </w:pPr>
          </w:p>
        </w:tc>
      </w:tr>
      <w:tr>
        <w:trPr>
          <w:trHeight w:val="23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Milestone and contract revenues</w:t>
            </w: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shd w:val="clear" w:color="auto" w:fill="CCEEFF"/>
          </w:tcPr>
          <w:p>
            <w:pPr>
              <w:spacing w:after="0"/>
              <w:rPr>
                <w:sz w:val="19"/>
                <w:szCs w:val="19"/>
                <w:color w:val="auto"/>
              </w:rPr>
            </w:pPr>
          </w:p>
        </w:tc>
      </w:tr>
      <w:tr>
        <w:trPr>
          <w:trHeight w:val="230"/>
        </w:trPr>
        <w:tc>
          <w:tcPr>
            <w:tcW w:w="3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3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Borders>
              <w:bottom w:val="single" w:sz="8" w:color="CCEEFF"/>
            </w:tcBorders>
          </w:tcPr>
          <w:p>
            <w:pPr>
              <w:spacing w:after="0"/>
              <w:rPr>
                <w:sz w:val="19"/>
                <w:szCs w:val="19"/>
                <w:color w:val="auto"/>
              </w:rPr>
            </w:pPr>
          </w:p>
        </w:tc>
      </w:tr>
      <w:tr>
        <w:trPr>
          <w:trHeight w:val="210"/>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529,932</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521,516</w:t>
            </w: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1,027,789</w:t>
            </w:r>
          </w:p>
        </w:tc>
        <w:tc>
          <w:tcPr>
            <w:tcW w:w="1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903,798</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20"/>
        </w:trPr>
        <w:tc>
          <w:tcPr>
            <w:tcW w:w="3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further information on our revenue-generating contracts, refer to our license agreements footnote.</w:t>
      </w:r>
    </w:p>
    <w:p>
      <w:pPr>
        <w:spacing w:after="0" w:line="235" w:lineRule="exact"/>
        <w:rPr>
          <w:sz w:val="20"/>
          <w:szCs w:val="20"/>
          <w:color w:val="auto"/>
        </w:rPr>
      </w:pPr>
    </w:p>
    <w:p>
      <w:pPr>
        <w:ind w:left="360" w:hanging="358"/>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FASB accounting guidance defines fair value as the price that would be received to sell an asset or paid to transfer a liability (“the exit price”) in an orderly transaction between market participants at the measurement date. The guidance outlines a valuation framework and creates a fair value hierarchy in order to increase the consistency and comparability of fair value measurements and the related disclosures. In determining fair value we use quoted prices and observable inputs.</w:t>
      </w:r>
    </w:p>
    <w:p>
      <w:pPr>
        <w:sectPr>
          <w:pgSz w:w="11900" w:h="16838" w:orient="portrait"/>
          <w:cols w:equalWidth="0" w:num="1">
            <w:col w:w="9060"/>
          </w:cols>
          <w:pgMar w:left="1420" w:top="513" w:right="141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Observable inputs are inputs that market participants would use in pricing the asset or liability based on market data obtained from sources independent of us. The fair value hierarchy is broken down into three levels based on the source of inputs as follows: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1—Valuations based on unadjusted quoted prices in active markets for identical assets or liabilities.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Level 2—Valuations based on observable inputs and quoted prices in active markets for similar assets and liabilities.</w:t>
      </w:r>
    </w:p>
    <w:p>
      <w:pPr>
        <w:spacing w:after="0" w:line="237"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3—Valuations based on inputs that are unobservable and models that are significant to the overall fair value measurement.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marketable securities consist of investments in corporate debt securities and U.S. government securities that are classified as available-for-sale.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June 30, 2019 and December 31, 2018, our Level 2 corporate debt and U.S. government securities were valued using readily available pricing sources which utilize market observable inputs, including the current interest rate and other characteristics for similar types of investments. Our long term investments classified as Level 1 were valued using their respective closing stock prices on The Nasdaq Stock Market.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policy is to recognize transfers into and transfers out of fair value hierarchy levels as of the end of the reporting period. There were no transfers out of or into hierarchy levels during the six months ended June 30, 2019.</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fair value hierarchy table presents information about each major category of our financial assets measured at fair value on a recurring basis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gridSpan w:val="11"/>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3"/>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120" w:type="dxa"/>
            <w:vAlign w:val="bottom"/>
          </w:tcPr>
          <w:p>
            <w:pPr>
              <w:spacing w:after="0"/>
              <w:rPr>
                <w:sz w:val="10"/>
                <w:szCs w:val="10"/>
                <w:color w:val="auto"/>
              </w:rPr>
            </w:pPr>
          </w:p>
        </w:tc>
        <w:tc>
          <w:tcPr>
            <w:tcW w:w="1120" w:type="dxa"/>
            <w:vAlign w:val="bottom"/>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 Other</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center"/>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22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1,416,224</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1,416,224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Debt securities (corporate and government)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279,631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investments (Note 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115,563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115,563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1,531,787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279,631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1,811,418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11"/>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 Other</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1,163,980</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1,163,980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Debt securities (corporate and government)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274,343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investment (Note 9)</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99,199</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99,199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1,263,179</w:t>
            </w:r>
          </w:p>
        </w:tc>
        <w:tc>
          <w:tcPr>
            <w:tcW w:w="40" w:type="dxa"/>
            <w:vAlign w:val="bottom"/>
            <w:tcBorders>
              <w:bottom w:val="single" w:sz="8" w:color="auto"/>
            </w:tcBorders>
          </w:tcPr>
          <w:p>
            <w:pPr>
              <w:spacing w:after="0"/>
              <w:rPr>
                <w:sz w:val="18"/>
                <w:szCs w:val="18"/>
                <w:color w:val="auto"/>
              </w:rPr>
            </w:pPr>
          </w:p>
        </w:tc>
        <w:tc>
          <w:tcPr>
            <w:tcW w:w="140" w:type="dxa"/>
            <w:vAlign w:val="bottom"/>
            <w:gridSpan w:val="2"/>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274,343</w:t>
            </w:r>
          </w:p>
        </w:tc>
        <w:tc>
          <w:tcPr>
            <w:tcW w:w="20" w:type="dxa"/>
            <w:vAlign w:val="bottom"/>
            <w:tcBorders>
              <w:bottom w:val="single" w:sz="8" w:color="auto"/>
            </w:tcBorders>
          </w:tcPr>
          <w:p>
            <w:pPr>
              <w:spacing w:after="0"/>
              <w:rPr>
                <w:sz w:val="18"/>
                <w:szCs w:val="18"/>
                <w:color w:val="auto"/>
              </w:rPr>
            </w:pPr>
          </w:p>
        </w:tc>
        <w:tc>
          <w:tcPr>
            <w:tcW w:w="140" w:type="dxa"/>
            <w:vAlign w:val="bottom"/>
            <w:gridSpan w:val="2"/>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160" w:type="dxa"/>
            <w:vAlign w:val="bottom"/>
            <w:gridSpan w:val="2"/>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1,537,522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right"/>
              <w:ind w:right="518"/>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3" w:right="141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fair value hierarchy table presents information about each major category of our financial liabilities measured at fair value on a recurring basis as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20" w:type="dxa"/>
            <w:vAlign w:val="bottom"/>
            <w:gridSpan w:val="10"/>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ind w:right="22"/>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1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 Other</w:t>
            </w: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2"/>
                <w:szCs w:val="12"/>
                <w:color w:val="auto"/>
              </w:rPr>
            </w:pPr>
          </w:p>
        </w:tc>
        <w:tc>
          <w:tcPr>
            <w:tcW w:w="1100" w:type="dxa"/>
            <w:vAlign w:val="bottom"/>
            <w:gridSpan w:val="5"/>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Identical Liabilities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286,000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286,000</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20" w:type="dxa"/>
            <w:vAlign w:val="bottom"/>
            <w:gridSpan w:val="10"/>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ind w:right="22"/>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1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 Other</w:t>
            </w: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center"/>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0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2"/>
                <w:szCs w:val="12"/>
                <w:color w:val="auto"/>
              </w:rPr>
            </w:pPr>
          </w:p>
        </w:tc>
        <w:tc>
          <w:tcPr>
            <w:tcW w:w="1100" w:type="dxa"/>
            <w:vAlign w:val="bottom"/>
            <w:gridSpan w:val="5"/>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Identical Liabilities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287,001</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287,001</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287,001</w:t>
            </w:r>
          </w:p>
        </w:tc>
        <w:tc>
          <w:tcPr>
            <w:tcW w:w="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287,001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6560" w:type="dxa"/>
            <w:vAlign w:val="bottom"/>
            <w:gridSpan w:val="7"/>
          </w:tcPr>
          <w:p>
            <w:pPr>
              <w:ind w:left="640"/>
              <w:spacing w:after="0"/>
              <w:rPr>
                <w:sz w:val="20"/>
                <w:szCs w:val="20"/>
                <w:color w:val="auto"/>
              </w:rPr>
            </w:pPr>
            <w:r>
              <w:rPr>
                <w:rFonts w:ascii="Times New Roman" w:cs="Times New Roman" w:eastAsia="Times New Roman" w:hAnsi="Times New Roman"/>
                <w:sz w:val="18"/>
                <w:szCs w:val="18"/>
                <w:color w:val="auto"/>
              </w:rPr>
              <w:t>The following is a rollforward of our Level 3 liabilities (in thousands):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gridSpan w:val="3"/>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2019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287,001</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Contingent consideration earned during the period but not yet paid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made during the period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(6,672)</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13,279</w:t>
            </w:r>
          </w:p>
        </w:tc>
        <w:tc>
          <w:tcPr>
            <w:tcW w:w="14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2019</w:t>
            </w:r>
          </w:p>
        </w:tc>
        <w:tc>
          <w:tcPr>
            <w:tcW w:w="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286,000</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The fair value of the contingent consideration was determined using an income approach based on projected ICLUSIG revenues in the European Union and other countries for the approved third-line treatment and discount rates. The fair value of the contingent consideration is remeasured each reporting period, with changes in fair value recorded in the condensed consolidated statements of operations. The change in fair value of the contingent consideration during the three and six months ended June 30, 2019 was due primarily to the passage of time as there were no other significant changes in the key assumptions during the period.</w:t>
      </w:r>
    </w:p>
    <w:p>
      <w:pPr>
        <w:spacing w:after="0" w:line="188"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We make payments to Takeda quarterly based on the royalties or any additional milestone payments earned in the previous quarter. At June 30, 2019 and December 31, 2018, contingent consideration earned but not yet paid was $7.6 million and $13.2 million, respectively. Royalties earned in the second quarter of 2019 of $7.6 million were included in accrued and other current liabilities at June 30, 2019. Royalties earned in the third quarter of 2018 of $6.7 million were included in accounts payable and the royalties earned in the fourth quarter of 2018 of $6.5 million were included in accrued and other current liabilities at December 31, 2018. We paid Takeda $6.7 million for royalties earned in the first quarter of 2019 that were included in accrued and other current liabilities at March 31, 2019.</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our marketable security portfolio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Net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Net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20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5"/>
                <w:szCs w:val="15"/>
                <w:color w:val="auto"/>
              </w:rPr>
            </w:pPr>
          </w:p>
        </w:tc>
        <w:tc>
          <w:tcPr>
            <w:tcW w:w="8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2019</w:t>
            </w:r>
          </w:p>
        </w:tc>
        <w:tc>
          <w:tcPr>
            <w:tcW w:w="1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Debt securities (corporate and government)</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$ 279,553</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securities (corporate and government)</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$ 275,405</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274,343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debt securities generally have contractual maturity dates of between 12 to 18 months.</w:t>
      </w:r>
    </w:p>
    <w:p>
      <w:pPr>
        <w:sectPr>
          <w:pgSz w:w="11900" w:h="16838" w:orient="portrait"/>
          <w:cols w:equalWidth="0" w:num="1">
            <w:col w:w="9080"/>
          </w:cols>
          <w:pgMar w:left="1420" w:top="513" w:right="13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513" w:right="1399" w:bottom="1440" w:gutter="0" w:footer="0" w:header="0"/>
          <w:type w:val="continuous"/>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60" w:hanging="358"/>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December 2009, we entered into a license, development and commercialization agreement with Lilly. In November 2009, we entered into a collaboration and license agreement with Novartis. In December 2018, we entered into a research collaboration and licensing agreement with Innovent Biologics, Inc. (“Innovent”). The concentration of credit risk related to our collaborative partners is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Percentage of Total</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60" w:type="dxa"/>
            <w:vAlign w:val="bottom"/>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Percentage of Total</w:t>
            </w:r>
          </w:p>
        </w:tc>
      </w:tr>
      <w:tr>
        <w:trPr>
          <w:trHeight w:val="149"/>
        </w:trPr>
        <w:tc>
          <w:tcPr>
            <w:tcW w:w="3240" w:type="dxa"/>
            <w:vAlign w:val="bottom"/>
          </w:tcPr>
          <w:p>
            <w:pPr>
              <w:spacing w:after="0"/>
              <w:rPr>
                <w:sz w:val="12"/>
                <w:szCs w:val="12"/>
                <w:color w:val="auto"/>
              </w:rPr>
            </w:pPr>
          </w:p>
        </w:tc>
        <w:tc>
          <w:tcPr>
            <w:tcW w:w="2960" w:type="dxa"/>
            <w:vAlign w:val="bottom"/>
            <w:gridSpan w:val="7"/>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Milestone and Contract Revenues for the</w:t>
            </w:r>
          </w:p>
        </w:tc>
        <w:tc>
          <w:tcPr>
            <w:tcW w:w="2860" w:type="dxa"/>
            <w:vAlign w:val="bottom"/>
            <w:gridSpan w:val="6"/>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Milestone and Contract Revenues for the</w:t>
            </w:r>
          </w:p>
        </w:tc>
      </w:tr>
      <w:tr>
        <w:trPr>
          <w:trHeight w:val="173"/>
        </w:trPr>
        <w:tc>
          <w:tcPr>
            <w:tcW w:w="3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60" w:type="dxa"/>
            <w:vAlign w:val="bottom"/>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2"/>
        </w:trPr>
        <w:tc>
          <w:tcPr>
            <w:tcW w:w="3240" w:type="dxa"/>
            <w:vAlign w:val="bottom"/>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gridSpan w:val="3"/>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tcBorders>
              <w:top w:val="single" w:sz="8" w:color="auto"/>
              <w:bottom w:val="single" w:sz="8" w:color="auto"/>
            </w:tcBorders>
            <w:gridSpan w:val="3"/>
          </w:tcPr>
          <w:p>
            <w:pPr>
              <w:jc w:val="center"/>
              <w:ind w:left="981"/>
              <w:spacing w:after="0" w:line="142" w:lineRule="exact"/>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324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4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right"/>
              <w:ind w:right="36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0"/>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Collaboration Partner A</w:t>
            </w: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3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Collaboration Partner B</w:t>
            </w:r>
          </w:p>
        </w:tc>
        <w:tc>
          <w:tcPr>
            <w:tcW w:w="144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100 %</w:t>
            </w:r>
          </w:p>
        </w:tc>
        <w:tc>
          <w:tcPr>
            <w:tcW w:w="180" w:type="dxa"/>
            <w:vAlign w:val="bottom"/>
          </w:tcPr>
          <w:p>
            <w:pPr>
              <w:spacing w:after="0"/>
              <w:rPr>
                <w:sz w:val="18"/>
                <w:szCs w:val="18"/>
                <w:color w:val="auto"/>
              </w:rPr>
            </w:pPr>
          </w:p>
        </w:tc>
        <w:tc>
          <w:tcPr>
            <w:tcW w:w="17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100 %</w:t>
            </w:r>
          </w:p>
        </w:tc>
        <w:tc>
          <w:tcPr>
            <w:tcW w:w="40" w:type="dxa"/>
            <w:vAlign w:val="bottom"/>
          </w:tcPr>
          <w:p>
            <w:pPr>
              <w:spacing w:after="0"/>
              <w:rPr>
                <w:sz w:val="18"/>
                <w:szCs w:val="18"/>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Collaboration Partner C</w:t>
            </w:r>
          </w:p>
        </w:tc>
        <w:tc>
          <w:tcPr>
            <w:tcW w:w="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100 %</w:t>
            </w:r>
          </w:p>
        </w:tc>
        <w:tc>
          <w:tcPr>
            <w:tcW w:w="7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bl>
    <w:p>
      <w:pPr>
        <w:spacing w:after="0" w:line="15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Collaboration Partners A, B and C comprised, in aggregate, 27% and 42% of the accounts receivable balance as of June 30, 2019 and December 31, 2018, respectively.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November 2011, we began commercialization and distribution of JAKAFI to a number of customers. Our product revenues are concentrated in a number of these customers. The concentration of credit risk related to our JAKAFI product revenues is as follows:</w:t>
      </w:r>
    </w:p>
    <w:p>
      <w:pPr>
        <w:sectPr>
          <w:pgSz w:w="11900" w:h="16838" w:orient="portrait"/>
          <w:cols w:equalWidth="0" w:num="1">
            <w:col w:w="9060"/>
          </w:cols>
          <w:pgMar w:left="1420" w:top="513" w:right="1419" w:bottom="1440" w:gutter="0" w:footer="0" w:header="0"/>
        </w:sectPr>
      </w:pPr>
    </w:p>
    <w:p>
      <w:pPr>
        <w:spacing w:after="0" w:line="183"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14"/>
          <w:szCs w:val="14"/>
          <w:b w:val="1"/>
          <w:bCs w:val="1"/>
          <w:color w:val="auto"/>
        </w:rPr>
        <w:t>Percentage of Total Net</w:t>
      </w:r>
    </w:p>
    <w:p>
      <w:pPr>
        <w:jc w:val="center"/>
        <w:ind w:left="5340"/>
        <w:spacing w:after="0" w:line="229" w:lineRule="auto"/>
        <w:rPr>
          <w:sz w:val="20"/>
          <w:szCs w:val="20"/>
          <w:color w:val="auto"/>
        </w:rPr>
      </w:pPr>
      <w:r>
        <w:rPr>
          <w:rFonts w:ascii="Times New Roman" w:cs="Times New Roman" w:eastAsia="Times New Roman" w:hAnsi="Times New Roman"/>
          <w:sz w:val="14"/>
          <w:szCs w:val="14"/>
          <w:b w:val="1"/>
          <w:bCs w:val="1"/>
          <w:color w:val="auto"/>
        </w:rPr>
        <w:t>Product Revenues for the</w:t>
      </w:r>
    </w:p>
    <w:p>
      <w:pPr>
        <w:spacing w:after="0" w:line="1"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3312160</wp:posOffset>
            </wp:positionH>
            <wp:positionV relativeFrom="paragraph">
              <wp:posOffset>-3175</wp:posOffset>
            </wp:positionV>
            <wp:extent cx="11493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ind w:left="58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3312160</wp:posOffset>
            </wp:positionH>
            <wp:positionV relativeFrom="paragraph">
              <wp:posOffset>-3175</wp:posOffset>
            </wp:positionV>
            <wp:extent cx="11493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ind w:left="5400"/>
        <w:spacing w:after="0" w:line="233" w:lineRule="auto"/>
        <w:tabs>
          <w:tab w:leader="none" w:pos="628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2018</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ind w:right="160"/>
        <w:spacing w:after="0" w:line="237" w:lineRule="auto"/>
        <w:rPr>
          <w:sz w:val="20"/>
          <w:szCs w:val="20"/>
          <w:color w:val="auto"/>
        </w:rPr>
      </w:pPr>
      <w:r>
        <w:rPr>
          <w:rFonts w:ascii="Times New Roman" w:cs="Times New Roman" w:eastAsia="Times New Roman" w:hAnsi="Times New Roman"/>
          <w:sz w:val="14"/>
          <w:szCs w:val="14"/>
          <w:b w:val="1"/>
          <w:bCs w:val="1"/>
          <w:color w:val="auto"/>
        </w:rPr>
        <w:t>Percentage of Total Net Product Revenues for the 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-3810</wp:posOffset>
            </wp:positionV>
            <wp:extent cx="11493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ind w:left="52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-3175</wp:posOffset>
            </wp:positionV>
            <wp:extent cx="11493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ind w:left="60"/>
        <w:spacing w:after="0" w:line="233" w:lineRule="auto"/>
        <w:tabs>
          <w:tab w:leader="none" w:pos="94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2018</w:t>
      </w:r>
    </w:p>
    <w:p>
      <w:pPr>
        <w:spacing w:after="0" w:line="20" w:lineRule="exact"/>
        <w:rPr>
          <w:sz w:val="20"/>
          <w:szCs w:val="20"/>
          <w:color w:val="auto"/>
        </w:rPr>
      </w:pPr>
    </w:p>
    <w:p>
      <w:pPr>
        <w:sectPr>
          <w:pgSz w:w="11900" w:h="16838" w:orient="portrait"/>
          <w:cols w:equalWidth="0" w:num="2">
            <w:col w:w="6900" w:space="440"/>
            <w:col w:w="1720"/>
          </w:cols>
          <w:pgMar w:left="1420" w:top="513" w:right="141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5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190"/>
        </w:trPr>
        <w:tc>
          <w:tcPr>
            <w:tcW w:w="52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Customer A</w:t>
            </w:r>
          </w:p>
        </w:tc>
        <w:tc>
          <w:tcPr>
            <w:tcW w:w="900" w:type="dxa"/>
            <w:vAlign w:val="bottom"/>
            <w:gridSpan w:val="2"/>
            <w:shd w:val="clear" w:color="auto" w:fill="CCEEFF"/>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20 %</w:t>
            </w:r>
          </w:p>
        </w:tc>
        <w:tc>
          <w:tcPr>
            <w:tcW w:w="1100" w:type="dxa"/>
            <w:vAlign w:val="bottom"/>
            <w:gridSpan w:val="2"/>
            <w:shd w:val="clear" w:color="auto" w:fill="CCEEFF"/>
          </w:tcPr>
          <w:p>
            <w:pPr>
              <w:jc w:val="right"/>
              <w:ind w:right="280"/>
              <w:spacing w:after="0" w:line="189" w:lineRule="exact"/>
              <w:rPr>
                <w:sz w:val="20"/>
                <w:szCs w:val="20"/>
                <w:color w:val="auto"/>
              </w:rPr>
            </w:pPr>
            <w:r>
              <w:rPr>
                <w:rFonts w:ascii="Times New Roman" w:cs="Times New Roman" w:eastAsia="Times New Roman" w:hAnsi="Times New Roman"/>
                <w:sz w:val="18"/>
                <w:szCs w:val="18"/>
                <w:color w:val="auto"/>
              </w:rPr>
              <w:t>21 %</w:t>
            </w:r>
          </w:p>
        </w:tc>
        <w:tc>
          <w:tcPr>
            <w:tcW w:w="900" w:type="dxa"/>
            <w:vAlign w:val="bottom"/>
            <w:gridSpan w:val="2"/>
            <w:shd w:val="clear" w:color="auto" w:fill="CCEEFF"/>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19 %</w:t>
            </w:r>
          </w:p>
        </w:tc>
        <w:tc>
          <w:tcPr>
            <w:tcW w:w="940" w:type="dxa"/>
            <w:vAlign w:val="bottom"/>
            <w:gridSpan w:val="2"/>
            <w:shd w:val="clear" w:color="auto" w:fill="CCEEFF"/>
          </w:tcPr>
          <w:p>
            <w:pPr>
              <w:jc w:val="right"/>
              <w:ind w:right="120"/>
              <w:spacing w:after="0" w:line="189" w:lineRule="exact"/>
              <w:rPr>
                <w:sz w:val="20"/>
                <w:szCs w:val="20"/>
                <w:color w:val="auto"/>
              </w:rPr>
            </w:pPr>
            <w:r>
              <w:rPr>
                <w:rFonts w:ascii="Times New Roman" w:cs="Times New Roman" w:eastAsia="Times New Roman" w:hAnsi="Times New Roman"/>
                <w:sz w:val="18"/>
                <w:szCs w:val="18"/>
                <w:color w:val="auto"/>
              </w:rPr>
              <w:t>21 %</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13 %</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15 %</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14 %</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14 %</w:t>
            </w: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16 %</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14 %</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16 %</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14 %</w:t>
            </w: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Customer D</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11 %</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12 %</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12 %</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11 %</w:t>
            </w:r>
          </w:p>
        </w:tc>
      </w:tr>
    </w:tbl>
    <w:p>
      <w:pPr>
        <w:spacing w:after="0" w:line="13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exposed to risks associated with extending credit to customers related to the sale of products. Customers A, B, C and D comprised, in aggregate, 36% and 30% of the accounts receivable balance as of June 30, 2019 and December 31, 2018, respectively.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concentration of credit risk relating to ICLUSIG product revenues or accounts receivable is not significant.</w:t>
      </w:r>
    </w:p>
    <w:p>
      <w:pPr>
        <w:spacing w:after="0" w:line="22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6.</w:t>
        <w:tab/>
        <w:t>Inventory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inventory balance consists of the following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02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6,436</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Inventories-current</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6,527</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6,967</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Inventories-noncurrent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Inventories, stated at the lower of cost and net realizable value, consist of raw materials, work in process and finished goods. At June 30, 2019, $6.5 million of inventory was classified as current on the condensed consolidated balance sheet as we expect this inventory to be consumed for commercial use within the next twelve months. At June 30, 2019, $6.2 million of inventory was classified as noncurrent on the condensed consolidated balance sheets as we did not expect</w:t>
      </w:r>
    </w:p>
    <w:p>
      <w:pPr>
        <w:sectPr>
          <w:pgSz w:w="11900" w:h="16838" w:orient="portrait"/>
          <w:cols w:equalWidth="0" w:num="1">
            <w:col w:w="9060"/>
          </w:cols>
          <w:pgMar w:left="1420" w:top="513" w:right="1419" w:bottom="1440" w:gutter="0" w:footer="0" w:header="0"/>
          <w:type w:val="continuous"/>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inventory to be consumed for commercial use within the next twelve months. We obtain some inventory components from a limited number of suppliers due to technology, availability, price, quality or other considerations. The loss of a supplier, the deterioration of our relationship with a supplier, or any unilateral violation of the contractual terms under which we are supplied components by a supplier could adversely affect our total revenues and gross margins.</w:t>
      </w:r>
    </w:p>
    <w:p>
      <w:pPr>
        <w:spacing w:after="0" w:line="17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Property and equipment,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6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5"/>
                <w:szCs w:val="15"/>
                <w:color w:val="auto"/>
              </w:rPr>
            </w:pPr>
          </w:p>
        </w:tc>
      </w:tr>
      <w:tr>
        <w:trPr>
          <w:trHeight w:val="210"/>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16,955</w:t>
            </w:r>
          </w:p>
        </w:tc>
        <w:tc>
          <w:tcPr>
            <w:tcW w:w="12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65,439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61,697</w:t>
            </w:r>
          </w:p>
        </w:tc>
        <w:tc>
          <w:tcPr>
            <w:tcW w:w="12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56,687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55,436</w:t>
            </w:r>
          </w:p>
        </w:tc>
        <w:tc>
          <w:tcPr>
            <w:tcW w:w="12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Land</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10,122</w:t>
            </w:r>
          </w:p>
        </w:tc>
        <w:tc>
          <w:tcPr>
            <w:tcW w:w="12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 and leasehold improvements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213,196</w:t>
            </w:r>
          </w:p>
        </w:tc>
        <w:tc>
          <w:tcPr>
            <w:tcW w:w="12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69,038</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65,576</w:t>
            </w:r>
          </w:p>
        </w:tc>
        <w:tc>
          <w:tcPr>
            <w:tcW w:w="120" w:type="dxa"/>
            <w:vAlign w:val="bottom"/>
            <w:shd w:val="clear" w:color="auto" w:fill="CCEEFF"/>
          </w:tcPr>
          <w:p>
            <w:pPr>
              <w:spacing w:after="0"/>
              <w:rPr>
                <w:sz w:val="18"/>
                <w:szCs w:val="18"/>
                <w:color w:val="auto"/>
              </w:rPr>
            </w:pPr>
          </w:p>
        </w:tc>
      </w:tr>
      <w:tr>
        <w:trPr>
          <w:trHeight w:val="210"/>
        </w:trPr>
        <w:tc>
          <w:tcPr>
            <w:tcW w:w="6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455,533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422,982</w:t>
            </w:r>
          </w:p>
        </w:tc>
        <w:tc>
          <w:tcPr>
            <w:tcW w:w="12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(116,411)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(103,231)</w:t>
            </w:r>
          </w:p>
        </w:tc>
      </w:tr>
      <w:tr>
        <w:trPr>
          <w:trHeight w:val="21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339,122</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319,751</w:t>
            </w:r>
          </w:p>
        </w:tc>
        <w:tc>
          <w:tcPr>
            <w:tcW w:w="120" w:type="dxa"/>
            <w:vAlign w:val="bottom"/>
          </w:tcPr>
          <w:p>
            <w:pPr>
              <w:spacing w:after="0"/>
              <w:rPr>
                <w:sz w:val="18"/>
                <w:szCs w:val="18"/>
                <w:color w:val="auto"/>
              </w:rPr>
            </w:pPr>
          </w:p>
        </w:tc>
      </w:tr>
      <w:tr>
        <w:trPr>
          <w:trHeight w:val="20"/>
        </w:trPr>
        <w:tc>
          <w:tcPr>
            <w:tcW w:w="6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February 2018, we signed an agreement to rent a building in Morges, Switzerland for an initial term of 15 years, with multiple options to extend for an additional 20 years. The building will serve as our new European headquarters and will consist of approximately 100,000 square feet of office space. This building will allow for consolidation of our European operations that are currently located in Geneva and Lausanne, Switzerland. Building permits were granted by the local government authorities in September 2018, and construction activity began immediately thereafter. In June 2019, we obtained control of the Morges building to begin our construction activity. At that time, we determined the lease to be a finance lease and recorded a lease liability of $31.1 million and a lease right-of-use asset of $29.1 million, net of a lease incentive from our landlord of $2.0 million. As of June 30, 2019, we have capitalized approximately $3.9 million in on site preparation, design and construction costs.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July 2018, we signed an agreement to purchase land located within Y-PARC, Switzerland’s largest technology park in Yverdon. The land was purchased, in cash, for $4.8 million. Upon this parcel, we plan on constructing a large molecule production facility. Construction activity commenced in July 2018, and as of June 30, 2019, we have recorded approximately $55.2 million in costs for construction, ground preparation and architectural and engineering studies. We currently anticipate the facility to be completed in the second half of 2020.</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stated in Note 2, in January 2019, we adopted ASC 842, Leases, which changed the accounting and reporting of our lease activity. Although we do not have significant lease activity, we are the lessee of several contracts, including those to secure fleet vehicles, buildings and equipment. Our lease agreements do not contain any material residual value guarantees or restrictive covenants. Some of our building leases include options to renew and the exercise of these options is at our discretion. Our current operating lease liabilities are reflected in accrued and other current liabilities and our noncurrent operating lease liabilities are reflected in other liabilities on the condensed consolidated balance sheets.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6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As of June 30, 2019 our lease liabilities are as follows (in thousands):</w:t>
            </w: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9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31,643</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9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56,550</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cash paid for amounts included in the measurement of our operating lease liabilities for the six months ended June 30, 2019 was $5.4 million in operating cash flows. The cash paid for amounts included in the measurement of our finance lease liabilities for the six months ended June 30, 2019 was $0.4 million in financing cash flows.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maturity of our lease liabilities are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Finance</w:t>
            </w:r>
          </w:p>
        </w:tc>
      </w:tr>
      <w:tr>
        <w:trPr>
          <w:trHeight w:val="210"/>
        </w:trPr>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2019</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6,771</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2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12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12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120" w:type="dxa"/>
            <w:vAlign w:val="bottom"/>
            <w:shd w:val="clear" w:color="auto" w:fill="CCEEFF"/>
          </w:tcPr>
          <w:p>
            <w:pPr>
              <w:spacing w:after="0"/>
              <w:rPr>
                <w:sz w:val="18"/>
                <w:szCs w:val="18"/>
                <w:color w:val="auto"/>
              </w:rPr>
            </w:pPr>
          </w:p>
        </w:tc>
      </w:tr>
      <w:tr>
        <w:trPr>
          <w:trHeight w:val="216"/>
        </w:trPr>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After 2023</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35,262</w:t>
            </w:r>
          </w:p>
        </w:tc>
        <w:tc>
          <w:tcPr>
            <w:tcW w:w="120" w:type="dxa"/>
            <w:vAlign w:val="bottom"/>
            <w:tcBorders>
              <w:bottom w:val="single" w:sz="8" w:color="CCEEFF"/>
            </w:tcBorders>
          </w:tcPr>
          <w:p>
            <w:pPr>
              <w:spacing w:after="0"/>
              <w:rPr>
                <w:sz w:val="18"/>
                <w:szCs w:val="18"/>
                <w:color w:val="auto"/>
              </w:rPr>
            </w:pPr>
          </w:p>
        </w:tc>
      </w:tr>
      <w:tr>
        <w:trPr>
          <w:trHeight w:val="210"/>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cash payments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44,281</w:t>
            </w:r>
          </w:p>
        </w:tc>
        <w:tc>
          <w:tcPr>
            <w:tcW w:w="120" w:type="dxa"/>
            <w:vAlign w:val="bottom"/>
            <w:shd w:val="clear" w:color="auto" w:fill="CCEEFF"/>
          </w:tcPr>
          <w:p>
            <w:pPr>
              <w:spacing w:after="0"/>
              <w:rPr>
                <w:sz w:val="18"/>
                <w:szCs w:val="18"/>
                <w:color w:val="auto"/>
              </w:rPr>
            </w:pPr>
          </w:p>
        </w:tc>
      </w:tr>
      <w:tr>
        <w:trPr>
          <w:trHeight w:val="216"/>
        </w:trPr>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discount</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11,847</w:t>
            </w:r>
          </w:p>
        </w:tc>
        <w:tc>
          <w:tcPr>
            <w:tcW w:w="120" w:type="dxa"/>
            <w:vAlign w:val="bottom"/>
            <w:tcBorders>
              <w:bottom w:val="single" w:sz="8" w:color="CCEEFF"/>
            </w:tcBorders>
          </w:tcPr>
          <w:p>
            <w:pPr>
              <w:spacing w:after="0"/>
              <w:rPr>
                <w:sz w:val="18"/>
                <w:szCs w:val="18"/>
                <w:color w:val="auto"/>
              </w:rPr>
            </w:pPr>
          </w:p>
        </w:tc>
      </w:tr>
      <w:tr>
        <w:trPr>
          <w:trHeight w:val="210"/>
        </w:trPr>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24,116</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32,434</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6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40" w:firstLine="648"/>
        <w:spacing w:after="0" w:line="254" w:lineRule="auto"/>
        <w:rPr>
          <w:sz w:val="20"/>
          <w:szCs w:val="20"/>
          <w:color w:val="auto"/>
        </w:rPr>
      </w:pPr>
      <w:r>
        <w:rPr>
          <w:rFonts w:ascii="Times New Roman" w:cs="Times New Roman" w:eastAsia="Times New Roman" w:hAnsi="Times New Roman"/>
          <w:sz w:val="18"/>
          <w:szCs w:val="18"/>
          <w:color w:val="auto"/>
        </w:rPr>
        <w:t>As of June 30, 2019, our finance and operating leases had a weighted average lease term of approximately 16.0 and 4.5 years, respectively. The discount rate of our leases is an approximation of an estimated incremental borrowing rate and is dependent upon the term and economics of each agreement. The weighted average discount rate of our finance and operating leases is approximately 3.7% and 4.7%, respectively. For the three and six months ended June 30, 2019, we incurred approximately $3.6 million and $7.3 million, respectively, of expense related to our operating leases, approximately $0.2 million and $0.4 million, respectively, of amortization on our finance lease right-of-use assets and a de minimis amount of interest expense on our finance lease liabilities. Rent expense for the three and six months ended June 30, 2018 was $3.7 million and $7.0 million, respectively. For the three and six months ended June 30, 2019, the cost of our short term leases with a term less than 12 months was de minimis.</w:t>
      </w:r>
    </w:p>
    <w:p>
      <w:pPr>
        <w:spacing w:after="0" w:line="185" w:lineRule="exact"/>
        <w:rPr>
          <w:sz w:val="20"/>
          <w:szCs w:val="20"/>
          <w:color w:val="auto"/>
        </w:rPr>
      </w:pPr>
    </w:p>
    <w:p>
      <w:pPr>
        <w:ind w:left="320" w:hanging="318"/>
        <w:spacing w:after="0"/>
        <w:tabs>
          <w:tab w:leader="none" w:pos="3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and goodwill</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Intangible Assets, Net</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intangible assets were as follows (in thousands, except for useful life):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60" w:type="dxa"/>
            <w:vAlign w:val="bottom"/>
            <w:tcBorders>
              <w:bottom w:val="single" w:sz="8" w:color="auto"/>
            </w:tcBorders>
            <w:gridSpan w:val="5"/>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Balance at June 30, 2019</w:t>
            </w:r>
          </w:p>
        </w:tc>
        <w:tc>
          <w:tcPr>
            <w:tcW w:w="160" w:type="dxa"/>
            <w:vAlign w:val="bottom"/>
          </w:tcPr>
          <w:p>
            <w:pPr>
              <w:spacing w:after="0"/>
              <w:rPr>
                <w:sz w:val="15"/>
                <w:szCs w:val="15"/>
                <w:color w:val="auto"/>
              </w:rPr>
            </w:pPr>
          </w:p>
        </w:tc>
        <w:tc>
          <w:tcPr>
            <w:tcW w:w="2760" w:type="dxa"/>
            <w:vAlign w:val="bottom"/>
            <w:tcBorders>
              <w:bottom w:val="single" w:sz="8" w:color="auto"/>
            </w:tcBorders>
            <w:gridSpan w:val="5"/>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Balance at December 31, 2018</w:t>
            </w: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26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20" w:type="dxa"/>
            <w:vAlign w:val="bottom"/>
          </w:tcPr>
          <w:p>
            <w:pPr>
              <w:spacing w:after="0"/>
              <w:rPr>
                <w:sz w:val="21"/>
                <w:szCs w:val="21"/>
                <w:color w:val="auto"/>
              </w:rPr>
            </w:pPr>
          </w:p>
        </w:tc>
        <w:tc>
          <w:tcPr>
            <w:tcW w:w="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16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21"/>
                <w:szCs w:val="21"/>
                <w:color w:val="auto"/>
              </w:rPr>
            </w:pPr>
          </w:p>
        </w:tc>
        <w:tc>
          <w:tcPr>
            <w:tcW w:w="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Useful</w:t>
            </w:r>
          </w:p>
        </w:tc>
        <w:tc>
          <w:tcPr>
            <w:tcW w:w="1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2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Lives (Years)</w:t>
            </w: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Licensed IP</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$ 271,000</w:t>
            </w: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66,404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$ 204,596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271,000</w:t>
            </w: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55,636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215,364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2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00"/>
          </w:cols>
          <w:pgMar w:left="1420" w:top="513" w:right="137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80" w:firstLine="648"/>
        <w:spacing w:after="0" w:line="282" w:lineRule="auto"/>
        <w:rPr>
          <w:sz w:val="20"/>
          <w:szCs w:val="20"/>
          <w:color w:val="auto"/>
        </w:rPr>
      </w:pPr>
      <w:r>
        <w:rPr>
          <w:rFonts w:ascii="Times New Roman" w:cs="Times New Roman" w:eastAsia="Times New Roman" w:hAnsi="Times New Roman"/>
          <w:sz w:val="18"/>
          <w:szCs w:val="18"/>
          <w:color w:val="auto"/>
        </w:rPr>
        <w:t>Estimated aggregate amortization expense based on the current carrying value of amortizable intangible assets is as follows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Remainder of</w:t>
            </w:r>
          </w:p>
        </w:tc>
        <w:tc>
          <w:tcPr>
            <w:tcW w:w="72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2020</w:t>
            </w:r>
          </w:p>
        </w:tc>
        <w:tc>
          <w:tcPr>
            <w:tcW w:w="72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2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4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173"/>
        </w:trPr>
        <w:tc>
          <w:tcPr>
            <w:tcW w:w="4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2019</w:t>
            </w:r>
          </w:p>
        </w:tc>
        <w:tc>
          <w:tcPr>
            <w:tcW w:w="72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10,771</w:t>
            </w: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$ 21,536</w:t>
            </w: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$ 21,536</w:t>
            </w: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$ 21,536</w:t>
            </w: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$ 21,536</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107,681</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changes to the carrying amount of goodwill for the six months ended June 30, 2019.</w:t>
      </w:r>
    </w:p>
    <w:p>
      <w:pPr>
        <w:spacing w:after="0" w:line="221" w:lineRule="exact"/>
        <w:rPr>
          <w:sz w:val="20"/>
          <w:szCs w:val="20"/>
          <w:color w:val="auto"/>
        </w:rPr>
      </w:pPr>
    </w:p>
    <w:p>
      <w:pPr>
        <w:ind w:left="40"/>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License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Novartis</w:t>
      </w:r>
    </w:p>
    <w:p>
      <w:pPr>
        <w:spacing w:after="0" w:line="229" w:lineRule="exact"/>
        <w:rPr>
          <w:sz w:val="20"/>
          <w:szCs w:val="20"/>
          <w:color w:val="auto"/>
        </w:rPr>
      </w:pPr>
    </w:p>
    <w:p>
      <w:pPr>
        <w:jc w:val="both"/>
        <w:ind w:right="80" w:firstLine="648"/>
        <w:spacing w:after="0" w:line="255" w:lineRule="auto"/>
        <w:rPr>
          <w:sz w:val="20"/>
          <w:szCs w:val="20"/>
          <w:color w:val="auto"/>
        </w:rPr>
      </w:pPr>
      <w:r>
        <w:rPr>
          <w:rFonts w:ascii="Times New Roman" w:cs="Times New Roman" w:eastAsia="Times New Roman" w:hAnsi="Times New Roman"/>
          <w:sz w:val="18"/>
          <w:szCs w:val="18"/>
          <w:color w:val="auto"/>
        </w:rPr>
        <w:t>In November 2009, we entered into a Collaboration and License Agreement with Novartis. Under the terms of the agreement, Novartis received exclusive development and commercialization rights outside of the United States to our JAK inhibitor ruxolitinib and certain back-up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back-up compounds in all indications. We retained options to co-develop and to co-promote capmatinib in the United States.</w:t>
      </w:r>
    </w:p>
    <w:p>
      <w:pPr>
        <w:spacing w:after="0" w:line="189" w:lineRule="exact"/>
        <w:rPr>
          <w:sz w:val="20"/>
          <w:szCs w:val="20"/>
          <w:color w:val="auto"/>
        </w:rPr>
      </w:pPr>
    </w:p>
    <w:p>
      <w:pPr>
        <w:jc w:val="both"/>
        <w:ind w:right="80" w:firstLine="648"/>
        <w:spacing w:after="0" w:line="253" w:lineRule="auto"/>
        <w:rPr>
          <w:sz w:val="20"/>
          <w:szCs w:val="20"/>
          <w:color w:val="auto"/>
        </w:rPr>
      </w:pPr>
      <w:r>
        <w:rPr>
          <w:rFonts w:ascii="Times New Roman" w:cs="Times New Roman" w:eastAsia="Times New Roman" w:hAnsi="Times New Roman"/>
          <w:sz w:val="18"/>
          <w:szCs w:val="18"/>
          <w:color w:val="auto"/>
        </w:rPr>
        <w:t>Under this agreement, we received an upfront payment and immediate milestone payment totaling $210.0 million and were initially eligible to receive up to $1.2 billion in milestone payments across multiple indications upon the achievement of pre-specified events, including up to $174.0 million for the achievement of development milestones, up to $495.0 million for the achievement of regulatory milestones and up to $500.0 million for the achievement of commercialization milestones. In April 2016, we amended this agreement to provide that Novartis has exclusive research, development and commercialization rights outside of the United States to ruxolitinib (excluding topical formulations) in the graft-versus-host-disease (“GVHD”) field. We became eligible to receive up to $75.0 million of additional potential development and regulatory milestones relating to GVHD. Exclusive of the upfront payment of $150.0 million received in 2009 and the immediate milestone of $60.0 million earned in 2010, we have recognized and received, in the aggregate, $132.0 million for the achievement of development milestones, $215.0 million for the achievement of regulatory milestones and $120.0 million for the achievement of sales milestones through June 30, 2019.</w:t>
      </w:r>
    </w:p>
    <w:p>
      <w:pPr>
        <w:spacing w:after="0" w:line="193" w:lineRule="exact"/>
        <w:rPr>
          <w:sz w:val="20"/>
          <w:szCs w:val="20"/>
          <w:color w:val="auto"/>
        </w:rPr>
      </w:pPr>
    </w:p>
    <w:p>
      <w:pPr>
        <w:jc w:val="both"/>
        <w:ind w:right="80" w:firstLine="648"/>
        <w:spacing w:after="0" w:line="252" w:lineRule="auto"/>
        <w:rPr>
          <w:sz w:val="20"/>
          <w:szCs w:val="20"/>
          <w:color w:val="auto"/>
        </w:rPr>
      </w:pPr>
      <w:r>
        <w:rPr>
          <w:rFonts w:ascii="Times New Roman" w:cs="Times New Roman" w:eastAsia="Times New Roman" w:hAnsi="Times New Roman"/>
          <w:sz w:val="18"/>
          <w:szCs w:val="18"/>
          <w:color w:val="auto"/>
        </w:rPr>
        <w:t>In 2018, under this agreement, we recognized a $60.0 million sales milestone for Novartis achieving annual net sales of a JAK licensed product of $900.0 million. In 2017, we recognized a $40.0 million sales milestone for Novartis achieving annual net sales of a JAK licensed product of $600.0 million and a $25.0 million development milestone based on the formal initiation by Novartis of a Phase III clinical trial evaluating ruxolitinib in GVHD. In 2016, we recognized a $5.0 million payment in exchange for the development and commercialization rights to ruxolitinib in GVHD outside of the United States and a $40.0 million regulatory milestone for the reimbursement of JAKAVI in Europe for the treatment of patients with polycythemia vera. In 2015, we recognized a $5.0 million development milestone based on the formal initiation by Novartis of a Phase II clinical trial evaluating capmatinib for a third indication, a $25.0 million regulatory milestone triggered by the Committee for Medicinal Products for Human Use of the European Medicines Agency adopting a positive opinion for JAKAVI (ruxolitinib) for the treatment of adult patients with polycythemia vera who are resistant to or intolerant of hydroxyurea, a $15.0 million regulatory milestone for the approval of JAKAVI in Japan for the treatment of patients with polycythemia vera, and a $20.0 million sales milestone for Novartis achieving annual net sales of a JAK licensed product of $300.0 million. In 2014, we recognized a $60.0 million regulatory milestone related to reimbursement of JAKAVI in Europe, a $25.0 million regulatory milestone for the approval of JAKAVI in Japan for the treatment of patients with myelofibrosis and a $7.0 million development milestone based on the formal initiation by Novartis of a Phase II clinical trial evaluating capmatinib in non-small cell lung cancer. In 2013, we recognized a $25.0 million development milestone based on the formal initiation by Novartis of a Phase II clinical trial evaluating capmatinib. In 2012, we recognized a $40.0 million regulatory milestone for the achievement of a predefined milestone for the European Union</w:t>
      </w:r>
    </w:p>
    <w:p>
      <w:pPr>
        <w:sectPr>
          <w:pgSz w:w="11900" w:h="16838" w:orient="portrait"/>
          <w:cols w:equalWidth="0" w:num="1">
            <w:col w:w="9140"/>
          </w:cols>
          <w:pgMar w:left="1420" w:top="513" w:right="1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40"/>
          </w:cols>
          <w:pgMar w:left="1420" w:top="513" w:right="1339" w:bottom="1440" w:gutter="0" w:footer="0" w:header="0"/>
          <w:type w:val="continuous"/>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regulatory approval of JAKAVI. In 2011, we recognized a $15.0 million development milestone for the achievement of a predefined milestone in the Phase I dose-escalation trial for capmatinib in patients with solid tumors and a $10.0 million regulatory milestone for the approval of JAKAFI in the United States. In 2010, we recognized $50.0 million in development milestones for the initiation of the global Phase III trial, RESPONSE, in patients with polycythemia vera. We determined that each of these milestones were substantive as their achievement required substantive efforts by us and was at risk until the milestones were ultimately achieved.</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also are eligible to receive tiered, double-digit royalties ranging from the upper-teens to the mid-twenties on future JAKAVI net sales outside of the United States, and tiered, worldwide royalties on future capmatinib net sales that range from 12% to 14%. Since the achievement of the $60.0 million regulatory milestone related to reimbursement of JAKAVI in Europe in September 2014, we are obligated to pay to Novartis tiered royalties in the low single-digits on future JAKAFI net sales within the United States. During the three and six months ended June 30, 2019, such royalties payable to Novartis on net sales within the United States totaled $20.1 million and $33.5 million, respectively, and are reflected in cost of product revenues on the condensed consolidated statements of operations. During the three and six months ended June 30, 2018, such royalties payable to Novartis on net sales within the United States totaled $16.9 million and $27.3 million, respectively, and are reflected in cost of product revenues on the condensed consolidated statements of operations. At June 30, 2019 and December 31, 2018, $26.8 million and $18.6 million, respectively, of accrued royalties payable to Novartis were included in accrued and other current liabilities on the condensed consolidated balance sheets. Each company is responsible for costs relating to the development and commercialization of ruxolitinib in its respective territories, with costs of collaborative studies shared equally. Novartis is also responsible for all costs relating to the development and commercialization of capmatinib.</w:t>
      </w:r>
    </w:p>
    <w:p>
      <w:pPr>
        <w:spacing w:after="0" w:line="19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Novartis agreement will continue on a program-by-program basis until Novartis has no royalty payment obligations with respect to such program or, if earlier, the termination of the agreement or any program in accordance with the terms of the agreement. Royalties are payable by Novartis on a product-by-product and country-by-country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Novartis or its affiliates or sublicensees. The agreement may be terminated in its entirety or on a program-by-program basis by Novartis for convenience. The agreement may also be terminated by either party under certain other circumstances, including material breach.</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determined that there were two deliverables under the agreement: (i) the ex-U.S. license for ruxolitinib and (ii) our obligations in connection with our participation on the joint development committee for myelofibrosis and polycythemia vera/essential thrombocythemia. We concluded that these deliverables should be accounted for as a single unit of accounting and the $150.0 million upfront payment received in December 2009 and the immediate $60.0 million milestone payment received in January 2010 should be recognized on a straight-line basis through December 2013, when we estimated we would complete our obligations in connection with our participation on the joint development committee for myelofibrosis and polycythemia vera, our estimated performance period under the agreement. We completed this substantive performance obligation related to this arrangement in December 2013.</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At December 31, 2009, we recorded $10.9 million of reimbursable costs incurred prior to the effective date of the agreement as deferred revenue on the consolidated balance sheet. These costs were recognized on a straight-line basis through December 2013 consistent with the aforementioned upfront and milestone payments. Future reimbursable costs incurred after the effective date of the agreement with Novartis are recorded net against the related research and development expenses. At June 30, 2019 and December 31, 2018, $0.3 million and $0.7 million, respectively, of reimbursable costs were included in accounts receivable on the condensed consolidated balance sheets. Research and development expenses for the three and six months ended June 30, 2019 were net of $0.4 million and $1.0 million, respectively, of costs reimbursed by Novartis. Research and development expenses for the three and six months ended June 30, 2018 were net of $0.7 million and $1.2 million, respectively, of costs reimbursed by Novartis.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Milestone and contract revenue under the Novartis agreement for the three and six months ended June 30, 2019 and 2018 was $0.0 million. Product royalty revenue related to Novartis net sales of JAKAVI outside of the United States for the three and six months ended June 30, 2019 was $56.9 million and $102.5 million, respectively. Product royalty</w:t>
      </w:r>
    </w:p>
    <w:p>
      <w:pPr>
        <w:sectPr>
          <w:pgSz w:w="11900" w:h="16838" w:orient="portrait"/>
          <w:cols w:equalWidth="0" w:num="1">
            <w:col w:w="9060"/>
          </w:cols>
          <w:pgMar w:left="1420" w:top="513" w:right="141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related to Novartis net sales of JAKAVI outside of the United States for the three and six months ended June 30, 2018 was $47.1 million and $88.4 million, respectively. At June 30, 2019 and December 31, 2018, $56.9 million and $55.4 million, respectively, of product royalties were included in accounts receivable on the condensed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Lilly - Baricitinib</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December 2009, we entered into a License, Development and Commercialization Agreement with Lilly. Under the terms of the agreement, Lilly received exclusive worldwide development and commercialization rights to our JAK inhibitor baricitinib, and certain back-up compounds for inflammatory and autoimmune diseases. We received an upfront payment of $90.0 million, and were initially eligible to receive up to $665.0 million in substantive milestone payments across multiple indications upon the achievement of pre-specified events, including up to $150.0 million for the achievement of development milestones, up to $365.0 million for the achievement of regulatory milestones and up to $150.0 million for the achievement of commercialization milestones. Exclusive of the upfront payment of $90.0 million received in 2009, we have recognized and received, in aggregate, $149.0 million for the achievement of development milestones and $235.0 million for the achievement of regulatory milestones through June 30, 2019.</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January 2016, Lilly submitted an NDA to the FDA and a Marketing Authorization Application (MAA) to the European Medicines Agency for baricitinib as treatment for rheumatoid arthritis. In February 2017, we and Lilly announced that the European Commission approved baricitinib as OLUMIANT for the treatment of moderate-to-severe rheumatoid arthritis in adult patients who have responded inadequately to, or who are intolerant to, one or more disease-modifying antirheumatic drugs. In July 2017, Japan's Ministry of Health, Labor and Welfare granted marketing approval for OLUMIANT for the treatment of rheumatoid arthritis in patients with inadequate response to standard-of-care therapies. In June 2018, the FDA approved the 2mg dose of OLUMIANT for the treatment of adults with moderately-to-severely active rheumatoid arthritis who have had an inadequate response to one or more tumor necrosis factor inhibitor therapies.</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2018, under this agreement, we recognized a $20.0 million development milestone for the first patient treated in the systemic lupus erythematosus Phase III program for baricitinib and a $100.0 million regulatory milestone for the FDA approval of the 2mg dose of OLUMIANT (baricitinib) for the treatment of adults with moderately-to-severely active rheumatoid arthritis. In 2017, we recognized a $30.0 million development milestone for the first patient treated in the atopic dermatitis Phase III program for baricitinib, $15.0 million regulatory milestone for the approval of baricitinib for the treatment of rheumatoid arthritis by Japan’s Ministry of Health, Labor and Welfare and a $65.0 million regulatory milestone for the approval of baricitinib for the treatment of moderate-to-severe rheumatoid arthritis in adult patients by the European Commission. In 2016, we recognized a $35.0 million regulatory milestone for the submission of an NDA to the FDA for the approval of oral once-daily baricitinib for the treatment of moderate-to-severe rheumatoid arthritis and a $20.0 million regulatory milestone for the submission of a Marketing Authorization Application to the European Medicines Agency for the approval of oral once-daily baricitinib for the treatment of moderate-to-severe rheumatoid arthritis. In 2012, we recognized a $50.0 million development milestone for the initiation of the rheumatoid arthritis Phase III program for baricitinib. In 2010, we recognized a $30.0 million development milestone based upon the initial three month data in the Phase IIa clinical trial of baricitinib for the treatment of rheumatoid arthritis and a $19.0 million development milestone for the Phase IIb clinical trial initiation of baricitinib for the treatment of rheumatoid arthritis. We determined that each of these milestones were substantive as their achievement required substantive efforts by us and was at risk until the milestones were ultimately achieved.</w:t>
      </w:r>
    </w:p>
    <w:p>
      <w:pPr>
        <w:spacing w:after="0" w:line="19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retained options to co-develop our JAK1/JAK2 inhibitors with Lilly on a compound-by-compound and indication-by-indication basis. Lilly is responsible for all costs relating to the development and commercialization of the compounds unless we elect to co-develop any compounds or indications. If we elect to co-develop any compounds and/or indications, we would be responsible for funding 30% of the associated future global development costs from the initiation of a Phase IIb trial through regulatory approval, including post-launch studies required by a regulatory authority. We would receive an incremental royalty rate increase across all tiers resulting in effective royalty rates ranging up to the high twenties on potential future global net sales for compounds and/or indications that we elect to co-develop. For indications that we elect not to co-develop, we would receive tiered, double-digit royalty payments on future global net sales with rates ranging up to 20% if the product is successfully commercialized. If we have started co-development funding for any indication, we can at any time opt out and stop future co-development cost sharing. If we elect to do this we would still be eligible for</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base royalties plus an incremental pro-rated royalty commensurate with our contribution to the total co-development cost for those indications for which we co-funded. We previously had retained an option to co-promote products in the United States but, in March 2016, we waived our co-promotion option as part of an amendment to the agreement.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July 2010, we elected to co-develop baricitinib with Lilly in rheumatoid arthritis and became responsible for funding 30% of the associated future global development costs for this indication from the initiation of the Phase IIb trial through regulatory approval, including post-launch studies required by a regulatory authority. We subsequently elected to co-develop baricitinib with Lilly in psoriatic arthritis, atopic dermatitis, alopecia areata, systemic lupus erythematosus and axial spondyloarthritis and were responsible for funding 30% of future global development costs for those indications through regulatory approval, including post-launch studies required by a regulatory authority. In April 2019, we elected to end additional co-funding of the development of baricitinib effective as of January 1, 2019. We will continue to receive royalties on global net sales of OLUMIANT, pursuant to the terms in the Lilly agreement, as described above.</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recorded under the Lilly agreement representing 30%of the global development costs for baricitinib for the treatment of rheumatoid arthritis, psoriatic arthritis, atopic dermatitis, alopecia areata, systemic lupus erythematosus and axial spondyloarthritis for the three and six months ended June 30, 2019 were $0.0 million. Research and development expenses recorded under the Lilly agreement representing 30% of the global development costs for baricitinib for the treatment of rheumatoid arthritis, psoriatic arthritis and atopic dermatitis for the three and six months ended June 30, 2018 were $14.2 million and $26.7 million, respectively. At June 30, 2019 and December 31, 2018, a total of $0.0 million and $23.1 million, respectively, of such costs were included in accrued and other liabilities on the condensed consolidated balance sheets.</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Lilly agreement will continue until Lilly no longer has any royalty payment obligations or, if earlier, the termination of the agreement in accordance with its terms. Royalties are payable by Lilly on a product-by-product and country-by-country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Lilly or its affiliates or sublicensees. The agreement may be terminated by Lilly for convenience, and may also be terminated under certain other circumstances, including material breach.</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determined that there were two deliverables under the agreement: (i) the worldwide license and (ii) our obligations in connection with a co-development option. We concluded that these deliverables should be accounted for as a single unit of accounting and the $90.0 million upfront payment should be recognized on a straight-line basis as revenue through December 2016, our estimated performance period under the agreement. We completed our substantive performance obligation related to this arrangement in December 2016.</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Milestone and contract revenue under the Lilly agreement for the three and six months ended June 30, 2019 was $0.0 million. Milestone revenue under the Lilly agreement for the three and six months ended June 30, 2018 was $100.0 million. Product royalty revenue related to Lilly global net sales of OLUMIANT for the three and six months ended June 30, 2019 was $19.1 million and $35.2 million, respectively. Product royalty revenue related to Lilly global net sales of OLUMIANT for the three and six months ended June 30, 2018 was $8.9 million and $15.3 million, respectively. At June 30, 2019 and December 31, 2018, $19.5 million and $14.0 million, respectively, of product royalties were included in accounts receivable on the condensed consolidated balance sheets.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Lilly - Ruxolitinib</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March 2016, we entered into an amendment to the agreement with Lilly that amended the non-compete provision of the agreement to allow us to engage in the development and commercialization of ruxolitinib in the GVHD field. We paid Lilly an upfront payment of $35.0 million and Lilly is eligible to receive up to $40.0 million in additional regulatory milestone payments relating to ruxolitinib in the GVHD field. In May 2019, the approval of JAKAFI in steroid-refractory acute GVHD triggered a $20.0 million milestone payment to Lilly.</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Agenus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January 2015, we entered into a License, Development and Commercialization Agreement with Agenus Inc. and its wholly-owned subsidiary, 4-Antibody AG, (now known as Agenus Switzerland Inc.), which we collectively refer to as Agenus. Under this agreement, the parties have agreed to collaborate on the discovery of novel immuno-therapeutics using Agenus’ antibody discovery platforms. The agreement became effective on February 18, 2015, upon the expiration of the waiting period under the Hart-Scott-Rodino Antitrust Improvements Act of 1976. Upon closing of the agreement, we paid Agenus total consideration of $60.0 million.</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February 2017, we and Agenus amended this agreement (the “Amended Agreement”). Under the terms of the Amended Agreement, we received exclusive worldwide development and commercialization rights to four checkpoint modulators directed against GITR, OX40, LAG-3 and TIM-3. In addition to the initial four program targets, we and Agenus have the option to jointly nominate and pursue additional targets within the framework of the collaboration, and in November 2015, three more targets were added. Targets may be designated profit-share programs, where all costs and profits are shared equally by us and Agenus, or royalty-bearing programs, where we are responsible for all costs associated with discovery, preclinical, clinical development and commercialization activities. The programs relating to GITR and OX40 and two of the undisclosed targets were profit-share programs until February 2017, while the other targets currently under collaboration are royalty-bearing programs. The Amended Agreement converted the programs relating to GITR and OX40 to royalty-bearing programs and removed from the collaboration the profit-share programs relating to the two undisclosed targets, with one reverting to us and one reverting to Agenus. Should any of those removed programs be successfully developed by a party, the other party will be eligible to receive the same milestone payments as the royalty-bearing programs and royalties at a 15% rate on global net sales. There are currently no profit-share programs. For each royalty-bearing product other than GITR and OX40, Agenus will be eligible to receive tiered royalties on global net sales ranging from 6% to 12%. For GITR and OX40, Agenus will be eligible to receive 15% royalties on global net sales.</w:t>
      </w:r>
    </w:p>
    <w:p>
      <w:pPr>
        <w:spacing w:after="0" w:line="19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Amended Agreement, we paid Agenus $20.0 million in accelerated milestones relating to the clinical development of the GITR and OX40 programs, which was recorded in research and development expense. Agenus is eligible to receive up to an additional $510.0 million in future contingent development, regulatory and commercialization milestones across all programs in the collaboration. The agreement may be terminated by us for convenience upon 12 months’ notice and may also be terminated under certain other circumstances, including material breach. In June 2018, we recorded a $5.0 million development milestone due to Agenus for the LAG-3 program and in September 2018 we recorded a $5.0 million development milestone due to Agenus for the TIM-3 program.</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Amended Agreement, we also agreed to purchase 10.0 million shares of Agenus Inc. common stock for an aggregate purchase price of $60.0 million in cash, or $6.00 per share. We completed the purchase of the shares on February 14, 2017, when the closing price on The Nasdaq Stock Market for Agenus Inc. shares was $4.40 per share. The shares we acquired were not registered under the Securities Act of 1933 on the purchase date and were subject to certain security specific restrictions for a period of time, and accordingly, we estimated a discount for lack of marketability on the shares on the issuance date of $4.5 million, which resulted in a net fair value of the shares on the issuance date of $39.5 million. Therefore, of the total consideration paid of $60.0 million, $39.5 million was allocated to our stock purchase in Agenus Inc. and was recorded within long term investments and $20.5 million was allocated to research and development expense.</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concluded Agenus Inc. is not a VIE because it has sufficient equity to finance its activities without additional subordinated financial support and its at-risk equity holders have the characteristics of a controlling financial interest. From the date of our initial stock purchase in February 2015 and up to the date of our second stock purchase in February 2017, we owned between 9% and 11% of the outstanding shares of Agenus Inc. common stock. As a result of our February 2017 stock purchase, we owned approximately 16% of the outstanding shares of Agenus Inc. common stock as of June 30, 2019. We concluded that we have the ability to exercise significant influence, but not control, over Agenus Inc. based primarily on our ownership interest, the fact that we have been the largest Agenus stockholder since the date of our initial stock purchase, the level of intra-entity transactions between us and Agenus related to development expenses, as well as other qualitative factors. We have elected the fair value option to account for our long term investment in Agenus Inc. whereby the investment is marked to market through earnings in each reporting period. We believe the fair value option to be the most appropriate accounting method to account for securities in publicly held collaborators for which we</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have significant influence. For the three and six months ended June 30, 2019, we recorded an unrealized gain of $0.5 million and $11.0 million, respectively, based on the change in fair value of Agenus Inc.’s common stock during these periods. For the three and six months ended June 30, 2018, we recorded an unrealized loss of $43.3 million and $17.6 million, respectively, based on the change in fair value of Agenus Inc.’s common stock during these periods. The fair market value of our long term investment in Agenus Inc. at June 30, 2019 and December 31, 2018 was $53.3 million and $42.3 million, respectively.</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2019, Agenus reported within its Form 10-Q total revenues of approximately $79.9 million and net income of approximately $17.4 million within their condensed consolidated financial statements.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for the three and six months ended June 30, 2019 also included $0.5 million and $0.9 million, respectively, of development costs incurred pursuant to the Agenus arrangement. Research and development expenses for the three and six months ended June 30, 2018 also included $0.9 million and $2.8 million, respectively, of development costs incurred pursuant to the Agenus arrangement. At June 30, 2019 and December 31, 2018, a total of $1.8 million and $2.3 million, respectively, of such costs were included in accrued and other liabilities on the condensed consolidated balance sheets.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Merus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December 2016, we entered into a Collaboration and License Agreement with Merus N.V. (“Merus”). Under this agreement, which became effective in January 2017, the parties have agreed to collaborate with respect to the research, discovery and development of bispecific antibodies utilizing Merus’ technology platform. The collaboration encompasses up to eleven independent programs.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most advanced collaboration program is MCLA-145, a bispecific antibody targeting PD-L1 and CD137, for which we received exclusive development and commercialization rights outside of the United States. Merus retained exclusive development and commercialization rights in the United States to MCLA-145. Each party will share equally the costs of mutually agreed global development activities for MCLA-145, and fund itself any independent development activities in its territory. Merus will be responsible for commercializing MCLA-145 in the United States and we will be responsible for commercializing it outside of the United States.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receiving rights to MCLA-145 outside of the United States, we received worldwide exclusive development and commercialization rights to up to ten additional programs. Of these ten additional programs, Merus retained the option, subject to certain conditions, to co-fund development of up to two such programs. If Merus exercises its co-funding option for a program, Merus would be responsible for funding 35% of the associated future global development costs and, for certain of such programs, would be responsible for reimbursing us for certain development costs incurred prior to the option exercise. Merus will also have the right to participate in a specified proportion of detailing activities in the United States for one of those co-developed programs. All costs related to the co-funded collaboration programs are subject to joint research and development plans and overseen by a joint development committee, but we will have final determination as to such plans in cases of dispute. We will be responsible for all research, development and commercialization costs relating to all other programs.</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February 2017, we paid Merus an upfront non-refundable payment of $120.0 million. For each program as to which Merus does not have commercialization or development co-funding rights, Merus will be eligible to receive up to $100.0 million in future contingent development and regulatory milestones, and up to $250.0 million in commercialization milestones as well as tiered royalties ranging from 6% to 10% of global net sales. For each program as to which Merus exercises its option to co-fund development, Merus will be eligible to receive a 50% share of profits (or sustain 50% of any losses) in the United States and be eligible to receive tiered royalties ranging from 6% to 10% of net sales of products outside of the United States. If Merus opts to cease co-funding a program as to which it exercised its co-development option, then Merus will no longer receive a share of profits in the United States but will be eligible to receive the same milestones from the co-funding termination date and the same tiered royalties described above with respect to programs where Merus does not have a right to co-fund development and, depending on the stage at which Merus chose to cease co-funding development costs, Merus will be eligible to receive additional royalties ranging up to 4% of net sales in the United</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States. For MCLA-145, we and Merus will each be eligible to receive tiered royalties on net sales in the other party’s territory at rates ranging from 6% to 10%.</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Merus agreement will continue on a program-by-program basis until we have no royalty payment obligations with respect to such program or, if earlier, the termination of the agreement or any program in accordance with the terms of the agreement. The agreement may be terminated in its entirety or on a program-by-program basis by us for convenience. The agreement may also be terminated by either party under certain other circumstances, including material breach, as set forth in the agreement. If the agreement is terminated with respect to one or more programs, all rights in the terminated programs revert to Merus, subject to payment to us of a reverse royalty of up to 4% on sales of future products, if Merus elects to pursue development and commercialization of products arising from the terminated programs.</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in December 2016, we entered into a Share Subscription Agreement with Merus, pursuant to which we agreed to purchase 3.2 million common shares of Merus for an aggregate purchase price of $80.0 million in cash, or $25.00 per share. We agreed to certain standstill provisions whereby we are obligated to refrain from taking certain actions with respect to Merus or Merus’ common shares during a period ending on the earliest of (i) three years from the closing date of our share purchase, (ii) the date Merus publicly announces any merger or similar business combination or another party announces an intention to acquire a substantial portion of Merus’ securities, and (iii) the termination of the Collaboration and License Agreement. The standstill provisions are subject to certain exceptions, including an exception that allows us to maintain our percentage ownership following equity financings by Merus. We also agreed, subject to limited exceptions, not to sell or otherwise transfer any of our Merus shares for a period, referred to as the Lock-Up Period, ending on the earlier of 18 months after the closing date of the sale of the Shares or the end of the standstill period. In addition, if the standstill period has not been terminated earlier upon the occurrence of certain events, for a period of three years after the Lock-Up Period, we will be restricted from selling or otherwise transferring more than one-third of our Merus shares during any 12-month period or 10% of our Merus shares during any three-month period, unless Merus consents otherwise. We have further agreed that during the standstill period, we will vote all of our Merus shares in accordance with the recommendation of a majority of Merus’ supervisory board. However, we may vote our Merus shares at our own discretion for certain extraordinary matters, including a change in control of Merus. Merus has agreed to customary resale registration rights with respect to our Merus shares; however, any such resales will be subject to the Lock-Up Period and volume limitations on sale and transfer described above.</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completed the purchase of the shares on January 23, 2017 when the closing price on The Nasdaq Stock Market for Merus shares was $24.50 per share. The shares we acquired were not registered under the Securities Act of 1933 on the purchase date and were subject to certain security specific restrictions for a period of time, and accordingly, we estimated a discount for lack of marketability on the shares on the issuance date of $5.6 million, which resulted in a net fair value of the shares on the issuance date of $72.8 million. Of the total consideration paid of $80.0 million, $72.8 million was allocated to our stock purchase in Merus and was recorded as a long term investment and $7.2 million was allocated to research and development expense. The fair market value of our total long term investment in Merus at June 30, 2019 and December 31, 2018 was $46.9 million and $44.8 million, respectively.</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concluded Merus is not a VIE because it has sufficient equity to finance its activities without additional subordinated financial support and its at-risk equity holders have the characteristics of a controlling financial interest. As of June 30, 2019, we owned approximately 14% of the outstanding shares of Merus common stock and conclude that we have the ability to exercise significant influence, but not control, over Merus based primarily on our ownership interest, the level of intra-entity transactions between us and Merus related to development expenses, as well as other qualitative factors. We have elected the fair value option to account for our long term investment in Merus whereby the investment is marked to market through earnings in each reporting period. We believe the fair value option to be the most appropriate accounting method to account for securities in publicly held collaborators for which we have significant influence. For the three and six months ended June 30, 2019 we recorded an unrealized loss of $0.4 million and an unrealized gain of $2.1 million, respectively, based on the change in fair value of Merus’ common stock during these periods. For the three and six months ended June 30, 2018 we recorded an unrealized gain of $13.5 million and $10.8 million, respectively, based on the change in fair value of Merus’ common stock during these periods.</w:t>
      </w:r>
    </w:p>
    <w:p>
      <w:pPr>
        <w:spacing w:after="0" w:line="19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2019, Merus reported within its Form 6-K total revenues of approximately €7.7 million and net loss of approximately €6.2 million within their condensed consolidated financial statements.</w:t>
      </w:r>
    </w:p>
    <w:p>
      <w:pPr>
        <w:sectPr>
          <w:pgSz w:w="11900" w:h="16838" w:orient="portrait"/>
          <w:cols w:equalWidth="0" w:num="1">
            <w:col w:w="9060"/>
          </w:cols>
          <w:pgMar w:left="1420" w:top="513" w:right="141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for the three and six months ended June 30, 2019 included $1.7 million and $4.3 million, respectively, of additional development costs incurred pursuant to the Merus agreement. Research and development expenses for the three and six months ended June 30, 2018 included $2.8 million and $5.2 million, respectively, of additional development costs incurred pursuant to the Merus agreement. At June 30, 2019 and December 31, 2018, a total of $1.6 million and $2.9 million, respectively, of such costs were included in accrued and other liabilities on the condensed consolidated balance sheets.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Calithera</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January 2017, we entered into a Collaboration and License Agreement with Calithera Biosciences, Inc. (“Calithera”). Under this agreement, we received an exclusive, worldwide license to develop and commercialize small molecule arginase inhibitors, including CB-1158, which is currently in Phase I clinical trials, for hematology and oncology indications. We have agreed to co-fund 70% of the global development costs for the development of the licensed products for hematology and oncology indications. Calithera will have the right to conduct certain clinical development under the collaboration, including combination studies of a licensed product with a proprietary compound of Calithera. We will be entitled to 60% of the profits and losses from net sales of licensed product in the United States, and Calithera will have the right to co-detail licensed products in the United States, and we have agreed to pay Calithera tiered royalties ranging from the low to mid-double digits on net sales of licensed products outside the United States. Calithera may opt out of its co-funding obligation, in which case the U.S. profit sharing will no longer be in effect, and we have agreed to pay Calithera tiered royalties ranging from the low to mid-double digits on net sales of licensed products both in the United States and outside the United States, and additional royalties to reimburse Calithera for previously incurred development costs.</w:t>
      </w:r>
    </w:p>
    <w:p>
      <w:pPr>
        <w:spacing w:after="0" w:line="191"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In January 2017, we paid Calithera an upfront license fee of $45.0 million and have agreed to pay potential development, regulatory and sales milestone payments of over $430.0 million if the profit share is in effect, or $750.0 million if the profit share terminates. In March 2017, Calithera earned a $12.0 million milestone payment from us for the achievement of pharmacokinetic and pharmacodynamics goals for CB-1158 which was recorded in research and development expense.</w:t>
      </w:r>
    </w:p>
    <w:p>
      <w:pPr>
        <w:spacing w:after="0" w:line="184"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The Calithera agreement will continue on a product-by-product and country-by-country basis for so long as we are developing or commercializing products in the United States (if the parties are sharing profits in the United States) and until we have no further royalty payment obligations, unless earlier terminated according to the terms of the agreement. The agreement may be terminated in its entirety or on a product-by-product and/or a country-by-country basis by us for convenience. The agreement may also be terminated by us for Calithera’s uncured material breach, by Calithera for our uncured material breach and by either party for bankruptcy or patent challenge. If the agreement is terminated early with respect to one or more products or countries, all rights in the terminated products and countries revert to Calithera.</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in January 2017, we entered into a Stock Purchase Agreement with Calithera for the purchase of 1.7 million common shares of Calithera for an aggregate purchase price of $8.0 million in cash, or $4.65 per share. We completed the purchase of the shares on January 30, 2017 when the closing price on The Nasdaq Stock Market was $6.75 per share. The shares we acquired were registered under the Securities Act of 1933 on the purchase date and there were no security specific restrictions for these shares, and therefore the value of the 1.7 million shares acquired by us was $11.6 million. We paid total consideration of $53.0 million to Calithera, composed of the $45.0 million upfront license fee and the $8.0 million stock purchase price. Of the $53.0 million, $11.6 million was allocated to our stock purchase in Calithera and was recorded within long term investments and $41.4 million was allocated to research and development expense. The fair market value of our long term investment in Calithera at June 30, 2019 and December 31, 2018 was $6.7 million and $6.9 million, respectively.</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concluded Calithera is not a VIE because it has sufficient equity to finance its activities without additional subordinated financial support and its at-risk equity holders have the characteristics of a controlling financial interest. As of June 30, 2019, we owned approximately 4% of the outstanding shares of Calithera common stock and there are several other stockholders who hold larger positions of Calithera. As we do not hold a significant position of the voting shares of Calithera and lack the qualitative characteristics associated with the ability to exercise significant influence, our ownership interest does not meet the criteria to be accounted for as an equity method investment. We intend to hold the investment in Calithera for the foreseeable future, and thereby have classified the investment within long term investments</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the accompanying condensed consolidated balance sheets. Under guidance implemented by ASU No. 2016-01, the investment is marked to market through earnings in each reporting period. Prior to implementation, the unrealized gains and losses on our investment in Calithera were recorded in accumulated other comprehensive income (loss). To adopt ASU No. 2016-01, the January 1, 2018 accumulated deficit balance decreased by $2.8 million to reflect these prior period unrealized gains. For the three and six months ended June 30, 2019 we recorded an unrealized loss of $4.9 million and $0.2 million, respectively, based on the change in fair value of Calithera’s common stock during these periods. For the three and six months ended June 30, 2018 we recorded an unrealized loss of $2.2 million and $5.8 million, respectively, based on the change in fair value of Calithera’s common stock during these periods.</w:t>
      </w:r>
    </w:p>
    <w:p>
      <w:pPr>
        <w:spacing w:after="0" w:line="22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for the three and six months ended June 30, 2019 also included $5.4 million and $10.0 million, respectively, of additional development costs incurred pursuant to the Calithera agreement. Research and development expenses for the three and six months ended June 30, 2018 also included $3.2 million and $5.8 million, respectively, of additional development costs incurred pursuant to the Calithera agreement. At June 30, 2019 and December 31, 2018, a total of $2.4 million and $2.6 million, respectively, of such costs were included in accrued and other liabilities on the condensed consolidated balance sheets.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MacroGenics</w:t>
      </w:r>
    </w:p>
    <w:p>
      <w:pPr>
        <w:spacing w:after="0" w:line="27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October 2017, we entered into a Global Collaboration and License Agreement with MacroGenics, Inc. (“MacroGenics”). Under this agreement, we received exclusive development and commercialization rights worldwide to MacroGenics’ INCMGA0012 (formerly MGA012), an investigational monoclonal antibody that inhibits PD-1. Except as set forth in the succeeding sentence, we will have sole authority over and bear all costs and expenses in connection with the development and commercialization of INCMGA0012 in all indications, whether as a monotherapy or as part of a combination regimen. MacroGenics has retained the right to develop and commercialize, at its cost and expense, its pipeline assets in combination with INCMGA0012. In addition, MacroGenics has the right to manufacture a portion of both companies’ global clinical and commercial supply needs of INCMGA0012. In December 2017, we paid MacroGenics an upfront payment of $150.0 million which was recorded in research and development expense on the consolidated statement of operations. MacroGenics will be eligible to receive up to $420.0 million in future contingent development and regulatory milestones and up to $330.0 million in commercial milestones as well as tiered royalties ranging from 15% to 24% of global net sales. In September 2018, we recorded $10.0 million and in November 2018 we recorded $5.0 million in aggregate milestones due to MacroGenics for the achievement of certain clinical milestones as part of our collaboration and license agreement, which were recorded in research and development expense.</w:t>
      </w:r>
    </w:p>
    <w:p>
      <w:pPr>
        <w:spacing w:after="0" w:line="19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MacroGenics agreement will continue until we are no longer commercializing, developing or manufacturing INCMGA0012 or, if earlier, the termination of the agreement in accordance with its terms. The agreement may be terminated in its entirety or on a licensed product by licensed product basis by us for convenience. The agreement may also be terminated by either party under certain other circumstances, including material breach, as set forth in the agreement.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for the three and six months ended June 30, 2019 also included $9.8 million and $19.2 million, respectively, of additional development costs incurred pursuant to the MacroGenics agreement. Research and development expenses for the three and six months ended June 30, 2018 also included $10.9 million and $17.4 million, respectively, of additional development costs incurred pursuant to the MacroGenics agreement. At June 30, 2019 and December 31, 2018, a total of $2.6 million and $3.2 million of such costs were included in accrued and other liabilities on the condensed consolidated balance sheets.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Syros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January 2018, we entered into a target discovery, research collaboration and option agreement with Syros Pharmaceuticals, Inc. (“Syros”). Under this agreement, Syros will use its proprietary gene control platform to identify novel therapeutic targets with a focus in myeloproliferative neoplasms and we have received options to obtain exclusive worldwide rights to intellectual property resulting from the collaboration for up to seven validated targets. We will have exclusive worldwide rights to develop and commercialize any therapies under the collaboration that modulate those</w:t>
      </w:r>
    </w:p>
    <w:p>
      <w:pPr>
        <w:sectPr>
          <w:pgSz w:w="11900" w:h="16838" w:orient="portrait"/>
          <w:cols w:equalWidth="0" w:num="1">
            <w:col w:w="9060"/>
          </w:cols>
          <w:pgMar w:left="1420" w:top="513" w:right="141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validated targets. We have agreed to pay Syros up to $54.0 million in target selection and option exercise fees should we decide to exercise all of our options under the agreement. For products resulting from the collaboration against each of the seven selected and validated targets, we have agreed to pay up to $50.0 million in potential development and regulatory milestones and up to $65.0 million in potential commercial milestones. Syros is also eligible to receive low single-digit royalties on net sales of products resulting from the collaboration. In January 2018, we paid Syros an upfront non-refundable (except in the event of a material breach of the agreement by Syros) payment of $10.0 million, which was recorded in research and development expense.</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in January 2018, we entered into a Stock Purchase Agreement with Syros for the purchase of 0.8 million common shares of Syros for an aggregate purchase price of $10.0 million in cash, or $12.61 per share. We agreed to not sell or otherwise transfer any of our Syros shares for a period, referred to as the Lock-Up Period, of 12 months after the closing date of the sale. We completed the purchase of the shares on January 8, 2018 when the closing price on The Nasdaq Stock Market was $9.77 per share. The shares we acquired were not registered on the purchase date, and accordingly, we estimated a discount for lack of marketability on the shares of $0.1 million, which resulted in a net fair value of the shares on the issuance date of $7.6 million. Of the $10.0 million aggregate purchase price paid, $7.6 million was allocated to our stock purchase in Syros and was recorded within long term investments and $2.4 million, representing premium paid on the purchase, was allocated to research and development expense. Also in January 2018, we entered into an Amended Stock Purchase Agreement with Syros for the purchase of an additional 0.1 million common shares of Syros for an aggregate purchase price of $1.4 million in cash, or $9.55 per share. The shares were acquired in February 2018 and the $1.4 million aggregate purchase price was recorded within long term investments on the condensed consolidated balance sheets. All acquired shares were subsequently registered under the Securities Act of 1933 in February 2018. The fair market value of our long term investment in Syros as of June 30, 2019 and December 31, 2018 was $8.7 million and $5.2 million, respectively.</w:t>
      </w:r>
    </w:p>
    <w:p>
      <w:pPr>
        <w:spacing w:after="0" w:line="19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concluded Syros is not a VIE because it has sufficient equity to finance its activities without additional subordinated financial support and its at-risk equity holders have the characteristics of a controlling financial interest. As of June 30, 2019, we owned approximately 2% of the outstanding shares of Syros common stock and there are several other stockholders who hold larger positions of Syros. As we do not hold a significant position of the voting shares of Syros and lack the qualitative characteristics associated with the ability to exercise significant influence, our ownership interest does not meet the criteria to be accounted for as an equity method investment. We intend to hold the investment in Syros for the foreseeable future and therefore, are accounting for our shares held in Syros at fair value under ASU No. 2016-01, and the investment is marked to market through earnings in each reporting period. Given our intent to hold the investment for the foreseeable future, we have classified the investment within long term investments on the accompanying condensed consolidated balance sheet. For the three and six months ended June 30, 2019, we recorded an unrealized gain of $0.2 million and $3.5 million, respectively, based on the change in fair value of Syros’ common stock during these periods. For the three and six months ended June 30, 2018, we recorded an unrealized loss of $2.6 million and an unrealized gain of $0.6 million, respectively, based on the change in fair value of Syros’ common stock during these periods.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Innovent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December 2018, we entered into a research collaboration and licensing agreement with Innovent. Under the terms of this agreement, Innovent received exclusive development and commercialization rights to our clinical-stage product candidates pemigatinib, itacitinib and parsaclisib in hematology and oncology in mainland China, Hong Kong, Macau and Taiwan. In January 2019, we recognized an upfront payment under this agreement of $40.0 million upon our transfer of the intellectual property related to the clinical-stage product candidates to Innovent, which was recorded in milestone and contract revenues on the condensed consolidated statement of operations for the three months ended March 31, 2019. In addition, we are eligible to receive $20.0 million in connection with the first related IND filing in China, up to $129.0 million in potential development and regulatory milestones, and up to $202.5 million in potential commercial milestones. We are also eligible to receive tiered royalties from the high-teens to the low-twenties on future sales of products resulting from the collaboration. We retain an option to assist in the promotion of the three product candidates in the Innovent territories. In June 2019, we recognized the $20.0 million milestone for the first related IND filing in China.</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60" w:hanging="458"/>
        <w:spacing w:after="0"/>
        <w:tabs>
          <w:tab w:leader="none" w:pos="4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compensation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recorded $40.6 million and $81.2 million of stock compensation expense on our condensed consolidated statements of operations for the three and six months ended June 30, 2019, respectively. We recorded $36.6 million and $72.8 million of stock compensation expense on our condensed consolidated statements of operations for the three and six months ended June 30, 2018, respectively. For the three and six months ended June 30, 2019, we capitalized $0.1 million and $0.2 million, respectively, of stock compensation expense as part of the cost of an asset. Stock compensation expense included within our condensed consolidated statements of operations included research and development expense of $27.6 million, $55.0 million, $24.8 million and $49.0 million for the three and six months ended June 30, 2019 and 2018, respectively. Stock compensation expense included within our condensed consolidated statements of operations also included selling, general and administrative expense of $12.8 million, $25.8 million, $11.8 million and $23.8 million for the three and six months ended June 30, 2019 and 2018, respectively. Stock compensation expense included within our condensed consolidated statements of operations also included cost of product revenues of $0.2 million and $0.4 million, respectively, for the three and six months ended June 30, 2019.</w:t>
      </w:r>
    </w:p>
    <w:p>
      <w:pPr>
        <w:spacing w:after="0" w:line="19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utilized the Black-Scholes valuation model for estimating the fair value of the stock compensation granted, with the following weighted-average assumptions:</w:t>
      </w:r>
    </w:p>
    <w:p>
      <w:pPr>
        <w:sectPr>
          <w:pgSz w:w="11900" w:h="16838" w:orient="portrait"/>
          <w:cols w:equalWidth="0" w:num="1">
            <w:col w:w="9060"/>
          </w:cols>
          <w:pgMar w:left="1420" w:top="513" w:right="1419" w:bottom="1440" w:gutter="0" w:footer="0" w:header="0"/>
        </w:sectPr>
      </w:pPr>
    </w:p>
    <w:p>
      <w:pPr>
        <w:spacing w:after="0" w:line="16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4"/>
          <w:szCs w:val="14"/>
          <w:b w:val="1"/>
          <w:bCs w:val="1"/>
          <w:color w:val="auto"/>
        </w:rPr>
        <w:t>Employee Stock Options</w:t>
      </w:r>
    </w:p>
    <w:p>
      <w:pPr>
        <w:spacing w:after="0" w:line="12" w:lineRule="exact"/>
        <w:rPr>
          <w:sz w:val="20"/>
          <w:szCs w:val="20"/>
          <w:color w:val="auto"/>
        </w:rPr>
      </w:pPr>
    </w:p>
    <w:tbl>
      <w:tblPr>
        <w:tblLayout w:type="fixed"/>
        <w:tblInd w:w="2400" w:type="dxa"/>
        <w:tblCellMar>
          <w:top w:w="0" w:type="dxa"/>
          <w:left w:w="0" w:type="dxa"/>
          <w:bottom w:w="0" w:type="dxa"/>
          <w:right w:w="0" w:type="dxa"/>
        </w:tblCellMar>
      </w:tblPr>
      <w:tr>
        <w:trPr>
          <w:trHeight w:val="117"/>
        </w:trPr>
        <w:tc>
          <w:tcPr>
            <w:tcW w:w="16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Three</w:t>
            </w:r>
          </w:p>
        </w:tc>
        <w:tc>
          <w:tcPr>
            <w:tcW w:w="16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w:t>
            </w:r>
          </w:p>
        </w:tc>
      </w:tr>
      <w:tr>
        <w:trPr>
          <w:trHeight w:val="180"/>
        </w:trPr>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1528445</wp:posOffset>
            </wp:positionH>
            <wp:positionV relativeFrom="paragraph">
              <wp:posOffset>-3810</wp:posOffset>
            </wp:positionV>
            <wp:extent cx="20751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ind w:left="378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1528445</wp:posOffset>
            </wp:positionH>
            <wp:positionV relativeFrom="paragraph">
              <wp:posOffset>-3175</wp:posOffset>
            </wp:positionV>
            <wp:extent cx="20751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ind w:left="2500"/>
        <w:spacing w:after="0" w:line="233" w:lineRule="auto"/>
        <w:tabs>
          <w:tab w:leader="none" w:pos="3320" w:val="left"/>
          <w:tab w:leader="none" w:pos="4120" w:val="left"/>
          <w:tab w:leader="none" w:pos="494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2018</w:t>
      </w:r>
      <w:r>
        <w:rPr>
          <w:sz w:val="20"/>
          <w:szCs w:val="20"/>
          <w:color w:val="auto"/>
        </w:rPr>
        <w:tab/>
      </w: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2018</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Employee Stock Purchase Plan</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4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11"/>
              <w:spacing w:after="0" w:line="118" w:lineRule="exact"/>
              <w:rPr>
                <w:sz w:val="20"/>
                <w:szCs w:val="20"/>
                <w:color w:val="auto"/>
              </w:rPr>
            </w:pPr>
            <w:r>
              <w:rPr>
                <w:rFonts w:ascii="Times New Roman" w:cs="Times New Roman" w:eastAsia="Times New Roman" w:hAnsi="Times New Roman"/>
                <w:sz w:val="13"/>
                <w:szCs w:val="13"/>
                <w:b w:val="1"/>
                <w:bCs w:val="1"/>
                <w:color w:val="auto"/>
              </w:rPr>
              <w:t>For the Three</w:t>
            </w:r>
          </w:p>
        </w:tc>
        <w:tc>
          <w:tcPr>
            <w:tcW w:w="8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ind w:right="431"/>
              <w:spacing w:after="0" w:line="118" w:lineRule="exact"/>
              <w:rPr>
                <w:sz w:val="20"/>
                <w:szCs w:val="20"/>
                <w:color w:val="auto"/>
              </w:rPr>
            </w:pPr>
            <w:r>
              <w:rPr>
                <w:rFonts w:ascii="Times New Roman" w:cs="Times New Roman" w:eastAsia="Times New Roman" w:hAnsi="Times New Roman"/>
                <w:sz w:val="13"/>
                <w:szCs w:val="13"/>
                <w:b w:val="1"/>
                <w:bCs w:val="1"/>
                <w:color w:val="auto"/>
              </w:rPr>
              <w:t>For the</w:t>
            </w:r>
          </w:p>
        </w:tc>
      </w:tr>
      <w:tr>
        <w:trPr>
          <w:trHeight w:val="173"/>
        </w:trPr>
        <w:tc>
          <w:tcPr>
            <w:tcW w:w="1320" w:type="dxa"/>
            <w:vAlign w:val="bottom"/>
            <w:tcBorders>
              <w:bottom w:val="single" w:sz="8" w:color="auto"/>
            </w:tcBorders>
            <w:gridSpan w:val="2"/>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1940" w:type="dxa"/>
            <w:vAlign w:val="bottom"/>
            <w:tcBorders>
              <w:bottom w:val="single" w:sz="8" w:color="auto"/>
            </w:tcBorders>
            <w:gridSpan w:val="2"/>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2"/>
        </w:trPr>
        <w:tc>
          <w:tcPr>
            <w:tcW w:w="4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140" w:type="dxa"/>
            <w:vAlign w:val="bottom"/>
            <w:tcBorders>
              <w:bottom w:val="single" w:sz="8" w:color="auto"/>
            </w:tcBorders>
          </w:tcPr>
          <w:p>
            <w:pPr>
              <w:spacing w:after="0"/>
              <w:rPr>
                <w:sz w:val="12"/>
                <w:szCs w:val="12"/>
                <w:color w:val="auto"/>
              </w:rPr>
            </w:pPr>
          </w:p>
        </w:tc>
      </w:tr>
      <w:tr>
        <w:trPr>
          <w:trHeight w:val="142"/>
        </w:trPr>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920" w:type="dxa"/>
            <w:vAlign w:val="bottom"/>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8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140" w:type="dxa"/>
            <w:vAlign w:val="bottom"/>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r>
    </w:tbl>
    <w:p>
      <w:pPr>
        <w:spacing w:after="0" w:line="20" w:lineRule="exact"/>
        <w:rPr>
          <w:sz w:val="20"/>
          <w:szCs w:val="20"/>
          <w:color w:val="auto"/>
        </w:rPr>
      </w:pPr>
    </w:p>
    <w:p>
      <w:pPr>
        <w:sectPr>
          <w:pgSz w:w="11900" w:h="16838" w:orient="portrait"/>
          <w:cols w:equalWidth="0" w:num="2">
            <w:col w:w="5680" w:space="40"/>
            <w:col w:w="3340"/>
          </w:cols>
          <w:pgMar w:left="1420" w:top="513" w:right="141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4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r>
      <w:tr>
        <w:trPr>
          <w:trHeight w:val="190"/>
        </w:trPr>
        <w:tc>
          <w:tcPr>
            <w:tcW w:w="24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Average risk-free interest rates</w:t>
            </w:r>
          </w:p>
        </w:tc>
        <w:tc>
          <w:tcPr>
            <w:tcW w:w="840" w:type="dxa"/>
            <w:vAlign w:val="bottom"/>
            <w:gridSpan w:val="2"/>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2.26 %</w:t>
            </w:r>
          </w:p>
        </w:tc>
        <w:tc>
          <w:tcPr>
            <w:tcW w:w="820" w:type="dxa"/>
            <w:vAlign w:val="bottom"/>
            <w:gridSpan w:val="2"/>
            <w:shd w:val="clear" w:color="auto" w:fill="CCEEFF"/>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2.71 %</w:t>
            </w:r>
          </w:p>
        </w:tc>
        <w:tc>
          <w:tcPr>
            <w:tcW w:w="800" w:type="dxa"/>
            <w:vAlign w:val="bottom"/>
            <w:gridSpan w:val="2"/>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2.49 %</w:t>
            </w:r>
          </w:p>
        </w:tc>
        <w:tc>
          <w:tcPr>
            <w:tcW w:w="860" w:type="dxa"/>
            <w:vAlign w:val="bottom"/>
            <w:gridSpan w:val="2"/>
            <w:shd w:val="clear" w:color="auto" w:fill="CCEEFF"/>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2.47 %</w:t>
            </w:r>
          </w:p>
        </w:tc>
        <w:tc>
          <w:tcPr>
            <w:tcW w:w="820" w:type="dxa"/>
            <w:vAlign w:val="bottom"/>
            <w:gridSpan w:val="2"/>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1.75 %</w:t>
            </w:r>
          </w:p>
        </w:tc>
        <w:tc>
          <w:tcPr>
            <w:tcW w:w="800" w:type="dxa"/>
            <w:vAlign w:val="bottom"/>
            <w:gridSpan w:val="2"/>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2.52 %</w:t>
            </w:r>
          </w:p>
        </w:tc>
        <w:tc>
          <w:tcPr>
            <w:tcW w:w="820" w:type="dxa"/>
            <w:vAlign w:val="bottom"/>
            <w:gridSpan w:val="2"/>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2.10 %</w:t>
            </w:r>
          </w:p>
        </w:tc>
        <w:tc>
          <w:tcPr>
            <w:tcW w:w="860" w:type="dxa"/>
            <w:vAlign w:val="bottom"/>
            <w:gridSpan w:val="2"/>
            <w:shd w:val="clear" w:color="auto" w:fill="CCEEFF"/>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2.50 %</w:t>
            </w: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Average expected life (in years)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3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3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380" w:type="dxa"/>
            <w:vAlign w:val="bottom"/>
          </w:tcPr>
          <w:p>
            <w:pPr>
              <w:spacing w:after="0"/>
              <w:rPr>
                <w:sz w:val="18"/>
                <w:szCs w:val="18"/>
                <w:color w:val="auto"/>
              </w:rPr>
            </w:pP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39 %</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46 %</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45 %</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45 %</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37 %</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30 %</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34 %</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51 %</w:t>
            </w:r>
          </w:p>
        </w:tc>
      </w:tr>
      <w:tr>
        <w:trPr>
          <w:trHeight w:val="198"/>
        </w:trPr>
        <w:tc>
          <w:tcPr>
            <w:tcW w:w="2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fair value (in</w:t>
            </w: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34"/>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dollars)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30.92</w:t>
            </w:r>
          </w:p>
        </w:tc>
        <w:tc>
          <w:tcPr>
            <w:tcW w:w="3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28.65</w:t>
            </w:r>
          </w:p>
        </w:tc>
        <w:tc>
          <w:tcPr>
            <w:tcW w:w="3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31.47</w:t>
            </w:r>
          </w:p>
        </w:tc>
        <w:tc>
          <w:tcPr>
            <w:tcW w:w="3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39.47</w:t>
            </w:r>
          </w:p>
        </w:tc>
        <w:tc>
          <w:tcPr>
            <w:tcW w:w="3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13.11</w:t>
            </w:r>
          </w:p>
        </w:tc>
        <w:tc>
          <w:tcPr>
            <w:tcW w:w="3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12.11</w:t>
            </w:r>
          </w:p>
        </w:tc>
        <w:tc>
          <w:tcPr>
            <w:tcW w:w="3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13.69</w:t>
            </w:r>
          </w:p>
        </w:tc>
        <w:tc>
          <w:tcPr>
            <w:tcW w:w="3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16.25</w:t>
            </w:r>
          </w:p>
        </w:tc>
        <w:tc>
          <w:tcPr>
            <w:tcW w:w="380" w:type="dxa"/>
            <w:vAlign w:val="bottom"/>
          </w:tcPr>
          <w:p>
            <w:pPr>
              <w:spacing w:after="0"/>
              <w:rPr>
                <w:sz w:val="20"/>
                <w:szCs w:val="20"/>
                <w:color w:val="auto"/>
              </w:rPr>
            </w:pPr>
          </w:p>
        </w:tc>
      </w:tr>
    </w:tbl>
    <w:p>
      <w:pPr>
        <w:spacing w:after="0" w:line="15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risk-free interest rate is derived from the U.S. Federal Reserve rate in effect at the time of grant. The expected life calculation is based on the observed and expected time to the exercise of options by our employees based on historical exercise patterns for similar type options. Expected volatility is based on the historical volatility of our common stock over the period commensurate with the expected life of the options. A dividend yield of zero is assumed based on the fact that we have never paid cash dividends and have no present intention to pay cash dividends. Nonemployee awards are measured on the grant date by estimating the fair value of the equity instruments to be issued using the expected term, similar to our employee awards.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Option activity under the 2010 Stock Plan was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3"/>
                <w:szCs w:val="13"/>
                <w:color w:val="auto"/>
              </w:rPr>
            </w:pPr>
          </w:p>
        </w:tc>
        <w:tc>
          <w:tcPr>
            <w:tcW w:w="1780" w:type="dxa"/>
            <w:vAlign w:val="bottom"/>
            <w:gridSpan w:val="3"/>
          </w:tcPr>
          <w:p>
            <w:pPr>
              <w:jc w:val="center"/>
              <w:ind w:left="377"/>
              <w:spacing w:after="0"/>
              <w:rPr>
                <w:sz w:val="20"/>
                <w:szCs w:val="20"/>
                <w:color w:val="auto"/>
              </w:rPr>
            </w:pPr>
            <w:r>
              <w:rPr>
                <w:rFonts w:ascii="Times New Roman" w:cs="Times New Roman" w:eastAsia="Times New Roman" w:hAnsi="Times New Roman"/>
                <w:sz w:val="14"/>
                <w:szCs w:val="14"/>
                <w:b w:val="1"/>
                <w:bCs w:val="1"/>
                <w:color w:val="auto"/>
              </w:rPr>
              <w:t>Shares Subject to</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720" w:type="dxa"/>
            <w:vAlign w:val="bottom"/>
          </w:tcPr>
          <w:p>
            <w:pPr>
              <w:spacing w:after="0"/>
              <w:rPr>
                <w:sz w:val="15"/>
                <w:szCs w:val="15"/>
                <w:color w:val="auto"/>
              </w:rPr>
            </w:pPr>
          </w:p>
        </w:tc>
        <w:tc>
          <w:tcPr>
            <w:tcW w:w="1780" w:type="dxa"/>
            <w:vAlign w:val="bottom"/>
            <w:tcBorders>
              <w:bottom w:val="single" w:sz="8" w:color="auto"/>
            </w:tcBorders>
            <w:gridSpan w:val="3"/>
          </w:tcPr>
          <w:p>
            <w:pPr>
              <w:jc w:val="center"/>
              <w:ind w:left="377"/>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4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720" w:type="dxa"/>
            <w:vAlign w:val="bottom"/>
          </w:tcPr>
          <w:p>
            <w:pPr>
              <w:spacing w:after="0"/>
              <w:rPr>
                <w:sz w:val="10"/>
                <w:szCs w:val="10"/>
                <w:color w:val="auto"/>
              </w:rPr>
            </w:pPr>
          </w:p>
        </w:tc>
        <w:tc>
          <w:tcPr>
            <w:tcW w:w="10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7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10"/>
        </w:trPr>
        <w:tc>
          <w:tcPr>
            <w:tcW w:w="6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12,285,159</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74.39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2,429,688</w:t>
            </w:r>
          </w:p>
        </w:tc>
        <w:tc>
          <w:tcPr>
            <w:tcW w:w="160" w:type="dxa"/>
            <w:vAlign w:val="bottom"/>
          </w:tcPr>
          <w:p>
            <w:pPr>
              <w:spacing w:after="0"/>
              <w:rPr>
                <w:sz w:val="18"/>
                <w:szCs w:val="18"/>
                <w:color w:val="auto"/>
              </w:rPr>
            </w:pPr>
          </w:p>
        </w:tc>
        <w:tc>
          <w:tcPr>
            <w:tcW w:w="700" w:type="dxa"/>
            <w:vAlign w:val="bottom"/>
          </w:tcPr>
          <w:p>
            <w:pPr>
              <w:jc w:val="center"/>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73.23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(1,178,225)</w:t>
            </w:r>
          </w:p>
        </w:tc>
        <w:tc>
          <w:tcPr>
            <w:tcW w:w="700" w:type="dxa"/>
            <w:vAlign w:val="bottom"/>
            <w:shd w:val="clear" w:color="auto" w:fill="CCEEFF"/>
          </w:tcPr>
          <w:p>
            <w:pPr>
              <w:jc w:val="center"/>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26.93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(567,093)</w:t>
            </w:r>
          </w:p>
        </w:tc>
        <w:tc>
          <w:tcPr>
            <w:tcW w:w="700" w:type="dxa"/>
            <w:vAlign w:val="bottom"/>
          </w:tcPr>
          <w:p>
            <w:pPr>
              <w:jc w:val="center"/>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91.76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2019</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12,969,529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CCEEFF"/>
              <w:bottom w:val="single" w:sz="8" w:color="CCEEFF"/>
            </w:tcBorders>
            <w:shd w:val="clear" w:color="auto" w:fill="CCEEFF"/>
          </w:tcPr>
          <w:p>
            <w:pPr>
              <w:jc w:val="center"/>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77.72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July 2016, we revised the terms of our annual stock option grants to provide that new option grants would generally have a 10-year term and vest over four years, with 25% vesting after one year and the remainder vesting in 36 equal monthly installments. Previously, our option grants generally had 7-year terms and vested over three years, with 33% vesting after one year and the remainder vesting in 24 equal monthly installments.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RSU award and PSU activity under the 2010 Stock Plan was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3"/>
                <w:szCs w:val="13"/>
                <w:color w:val="auto"/>
              </w:rPr>
            </w:pPr>
          </w:p>
        </w:tc>
        <w:tc>
          <w:tcPr>
            <w:tcW w:w="1740" w:type="dxa"/>
            <w:vAlign w:val="bottom"/>
            <w:gridSpan w:val="3"/>
          </w:tcPr>
          <w:p>
            <w:pPr>
              <w:jc w:val="center"/>
              <w:ind w:left="375"/>
              <w:spacing w:after="0"/>
              <w:rPr>
                <w:sz w:val="20"/>
                <w:szCs w:val="20"/>
                <w:color w:val="auto"/>
              </w:rPr>
            </w:pPr>
            <w:r>
              <w:rPr>
                <w:rFonts w:ascii="Times New Roman" w:cs="Times New Roman" w:eastAsia="Times New Roman" w:hAnsi="Times New Roman"/>
                <w:sz w:val="14"/>
                <w:szCs w:val="14"/>
                <w:b w:val="1"/>
                <w:bCs w:val="1"/>
                <w:color w:val="auto"/>
              </w:rPr>
              <w:t>Shares Subject to</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3"/>
        </w:trPr>
        <w:tc>
          <w:tcPr>
            <w:tcW w:w="6760" w:type="dxa"/>
            <w:vAlign w:val="bottom"/>
          </w:tcPr>
          <w:p>
            <w:pPr>
              <w:spacing w:after="0"/>
              <w:rPr>
                <w:sz w:val="15"/>
                <w:szCs w:val="15"/>
                <w:color w:val="auto"/>
              </w:rPr>
            </w:pPr>
          </w:p>
        </w:tc>
        <w:tc>
          <w:tcPr>
            <w:tcW w:w="1740" w:type="dxa"/>
            <w:vAlign w:val="bottom"/>
            <w:tcBorders>
              <w:bottom w:val="single" w:sz="8" w:color="auto"/>
            </w:tcBorders>
            <w:gridSpan w:val="3"/>
          </w:tcPr>
          <w:p>
            <w:pPr>
              <w:jc w:val="center"/>
              <w:ind w:left="395"/>
              <w:spacing w:after="0"/>
              <w:rPr>
                <w:sz w:val="20"/>
                <w:szCs w:val="20"/>
                <w:color w:val="auto"/>
              </w:rPr>
            </w:pPr>
            <w:r>
              <w:rPr>
                <w:rFonts w:ascii="Times New Roman" w:cs="Times New Roman" w:eastAsia="Times New Roman" w:hAnsi="Times New Roman"/>
                <w:sz w:val="14"/>
                <w:szCs w:val="14"/>
                <w:b w:val="1"/>
                <w:bCs w:val="1"/>
                <w:color w:val="auto"/>
              </w:rPr>
              <w:t>Outstanding Awards</w:t>
            </w:r>
          </w:p>
        </w:tc>
        <w:tc>
          <w:tcPr>
            <w:tcW w:w="4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6760" w:type="dxa"/>
            <w:vAlign w:val="bottom"/>
          </w:tcPr>
          <w:p>
            <w:pPr>
              <w:spacing w:after="0"/>
              <w:rPr>
                <w:sz w:val="12"/>
                <w:szCs w:val="12"/>
                <w:color w:val="auto"/>
              </w:rPr>
            </w:pPr>
          </w:p>
        </w:tc>
        <w:tc>
          <w:tcPr>
            <w:tcW w:w="108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1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Grant Date Value</w:t>
            </w:r>
          </w:p>
        </w:tc>
        <w:tc>
          <w:tcPr>
            <w:tcW w:w="80" w:type="dxa"/>
            <w:vAlign w:val="bottom"/>
          </w:tcPr>
          <w:p>
            <w:pPr>
              <w:spacing w:after="0"/>
              <w:rPr>
                <w:sz w:val="12"/>
                <w:szCs w:val="12"/>
                <w:color w:val="auto"/>
              </w:rPr>
            </w:pPr>
          </w:p>
        </w:tc>
      </w:tr>
      <w:tr>
        <w:trPr>
          <w:trHeight w:val="210"/>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2,043,337</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80.35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RSUs granted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193,950</w:t>
            </w:r>
          </w:p>
        </w:tc>
        <w:tc>
          <w:tcPr>
            <w:tcW w:w="14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74.74</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PSUs granted</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74.38</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PSUs achieved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44,940</w:t>
            </w:r>
          </w:p>
        </w:tc>
        <w:tc>
          <w:tcPr>
            <w:tcW w:w="14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65.76</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cancelled</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(83,723)</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85.58</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PSUs cancelled</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(22,764)</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66.44</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released</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(316,325)</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87.99</w:t>
            </w:r>
          </w:p>
        </w:tc>
        <w:tc>
          <w:tcPr>
            <w:tcW w:w="80" w:type="dxa"/>
            <w:vAlign w:val="bottom"/>
            <w:shd w:val="clear" w:color="auto" w:fill="CCEEFF"/>
          </w:tcPr>
          <w:p>
            <w:pPr>
              <w:spacing w:after="0"/>
              <w:rPr>
                <w:sz w:val="18"/>
                <w:szCs w:val="18"/>
                <w:color w:val="auto"/>
              </w:rPr>
            </w:pPr>
          </w:p>
        </w:tc>
      </w:tr>
      <w:tr>
        <w:trPr>
          <w:trHeight w:val="21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2019</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1,959,415</w:t>
            </w:r>
          </w:p>
        </w:tc>
        <w:tc>
          <w:tcPr>
            <w:tcW w:w="14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77.86</w:t>
            </w:r>
          </w:p>
        </w:tc>
        <w:tc>
          <w:tcPr>
            <w:tcW w:w="80" w:type="dxa"/>
            <w:vAlign w:val="bottom"/>
          </w:tcPr>
          <w:p>
            <w:pPr>
              <w:spacing w:after="0"/>
              <w:rPr>
                <w:sz w:val="18"/>
                <w:szCs w:val="18"/>
                <w:color w:val="auto"/>
              </w:rPr>
            </w:pPr>
          </w:p>
        </w:tc>
      </w:tr>
      <w:tr>
        <w:trPr>
          <w:trHeight w:val="20"/>
        </w:trPr>
        <w:tc>
          <w:tcPr>
            <w:tcW w:w="67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January 2014, we began granting RSUs and PSUs to our employees at the share price on the date of grant. Each RSU represents the right to acquire one share of our common stock. Each RSU granted prior to July 2016 was subject to cliff vesting after three years. In July 2016, we revised the terms of our RSU grants to provide that the awards will vest 25% annually over four years.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Also, in January 2014, Hervé Hoppenot, our President and Chief Executive Officer, was granted a one-time grant of 400,000 RSUs outside of our 2010 Stock Incentive Plan. Vesting of the RSUs will be subject to Mr. Hoppenot’s continued employment on the applicable vesting dates, with one-sixth of the RSUs vesting at the end of each of the calendar years 2014 through 2019, subject to earlier acceleration of vesting upon the occurrence of certain events in accordance with the terms of his employment agreement. As of June 30, 2019, a cumulative total of 333,334 RSUs granted to Mr. Hoppenot had vested and were released, leaving 66,666 RSUs outstanding.</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June 2018, we granted 190,000 RSUs and 446,500 PSUs under long term incentive plans with performance and/or service-based milestones with graded and/or cliff vesting over three to four years. In April 2019, we granted an additional 100,000 PSUs under the existing long term incentive plan with performance based milestones and cliff vesting. For one of the long term incentive plans, under which 106,500 PSUs were granted, the actual number of shares of our common stock into which each PSU may convert was subject to a multiplier of up to 267% based on the level at which the performance conditions were achieved. The actual number of shares of our common stock into which each PSU converted was at a multiplier of 142% based on the performance conditions being achieved as of March 31, 2019. Compensation expense for the performance-based awards is recorded over the estimated service period for each milestone when the performance conditions are deemed probable of achievement. For the three and six months ended June 30, 2019, the stock compensation expense recorded during the period was for service-based awards and performance conditions deemed probable of achievement and/or achieved. For PSUs containing performance conditions which were not deemed probable of achievement at June 30, 2019, no stock compensation expense was recognized.</w:t>
      </w:r>
    </w:p>
    <w:p>
      <w:pPr>
        <w:spacing w:after="0" w:line="19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July 2018, we granted 77,243 PSUs to executives with performance milestones and graded vesting over four years. The shares of our common stock into which each PSU may convert is subject to a multiplier up to 150% based on the level at which the performance condition is achieved. Compensation expense for the performance-based awards is recorded over the estimated service period when the performance condition is deemed probable of achievement. The actual number of shares of our common stock into which each PSU converted was at a multiplier of 83% based on the performance condition being achieved as of December 31, 2018.</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shares available for grant:</w:t>
      </w:r>
    </w:p>
    <w:p>
      <w:pPr>
        <w:spacing w:after="0" w:line="124"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4"/>
          <w:szCs w:val="14"/>
          <w:b w:val="1"/>
          <w:bCs w:val="1"/>
          <w:color w:val="auto"/>
        </w:rPr>
        <w:t>Shares Available</w:t>
      </w:r>
    </w:p>
    <w:p>
      <w:pPr>
        <w:spacing w:after="0" w:line="6"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4"/>
          <w:szCs w:val="14"/>
          <w:b w:val="1"/>
          <w:bCs w:val="1"/>
          <w:color w:val="auto"/>
        </w:rPr>
        <w:t>for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575437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146050"/>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December 31, 2018</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authorization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RSUs and PSUs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575437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Options, RSUs and PSUs cancelled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575437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Balance at June 30, 2019</w:t>
      </w:r>
    </w:p>
    <w:p>
      <w:pPr>
        <w:spacing w:after="0" w:line="20" w:lineRule="exact"/>
        <w:rPr>
          <w:sz w:val="20"/>
          <w:szCs w:val="20"/>
          <w:color w:val="auto"/>
        </w:rPr>
      </w:pPr>
      <w:r>
        <w:rPr>
          <w:sz w:val="20"/>
          <w:szCs w:val="20"/>
          <w:color w:val="auto"/>
        </w:rPr>
        <w:br w:type="column"/>
      </w:r>
    </w:p>
    <w:p>
      <w:pPr>
        <w:jc w:val="right"/>
        <w:ind w:right="200"/>
        <w:spacing w:after="0"/>
        <w:rPr>
          <w:sz w:val="20"/>
          <w:szCs w:val="20"/>
          <w:color w:val="auto"/>
        </w:rPr>
      </w:pPr>
      <w:r>
        <w:rPr>
          <w:rFonts w:ascii="Times New Roman" w:cs="Times New Roman" w:eastAsia="Times New Roman" w:hAnsi="Times New Roman"/>
          <w:sz w:val="18"/>
          <w:szCs w:val="18"/>
          <w:color w:val="auto"/>
        </w:rPr>
        <w:t>7,023,328</w:t>
      </w:r>
    </w:p>
    <w:p>
      <w:pPr>
        <w:spacing w:after="0" w:line="7"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18"/>
          <w:szCs w:val="18"/>
          <w:color w:val="auto"/>
        </w:rPr>
        <w:t>7,700,000</w:t>
      </w:r>
    </w:p>
    <w:p>
      <w:pPr>
        <w:spacing w:after="0" w:line="9"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(2,891,106)</w:t>
      </w:r>
    </w:p>
    <w:p>
      <w:pPr>
        <w:spacing w:after="0" w:line="9"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18"/>
          <w:szCs w:val="18"/>
          <w:color w:val="auto"/>
        </w:rPr>
        <w:t>673,580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12,505,802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31750</wp:posOffset>
            </wp:positionV>
            <wp:extent cx="8750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7340" w:space="720"/>
            <w:col w:w="1000"/>
          </w:cols>
          <w:pgMar w:left="1420" w:top="513" w:right="1419" w:bottom="1440" w:gutter="0" w:footer="0" w:header="0"/>
          <w:type w:val="continuous"/>
        </w:sect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Based on our historical experience of employee turnover, we have assumed an annualized forfeiture rate of 5% for our options, RSUs and PSUs. Under the true-up provisions of the stock compensation guidance, we will record additional expense if the actual forfeiture rate is lower than we estimated, and will record a recovery of prior expense if the actual forfeiture is higher than we estimated.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Total compensation cost of options granted but not yet vested, as of June 30, 2019, was $110.3 million, which is expected to be recognized over the weighted average period of approximately 1.5 years. Total compensation cost of RSUs granted but not yet vested, as of June 30, 2019, was $49.3 million, which is expected to be recognized over the weighted average period of approximately 1.5 years. Total compensation cost of PSUs granted but not yet vested, as of June 30, 2019, was $32.7 million, which is expected to be recognized over the weighted average period of 2.6 years, should the underlying performance conditions be deemed probable of achievement.</w:t>
      </w:r>
    </w:p>
    <w:p>
      <w:pPr>
        <w:spacing w:after="0" w:line="211" w:lineRule="exact"/>
        <w:rPr>
          <w:sz w:val="20"/>
          <w:szCs w:val="20"/>
          <w:color w:val="auto"/>
        </w:rPr>
      </w:pPr>
    </w:p>
    <w:p>
      <w:pPr>
        <w:ind w:left="440" w:hanging="438"/>
        <w:spacing w:after="0"/>
        <w:tabs>
          <w:tab w:leader="none" w:pos="4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and other current liabilities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and other current liabilities consisted of the following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4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Royalties</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25,087</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Clinical related costs</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64,963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98,607</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allowances</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60,890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44,770</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7,673</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 liability</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18,696</w:t>
            </w:r>
          </w:p>
        </w:tc>
      </w:tr>
      <w:tr>
        <w:trPr>
          <w:trHeight w:val="216"/>
        </w:trPr>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47,398</w:t>
            </w:r>
          </w:p>
        </w:tc>
        <w:tc>
          <w:tcPr>
            <w:tcW w:w="3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34,568</w:t>
            </w:r>
          </w:p>
        </w:tc>
      </w:tr>
      <w:tr>
        <w:trPr>
          <w:trHeight w:val="210"/>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3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210,474</w:t>
            </w:r>
          </w:p>
        </w:tc>
        <w:tc>
          <w:tcPr>
            <w:tcW w:w="3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229,401</w:t>
            </w:r>
          </w:p>
        </w:tc>
      </w:tr>
      <w:tr>
        <w:trPr>
          <w:trHeight w:val="20"/>
        </w:trPr>
        <w:tc>
          <w:tcPr>
            <w:tcW w:w="5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460" w:hanging="458"/>
        <w:spacing w:after="0"/>
        <w:tabs>
          <w:tab w:leader="none" w:pos="4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the convertible notes are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Interest Rates</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0" w:type="dxa"/>
            <w:vAlign w:val="bottom"/>
          </w:tcPr>
          <w:p>
            <w:pPr>
              <w:spacing w:after="0"/>
              <w:rPr>
                <w:sz w:val="1"/>
                <w:szCs w:val="1"/>
                <w:color w:val="auto"/>
              </w:rPr>
            </w:pPr>
          </w:p>
        </w:tc>
      </w:tr>
      <w:tr>
        <w:trPr>
          <w:trHeight w:val="117"/>
        </w:trPr>
        <w:tc>
          <w:tcPr>
            <w:tcW w:w="5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Debt</w:t>
            </w:r>
          </w:p>
        </w:tc>
        <w:tc>
          <w:tcPr>
            <w:tcW w:w="1120" w:type="dxa"/>
            <w:vAlign w:val="bottom"/>
            <w:gridSpan w:val="2"/>
            <w:vMerge w:val="continue"/>
          </w:tcPr>
          <w:p>
            <w:pPr>
              <w:spacing w:after="0"/>
              <w:rPr>
                <w:sz w:val="10"/>
                <w:szCs w:val="10"/>
                <w:color w:val="auto"/>
              </w:rPr>
            </w:pP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Maturities</w:t>
            </w:r>
          </w:p>
        </w:tc>
        <w:tc>
          <w:tcPr>
            <w:tcW w:w="860" w:type="dxa"/>
            <w:vAlign w:val="bottom"/>
            <w:tcBorders>
              <w:top w:val="single" w:sz="8" w:color="auto"/>
            </w:tcBorders>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86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380" w:type="dxa"/>
            <w:vAlign w:val="bottom"/>
            <w:gridSpan w:val="2"/>
            <w:vMerge w:val="continue"/>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800" w:type="dxa"/>
            <w:vAlign w:val="bottom"/>
            <w:gridSpan w:val="2"/>
            <w:vMerge w:val="continue"/>
          </w:tcPr>
          <w:p>
            <w:pPr>
              <w:spacing w:after="0"/>
              <w:rPr>
                <w:sz w:val="15"/>
                <w:szCs w:val="15"/>
                <w:color w:val="auto"/>
              </w:rPr>
            </w:pPr>
          </w:p>
        </w:tc>
        <w:tc>
          <w:tcPr>
            <w:tcW w:w="720" w:type="dxa"/>
            <w:vAlign w:val="bottom"/>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1.25% Convertible Senior Notes due 2020</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$ 17,862</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current portion</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$ 17,862</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carrying amount and fair value of our convertible notes are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5"/>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3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80" w:type="dxa"/>
            <w:vAlign w:val="bottom"/>
            <w:gridSpan w:val="3"/>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9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80" w:type="dxa"/>
            <w:vAlign w:val="bottom"/>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20" w:type="dxa"/>
            <w:vAlign w:val="bottom"/>
          </w:tcPr>
          <w:p>
            <w:pPr>
              <w:spacing w:after="0"/>
              <w:rPr>
                <w:sz w:val="10"/>
                <w:szCs w:val="10"/>
                <w:color w:val="auto"/>
              </w:rPr>
            </w:pPr>
          </w:p>
        </w:tc>
        <w:tc>
          <w:tcPr>
            <w:tcW w:w="8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4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1.25% Convertible Senior Notes due 2020</w:t>
            </w:r>
          </w:p>
        </w:tc>
        <w:tc>
          <w:tcPr>
            <w:tcW w:w="1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17,434</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17,862</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31,695</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the 1.25% Convertible Senior Notes due November 15, 2020 (the “2020 Notes”) is based on data from readily available pricing sources which utilize market observable inputs and other characteristics for similar types of instruments, and, therefore, is classified within Level 2 in the fair value hierarchy.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Prior to May 14, 2014, the 2020 Notes were not convertible except in connection with a make-whole fundamental change, as defined in the indenture. Beginning on, and including, May 15, 2014, the 2020 Notes are convertible prior to the close of business on the business day immediately preceding May 15, 2020 only under the following circumstances: (i) during any calendar quarter commencing after the calendar quarter ending on March 31, 2014 (and only during such</w:t>
      </w:r>
    </w:p>
    <w:p>
      <w:pPr>
        <w:sectPr>
          <w:pgSz w:w="11900" w:h="16838" w:orient="portrait"/>
          <w:cols w:equalWidth="0" w:num="1">
            <w:col w:w="9060"/>
          </w:cols>
          <w:pgMar w:left="1420" w:top="513" w:right="141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calendar quarter), if the last reported sale price of our common stock for at least 20 trading days (whether or not consecutive) during a period of 30 consecutive trading days ending on the last trading day of the immediately preceding calendar quarter is greater than or equal to 130% of the conversion price for the 2020 Notes on each applicable trading day; (ii) during the five business day period after any five consecutive trading day period (the “measurement period”) in which the trading price per $1,000 principal amount of the 2020 Notes for each trading day of the measurement period was less than 98% of the product of the last reported sale price of our common stock and the conversion rate for the 2020 Notes on each such trading day; or</w:t>
      </w:r>
    </w:p>
    <w:p>
      <w:pPr>
        <w:jc w:val="both"/>
        <w:ind w:firstLine="2"/>
        <w:spacing w:after="0" w:line="254" w:lineRule="auto"/>
        <w:tabs>
          <w:tab w:leader="none" w:pos="32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 On or after May 15, 2020 until the close of business on the second scheduled trading day immediately preceding the relevant maturity date, the 2020 Notes are convertible at any time, regardless of the foregoing circumstances. Upon conversion we will pay or deliver, as the case may be, cash, shares of common stock or a combination of cash and shares of common stock, at our election.</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July 1, 2019, the 2020 Notes became convertible through at least September 30, 2019, based on meeting the conversion criteria related to the sale price of our common stock during the calendar quarter ended June 30, 2019 as described in (i) above. The 2020 Notes are reflected in long term liabilities on the condensed consolidated balance sheet as of June 30, 2019 as management’s intent is to settle any conversions of the 2020 Notes during this period in shares of our common stock.</w:t>
      </w:r>
    </w:p>
    <w:p>
      <w:pPr>
        <w:spacing w:after="0" w:line="180" w:lineRule="exact"/>
        <w:rPr>
          <w:sz w:val="20"/>
          <w:szCs w:val="20"/>
          <w:color w:val="auto"/>
        </w:rPr>
      </w:pPr>
    </w:p>
    <w:p>
      <w:pPr>
        <w:ind w:left="460" w:hanging="458"/>
        <w:spacing w:after="0"/>
        <w:tabs>
          <w:tab w:leader="none" w:pos="4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Contribution Plans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 defined contribution plan qualified under Section 401(k) of the Internal Revenue Code covering all U.S. employees and defined contribution plans for other Incyte employees in Europe. Employees may contribute a portion of their compensation, which is then matched by us, subject to certain limitations. Defined contribution expense for the three and six months ended June 30, 2019 was $3.1 million and $6.0 million, respectively. Defined contribution expense for the three and six months ended June 30, 2018 was $2.8 million and $5.5 million,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Benefit Pension Plans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defined benefit pension plans for our employees in Europe which provide benefits to employees upon retirement, death or disability. The assets of the pension plans are held in collective investment accounts represented by the cash surrender value of an insurance policy and are classified as Level 2 within the fair value hierarchy.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net periodic benefit cost was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80" w:type="dxa"/>
            <w:vAlign w:val="bottom"/>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4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r>
      <w:tr>
        <w:trPr>
          <w:trHeight w:val="21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12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actuarial losses</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CEEFF"/>
          </w:tcPr>
          <w:p>
            <w:pPr>
              <w:spacing w:after="0"/>
              <w:rPr>
                <w:sz w:val="18"/>
                <w:szCs w:val="18"/>
                <w:color w:val="auto"/>
              </w:rPr>
            </w:pPr>
          </w:p>
        </w:tc>
      </w:tr>
      <w:tr>
        <w:trPr>
          <w:trHeight w:val="210"/>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20" w:type="dxa"/>
            <w:vAlign w:val="bottom"/>
          </w:tcPr>
          <w:p>
            <w:pPr>
              <w:spacing w:after="0"/>
              <w:rPr>
                <w:sz w:val="18"/>
                <w:szCs w:val="18"/>
                <w:color w:val="auto"/>
              </w:rPr>
            </w:pPr>
          </w:p>
        </w:tc>
      </w:tr>
      <w:tr>
        <w:trPr>
          <w:trHeight w:val="20"/>
        </w:trPr>
        <w:tc>
          <w:tcPr>
            <w:tcW w:w="4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components of net periodic benefit cost other than the service cost component are included in other income (expense), net on the condensed consolidated statements of operations. We expect to contribute a total of $3.5 million to the pension plans in 2019 inclusive of the amounts contributed to the plan during the current period. As of June 30, 2019 and December 31, 2018, $16.2 million and $15.7 million, respectively, of accrued pension obligation is recorded in other long term liabilities on the condensed consolidated balance sheets.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60" w:hanging="458"/>
        <w:spacing w:after="0"/>
        <w:tabs>
          <w:tab w:leader="none" w:pos="4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three and six months ended June 30, 2019, we recorded income tax expense of approximately $3.4 million and $5.1 million, respectively. For the three and six months ended June 30, 2018, we recorded income tax expense of approximately $1.6 million and $2.4 million, respectively. The change in tax expense for the three and six months ended June 30, 2019 was primarily driven by the difference in projected annual operating income or loss compared to our actual results as well as the recognition of certain discrete items in the current period.</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June 30, 2019, a full valuation allowance continues to be recorded against our U.S. and Swiss net deferred tax assets. This position is based on an analysis of positive and negative evidence, including analyzing three-year cumulative pre-tax income or loss, projections of future taxable income as well as other quantitative and qualitative information.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balance of our unrecognized tax benefits (including penalties and interest) increased by approximately $0.9 million during the six months ended June 30, 2019, of which only $0.2 million was recorded as an increase to noncurrent other liabilities on the condensed consolidated balance sheet. The increase is primarily driven by unrecognized tax benefits related to current year operations and research and development tax credits.</w:t>
      </w:r>
    </w:p>
    <w:p>
      <w:pPr>
        <w:spacing w:after="0" w:line="17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15.</w:t>
        <w:tab/>
        <w:t>Net income per share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income per share was calculated as follows for the periods indicated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4"/>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4"/>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2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auto"/>
            </w:tcBorders>
            <w:gridSpan w:val="4"/>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0"/>
        </w:trPr>
        <w:tc>
          <w:tcPr>
            <w:tcW w:w="120" w:type="dxa"/>
            <w:vAlign w:val="bottom"/>
            <w:tcBorders>
              <w:bottom w:val="single" w:sz="8" w:color="CCEEFF"/>
            </w:tcBorders>
            <w:shd w:val="clear" w:color="auto" w:fill="CCEEFF"/>
          </w:tcPr>
          <w:p>
            <w:pPr>
              <w:spacing w:after="0"/>
              <w:rPr>
                <w:sz w:val="16"/>
                <w:szCs w:val="16"/>
                <w:color w:val="auto"/>
              </w:rPr>
            </w:pPr>
          </w:p>
        </w:tc>
        <w:tc>
          <w:tcPr>
            <w:tcW w:w="2140" w:type="dxa"/>
            <w:vAlign w:val="bottom"/>
            <w:tcBorders>
              <w:bottom w:val="single" w:sz="8" w:color="auto"/>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w w:val="98"/>
              </w:rPr>
              <w:t>Basic Net Income Per Share</w:t>
            </w:r>
          </w:p>
        </w:tc>
        <w:tc>
          <w:tcPr>
            <w:tcW w:w="3020" w:type="dxa"/>
            <w:vAlign w:val="bottom"/>
            <w:tcBorders>
              <w:bottom w:val="single" w:sz="8" w:color="CCEEFF"/>
            </w:tcBorders>
            <w:gridSpan w:val="2"/>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Basic net income</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105,318</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52,394</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207,630</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11,254</w:t>
            </w: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211,945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0" w:type="dxa"/>
            <w:vAlign w:val="bottom"/>
            <w:tcBorders>
              <w:bottom w:val="single" w:sz="8" w:color="CCEEFF"/>
            </w:tcBorders>
            <w:shd w:val="clear" w:color="auto" w:fill="CCEEFF"/>
          </w:tcPr>
          <w:p>
            <w:pPr>
              <w:spacing w:after="0"/>
              <w:rPr>
                <w:sz w:val="17"/>
                <w:szCs w:val="17"/>
                <w:color w:val="auto"/>
              </w:rPr>
            </w:pPr>
          </w:p>
        </w:tc>
        <w:tc>
          <w:tcPr>
            <w:tcW w:w="230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Diluted Net Income Per Share</w:t>
            </w:r>
          </w:p>
        </w:tc>
        <w:tc>
          <w:tcPr>
            <w:tcW w:w="28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Diluted net income</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105,318</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52,394</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207,630</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11,254</w:t>
            </w: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211,945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stock options and awards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used to compute diluted net income per share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217,483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215,103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215,294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potential common shares were excluded from the calculations as their effect would be anti-dilutive: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240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2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4240" w:type="dxa"/>
            <w:vAlign w:val="bottom"/>
          </w:tcPr>
          <w:p>
            <w:pPr>
              <w:spacing w:after="0"/>
              <w:rPr>
                <w:sz w:val="15"/>
                <w:szCs w:val="15"/>
                <w:color w:val="auto"/>
              </w:rPr>
            </w:pPr>
          </w:p>
        </w:tc>
        <w:tc>
          <w:tcPr>
            <w:tcW w:w="1420" w:type="dxa"/>
            <w:vAlign w:val="bottom"/>
            <w:tcBorders>
              <w:bottom w:val="single" w:sz="8" w:color="auto"/>
            </w:tcBorders>
            <w:gridSpan w:val="3"/>
          </w:tcPr>
          <w:p>
            <w:pPr>
              <w:jc w:val="center"/>
              <w:ind w:left="71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Borders>
              <w:bottom w:val="single" w:sz="8" w:color="auto"/>
            </w:tcBorders>
            <w:gridSpan w:val="3"/>
          </w:tcPr>
          <w:p>
            <w:pPr>
              <w:jc w:val="center"/>
              <w:ind w:left="73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4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29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29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stock options and awards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9,165,776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8,079,446</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9,221,941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6,732,551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shares issuable upon conversion of the 2018</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Notes</w:t>
            </w:r>
          </w:p>
        </w:tc>
        <w:tc>
          <w:tcPr>
            <w:tcW w:w="14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148,817</w:t>
            </w:r>
          </w:p>
        </w:tc>
        <w:tc>
          <w:tcPr>
            <w:tcW w:w="160" w:type="dxa"/>
            <w:vAlign w:val="bottom"/>
          </w:tcPr>
          <w:p>
            <w:pPr>
              <w:spacing w:after="0"/>
              <w:rPr>
                <w:sz w:val="20"/>
                <w:szCs w:val="20"/>
                <w:color w:val="auto"/>
              </w:rPr>
            </w:pPr>
          </w:p>
        </w:tc>
        <w:tc>
          <w:tcPr>
            <w:tcW w:w="14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148,817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shares issuable upon conversion of the 2020</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368,939</w:t>
            </w:r>
          </w:p>
        </w:tc>
        <w:tc>
          <w:tcPr>
            <w:tcW w:w="16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368,939</w:t>
            </w:r>
          </w:p>
        </w:tc>
        <w:tc>
          <w:tcPr>
            <w:tcW w:w="160" w:type="dxa"/>
            <w:vAlign w:val="bottom"/>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368,939</w:t>
            </w:r>
          </w:p>
        </w:tc>
        <w:tc>
          <w:tcPr>
            <w:tcW w:w="16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368,939</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24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Total potential common shares excluded from diluted</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9,534,715</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8,597,202</w:t>
            </w: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9,590,880</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7,250,307</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 computation</w:t>
            </w:r>
          </w:p>
        </w:tc>
        <w:tc>
          <w:tcPr>
            <w:tcW w:w="104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60"/>
          </w:cols>
          <w:pgMar w:left="1420" w:top="513" w:right="1419"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16.</w:t>
        <w:tab/>
        <w:t>Contingencies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December 2018, we received a civil investigative demand from the U.S. Department of Justice for documents and information relating to our speaker programs and patient assistance programs, including our support of non-profit organizations that provide financial assistance to eligible patients. We are cooperating with this inquiry. Given that the investigation is still ongoing and that we have not yet been made aware of the substance of any civil claims, we cannot predict the outcome of the investigation, the timing of the ultimate resolution of this matter, or reasonably estimate the possible range of loss, if any, that may result from this matter. Accordingly, no reserve has been made with respect to this matter as of June 30, 2019.</w:t>
      </w:r>
    </w:p>
    <w:p>
      <w:pPr>
        <w:spacing w:after="0" w:line="14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17.</w:t>
        <w:tab/>
        <w:t>Subsequent event</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July 2019, we entered into a collaboration and license agreement with Zai Lab (Shanghai) Co., Ltd., a subsidiary of Zai Lab Limited (collectively, “Zai Lab”). Under the terms of this agreement, Zai Lab received development and exclusive commercialization rights to INCMGA0012 in hematology and oncology in mainland China, Hong Kong, Macau and Taiwan. We expect to recognize an upfront payment under this agreement of $17.5 million during the third quarter of 2019, and are eligible to receive an additional $60.0 million in potential development, regulatory and commercial milestones, as well as tiered royalties from the low to mid-twenties. We also retain an option to assist in the promotion of INCMGA0012 in Zai Lab’s licensed territories.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as of and for the three and six months ended June 30, 2019 should be read in conjunction with the unaudited condensed consolidated financial statements and notes to those statements included elsewhere in this Quarterly Report on Form 10-Q and our audited consolidated financial statements as of and for the year ended December 31, 2018 included in our Annual Report on Form 10-K for the year ended December 31, 2018 previously filed with the SEC.</w:t>
      </w:r>
    </w:p>
    <w:p>
      <w:pPr>
        <w:spacing w:after="0" w:line="18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This report contains forward-looking statements that involve risks and uncertainties. These statements relate to future periods, future events or our future operating or financial plans or performance. Often, these statements include the words “believe,” “expect,” “target,” “anticipate,” “intend,” “plan,” “seek,” “estimate,” “potential,” or words of similar meaning, or future or conditional verbs such as “will,” “would,” “should,” “could,” “might,” or “may,” or the negative of these terms, and other similar expressions. These forward-looking statements include statements as to:</w:t>
      </w:r>
    </w:p>
    <w:p>
      <w:pPr>
        <w:spacing w:after="0" w:line="166" w:lineRule="exact"/>
        <w:rPr>
          <w:sz w:val="20"/>
          <w:szCs w:val="20"/>
          <w:color w:val="auto"/>
        </w:rPr>
      </w:pPr>
    </w:p>
    <w:p>
      <w:pPr>
        <w:ind w:left="1000" w:hanging="323"/>
        <w:spacing w:after="0" w:line="238"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discovery, development, formulation, manufacturing and commercialization of our compounds, our drug candidates and JAKAFI</w:t>
      </w:r>
      <w:r>
        <w:rPr>
          <w:rFonts w:ascii="Times New Roman" w:cs="Times New Roman" w:eastAsia="Times New Roman" w:hAnsi="Times New Roman"/>
          <w:sz w:val="36"/>
          <w:szCs w:val="36"/>
          <w:color w:val="auto"/>
          <w:vertAlign w:val="superscript"/>
        </w:rPr>
        <w:t>®</w:t>
      </w:r>
      <w:r>
        <w:rPr>
          <w:rFonts w:ascii="Times New Roman" w:cs="Times New Roman" w:eastAsia="Times New Roman" w:hAnsi="Times New Roman"/>
          <w:sz w:val="18"/>
          <w:szCs w:val="18"/>
          <w:i w:val="1"/>
          <w:iCs w:val="1"/>
          <w:color w:val="auto"/>
        </w:rPr>
        <w:t>/JAKAVI</w:t>
      </w:r>
      <w:r>
        <w:rPr>
          <w:rFonts w:ascii="Times New Roman" w:cs="Times New Roman" w:eastAsia="Times New Roman" w:hAnsi="Times New Roman"/>
          <w:sz w:val="36"/>
          <w:szCs w:val="36"/>
          <w:color w:val="auto"/>
          <w:vertAlign w:val="superscript"/>
        </w:rPr>
        <w:t>®</w:t>
      </w:r>
      <w:r>
        <w:rPr>
          <w:rFonts w:ascii="Times New Roman" w:cs="Times New Roman" w:eastAsia="Times New Roman" w:hAnsi="Times New Roman"/>
          <w:sz w:val="18"/>
          <w:szCs w:val="18"/>
          <w:i w:val="1"/>
          <w:iCs w:val="1"/>
          <w:color w:val="auto"/>
        </w:rPr>
        <w:t xml:space="preserve"> (ruxolitinib) and ICLUSIG</w:t>
      </w:r>
      <w:r>
        <w:rPr>
          <w:rFonts w:ascii="Times New Roman" w:cs="Times New Roman" w:eastAsia="Times New Roman" w:hAnsi="Times New Roman"/>
          <w:sz w:val="36"/>
          <w:szCs w:val="36"/>
          <w:color w:val="auto"/>
          <w:vertAlign w:val="superscript"/>
        </w:rPr>
        <w:t>®</w:t>
      </w:r>
      <w:r>
        <w:rPr>
          <w:rFonts w:ascii="Times New Roman" w:cs="Times New Roman" w:eastAsia="Times New Roman" w:hAnsi="Times New Roman"/>
          <w:sz w:val="18"/>
          <w:szCs w:val="18"/>
          <w:i w:val="1"/>
          <w:iCs w:val="1"/>
          <w:color w:val="auto"/>
        </w:rPr>
        <w:t xml:space="preserve"> (ponatinib);</w:t>
      </w:r>
    </w:p>
    <w:p>
      <w:pPr>
        <w:ind w:left="1000" w:hanging="323"/>
        <w:spacing w:after="0" w:line="22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expected benefits from our acquisition of ARIAD Pharmaceuticals (Luxembourg) S.à.r.l. and our plans to further develop our European operations;</w:t>
      </w:r>
    </w:p>
    <w:p>
      <w:pPr>
        <w:spacing w:after="0" w:line="128"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conducting clinical trials internally, with collaborators, or with clinical research organizations;</w:t>
      </w:r>
    </w:p>
    <w:p>
      <w:pPr>
        <w:spacing w:after="0" w:line="225" w:lineRule="exact"/>
        <w:rPr>
          <w:rFonts w:ascii="Times New Roman" w:cs="Times New Roman" w:eastAsia="Times New Roman" w:hAnsi="Times New Roman"/>
          <w:sz w:val="18"/>
          <w:szCs w:val="18"/>
          <w:color w:val="auto"/>
        </w:rPr>
      </w:pPr>
    </w:p>
    <w:p>
      <w:pPr>
        <w:ind w:left="1000" w:hanging="323"/>
        <w:spacing w:after="0" w:line="284"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collaboration and strategic relationship strategy; anticipated benefits and disadvantages of entering into collaboration agreements;</w:t>
      </w:r>
    </w:p>
    <w:p>
      <w:pPr>
        <w:spacing w:after="0" w:line="158"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licensing, investment and commercialization strategies, including our plans to commercialize JAKAFI and</w:t>
      </w:r>
    </w:p>
    <w:p>
      <w:pPr>
        <w:spacing w:after="0" w:line="29"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ICLUSIG;</w:t>
      </w:r>
    </w:p>
    <w:p>
      <w:pPr>
        <w:spacing w:after="0" w:line="204" w:lineRule="exact"/>
        <w:rPr>
          <w:rFonts w:ascii="Times New Roman" w:cs="Times New Roman" w:eastAsia="Times New Roman" w:hAnsi="Times New Roman"/>
          <w:sz w:val="18"/>
          <w:szCs w:val="18"/>
          <w:color w:val="auto"/>
        </w:rPr>
      </w:pPr>
    </w:p>
    <w:p>
      <w:pPr>
        <w:ind w:left="1000" w:hanging="323"/>
        <w:spacing w:after="0" w:line="284"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regulatory approval process, including obtaining U.S. Food and Drug Administration and other international health authorities approval for our products in the United States and abroad;</w:t>
      </w:r>
    </w:p>
    <w:p>
      <w:pPr>
        <w:spacing w:after="0" w:line="158" w:lineRule="exact"/>
        <w:rPr>
          <w:rFonts w:ascii="Times New Roman" w:cs="Times New Roman" w:eastAsia="Times New Roman" w:hAnsi="Times New Roman"/>
          <w:sz w:val="18"/>
          <w:szCs w:val="18"/>
          <w:color w:val="auto"/>
        </w:rPr>
      </w:pPr>
    </w:p>
    <w:p>
      <w:pPr>
        <w:ind w:left="1000" w:hanging="323"/>
        <w:spacing w:after="0" w:line="284"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safety, effectiveness and potential benefits and indications of our drug candidates and other compounds under development;</w:t>
      </w:r>
    </w:p>
    <w:p>
      <w:pPr>
        <w:spacing w:after="0" w:line="158" w:lineRule="exact"/>
        <w:rPr>
          <w:rFonts w:ascii="Times New Roman" w:cs="Times New Roman" w:eastAsia="Times New Roman" w:hAnsi="Times New Roman"/>
          <w:sz w:val="18"/>
          <w:szCs w:val="18"/>
          <w:color w:val="auto"/>
        </w:rPr>
      </w:pPr>
    </w:p>
    <w:p>
      <w:pPr>
        <w:ind w:left="1000" w:hanging="323"/>
        <w:spacing w:after="0" w:line="284"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timing and size of our clinical trials; the compounds expected to enter clinical trials; timing of clinical trial results;</w:t>
      </w:r>
    </w:p>
    <w:p>
      <w:pPr>
        <w:spacing w:after="0" w:line="158"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manage expansion of our drug discovery and development operations;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future required expertise relating to clinical trials, manufacturing, sales and marketing;</w:t>
      </w:r>
    </w:p>
    <w:p>
      <w:pPr>
        <w:spacing w:after="0" w:line="225" w:lineRule="exact"/>
        <w:rPr>
          <w:rFonts w:ascii="Times New Roman" w:cs="Times New Roman" w:eastAsia="Times New Roman" w:hAnsi="Times New Roman"/>
          <w:sz w:val="18"/>
          <w:szCs w:val="18"/>
          <w:color w:val="auto"/>
        </w:rPr>
      </w:pPr>
    </w:p>
    <w:p>
      <w:pPr>
        <w:ind w:left="1000" w:hanging="323"/>
        <w:spacing w:after="0" w:line="284"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obtaining and terminating licenses to products, drug candidates or technology, or other intellectual property rights;</w:t>
      </w:r>
    </w:p>
    <w:p>
      <w:pPr>
        <w:spacing w:after="0" w:line="158" w:lineRule="exact"/>
        <w:rPr>
          <w:rFonts w:ascii="Times New Roman" w:cs="Times New Roman" w:eastAsia="Times New Roman" w:hAnsi="Times New Roman"/>
          <w:sz w:val="18"/>
          <w:szCs w:val="18"/>
          <w:color w:val="auto"/>
        </w:rPr>
      </w:pPr>
    </w:p>
    <w:p>
      <w:pPr>
        <w:ind w:left="1000" w:hanging="323"/>
        <w:spacing w:after="0" w:line="284"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receipt from or payments pursuant to collaboration or license agreements resulting from milestones or royalties;</w:t>
      </w:r>
    </w:p>
    <w:p>
      <w:pPr>
        <w:spacing w:after="0" w:line="158"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plans to develop and commercialize products on our own;</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plans to use third-party manufacturers;</w:t>
      </w:r>
    </w:p>
    <w:p>
      <w:pPr>
        <w:spacing w:after="0" w:line="211" w:lineRule="exact"/>
        <w:rPr>
          <w:rFonts w:ascii="Times New Roman" w:cs="Times New Roman" w:eastAsia="Times New Roman" w:hAnsi="Times New Roman"/>
          <w:sz w:val="18"/>
          <w:szCs w:val="18"/>
          <w:color w:val="auto"/>
        </w:rPr>
      </w:pPr>
    </w:p>
    <w:p>
      <w:pPr>
        <w:ind w:left="1000" w:hanging="323"/>
        <w:spacing w:after="0" w:line="238"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expenses and expenditure levels; expected uses of cash; expected revenues and sources of revenues, including milestone payments; expectations with respect to inventory;</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000" w:hanging="32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expectations with respect to reimbursement for our products;</w:t>
      </w:r>
    </w:p>
    <w:p>
      <w:pPr>
        <w:spacing w:after="0" w:line="184"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expected impact of recent accounting pronouncements and changes in U.S. tax laws;</w:t>
      </w:r>
    </w:p>
    <w:p>
      <w:pPr>
        <w:spacing w:after="0" w:line="157"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losses; fluctuation of losses; currency translation impact associated with collaboration royalties;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profitability; the adequacy of our capital resources to continue operations;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need to raise additional capital;</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costs associated with resolving matters in litigation;</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expectations regarding competition;</w:t>
      </w:r>
    </w:p>
    <w:p>
      <w:pPr>
        <w:spacing w:after="0" w:line="225" w:lineRule="exact"/>
        <w:rPr>
          <w:rFonts w:ascii="Times New Roman" w:cs="Times New Roman" w:eastAsia="Times New Roman" w:hAnsi="Times New Roman"/>
          <w:sz w:val="18"/>
          <w:szCs w:val="18"/>
          <w:color w:val="auto"/>
        </w:rPr>
      </w:pPr>
    </w:p>
    <w:p>
      <w:pPr>
        <w:jc w:val="both"/>
        <w:ind w:left="1000" w:hanging="323"/>
        <w:spacing w:after="0" w:line="267"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expectations relating to our new European headquarters, including the anticipated date we take possession of the building and construction activities and expected lease accounting effects, and the anticipated completion date for our large molecule production facility;</w:t>
      </w:r>
    </w:p>
    <w:p>
      <w:pPr>
        <w:spacing w:after="0" w:line="173"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investments, including anticipated expenditures, losses and expenses; and</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patent prosecution and maintenance efforts.</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These forward-looking statements reflect our current views with respect to future events, are based on assumptions and are subject to risks and uncertainties. These risks and uncertainties could cause actual results to differ materially from those projected and include, but are not limited to:</w:t>
      </w:r>
    </w:p>
    <w:p>
      <w:pPr>
        <w:spacing w:after="0" w:line="174" w:lineRule="exact"/>
        <w:rPr>
          <w:sz w:val="20"/>
          <w:szCs w:val="20"/>
          <w:color w:val="auto"/>
        </w:rPr>
      </w:pPr>
    </w:p>
    <w:p>
      <w:pPr>
        <w:ind w:left="1000" w:hanging="32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successfully commercialize JAKAFI and ICLUSIG;</w:t>
      </w:r>
    </w:p>
    <w:p>
      <w:pPr>
        <w:spacing w:after="0" w:line="211" w:lineRule="exact"/>
        <w:rPr>
          <w:rFonts w:ascii="Times New Roman" w:cs="Times New Roman" w:eastAsia="Times New Roman" w:hAnsi="Times New Roman"/>
          <w:sz w:val="18"/>
          <w:szCs w:val="18"/>
          <w:color w:val="auto"/>
        </w:rPr>
      </w:pPr>
    </w:p>
    <w:p>
      <w:pPr>
        <w:ind w:left="1000" w:hanging="323"/>
        <w:spacing w:after="0" w:line="238"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maintain at anticipated levels reimbursement for our products from government health administration authorities, private health insurers and other organizations;</w:t>
      </w:r>
    </w:p>
    <w:p>
      <w:pPr>
        <w:spacing w:after="0" w:line="116"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establish and maintain effective sales, marketing and distribution capabilities;</w:t>
      </w:r>
    </w:p>
    <w:p>
      <w:pPr>
        <w:spacing w:after="0" w:line="144" w:lineRule="exact"/>
        <w:rPr>
          <w:rFonts w:ascii="Times New Roman" w:cs="Times New Roman" w:eastAsia="Times New Roman" w:hAnsi="Times New Roman"/>
          <w:sz w:val="18"/>
          <w:szCs w:val="18"/>
          <w:color w:val="auto"/>
        </w:rPr>
      </w:pPr>
    </w:p>
    <w:p>
      <w:pPr>
        <w:ind w:left="1000" w:hanging="323"/>
        <w:spacing w:after="0" w:line="238"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of reliance on other parties to manufacture our products, which could result in a short supply of our products, increased costs, and withdrawal of regulatory approval;</w:t>
      </w:r>
    </w:p>
    <w:p>
      <w:pPr>
        <w:spacing w:after="0" w:line="116"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maintain regulatory approvals to market our products;</w:t>
      </w:r>
    </w:p>
    <w:p>
      <w:pPr>
        <w:spacing w:after="0" w:line="144"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achieve a significant market share in order to achieve or maintain profitability;</w:t>
      </w:r>
    </w:p>
    <w:p>
      <w:pPr>
        <w:spacing w:after="0" w:line="144" w:lineRule="exact"/>
        <w:rPr>
          <w:rFonts w:ascii="Times New Roman" w:cs="Times New Roman" w:eastAsia="Times New Roman" w:hAnsi="Times New Roman"/>
          <w:sz w:val="18"/>
          <w:szCs w:val="18"/>
          <w:color w:val="auto"/>
        </w:rPr>
      </w:pPr>
    </w:p>
    <w:p>
      <w:pPr>
        <w:ind w:left="1000" w:hanging="323"/>
        <w:spacing w:after="0" w:line="238"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of civil or criminal penalties if we market our products in a manner that violates health care fraud and abuse and other applicable laws, rules and regulations;</w:t>
      </w:r>
    </w:p>
    <w:p>
      <w:pPr>
        <w:spacing w:after="0" w:line="129"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discover, develop, formulate, manufacture and commercialize our drug candidates;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of unanticipated delays in, or discontinuations of, research and development efforts;</w:t>
      </w:r>
    </w:p>
    <w:p>
      <w:pPr>
        <w:spacing w:after="0" w:line="225" w:lineRule="exact"/>
        <w:rPr>
          <w:rFonts w:ascii="Times New Roman" w:cs="Times New Roman" w:eastAsia="Times New Roman" w:hAnsi="Times New Roman"/>
          <w:sz w:val="18"/>
          <w:szCs w:val="18"/>
          <w:color w:val="auto"/>
        </w:rPr>
      </w:pPr>
    </w:p>
    <w:p>
      <w:pPr>
        <w:ind w:left="1000" w:hanging="323"/>
        <w:spacing w:after="0" w:line="284"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that previous preclinical testing or clinical trial results are not necessarily indicative of future clinical trial results;</w:t>
      </w:r>
    </w:p>
    <w:p>
      <w:pPr>
        <w:spacing w:after="0" w:line="158"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the conduct of our clinical trials;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changing regulatory requirements;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of adverse safety findings;</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000" w:hanging="323"/>
        <w:spacing w:after="0" w:line="284"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that results of our clinical trials do not support submission of a marketing approval application for our drug candidates;</w:t>
      </w:r>
    </w:p>
    <w:p>
      <w:pPr>
        <w:spacing w:after="0" w:line="158"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of significant delays or costs in obtaining regulatory approvals;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our reliance on third-party manufacturers, collaborators, and clinical research organizations;</w:t>
      </w:r>
    </w:p>
    <w:p>
      <w:pPr>
        <w:spacing w:after="0" w:line="225" w:lineRule="exact"/>
        <w:rPr>
          <w:rFonts w:ascii="Times New Roman" w:cs="Times New Roman" w:eastAsia="Times New Roman" w:hAnsi="Times New Roman"/>
          <w:sz w:val="18"/>
          <w:szCs w:val="18"/>
          <w:color w:val="auto"/>
        </w:rPr>
      </w:pPr>
    </w:p>
    <w:p>
      <w:pPr>
        <w:ind w:left="1000" w:hanging="323"/>
        <w:spacing w:after="0" w:line="284"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the development of new products and their use by us and our current and potential collaborators;</w:t>
      </w:r>
    </w:p>
    <w:p>
      <w:pPr>
        <w:spacing w:after="0" w:line="158"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our inability to control the development of out-licensed compounds or drug candidates;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our collaborators’ ability to develop and commercialize drug candidates;</w:t>
      </w:r>
    </w:p>
    <w:p>
      <w:pPr>
        <w:spacing w:after="0" w:line="225" w:lineRule="exact"/>
        <w:rPr>
          <w:rFonts w:ascii="Times New Roman" w:cs="Times New Roman" w:eastAsia="Times New Roman" w:hAnsi="Times New Roman"/>
          <w:sz w:val="18"/>
          <w:szCs w:val="18"/>
          <w:color w:val="auto"/>
        </w:rPr>
      </w:pPr>
    </w:p>
    <w:p>
      <w:pPr>
        <w:ind w:left="1000" w:hanging="323"/>
        <w:spacing w:after="0" w:line="284"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costs associated with prosecuting, maintaining, defending and enforcing patent claims and other intellectual property rights;</w:t>
      </w:r>
    </w:p>
    <w:p>
      <w:pPr>
        <w:spacing w:after="0" w:line="158"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maintain or obtain adequate product liability and other insurance coverage;</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that our drug candidates may not obtain or maintain regulatory approval;</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technological advances and competition, including potential generic competition;</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compete against third parties with greater resources than ours;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changes in pricing and reimbursement in the markets in which we may compete;</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competition to develop and commercialize similar drug products;</w:t>
      </w:r>
    </w:p>
    <w:p>
      <w:pPr>
        <w:spacing w:after="0" w:line="225" w:lineRule="exact"/>
        <w:rPr>
          <w:rFonts w:ascii="Times New Roman" w:cs="Times New Roman" w:eastAsia="Times New Roman" w:hAnsi="Times New Roman"/>
          <w:sz w:val="18"/>
          <w:szCs w:val="18"/>
          <w:color w:val="auto"/>
        </w:rPr>
      </w:pPr>
    </w:p>
    <w:p>
      <w:pPr>
        <w:ind w:left="1000" w:hanging="323"/>
        <w:spacing w:after="0" w:line="284"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obtain and maintain patent protection and freedom to operate for our discoveries and to continue to be effective in expanding our patent coverage;</w:t>
      </w:r>
    </w:p>
    <w:p>
      <w:pPr>
        <w:spacing w:after="0" w:line="158"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changing laws on our patent portfolio;</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developments in and expenses relating to litigation;</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in-license drug candidates or other technology;</w:t>
      </w:r>
    </w:p>
    <w:p>
      <w:pPr>
        <w:spacing w:after="0" w:line="225" w:lineRule="exact"/>
        <w:rPr>
          <w:rFonts w:ascii="Times New Roman" w:cs="Times New Roman" w:eastAsia="Times New Roman" w:hAnsi="Times New Roman"/>
          <w:sz w:val="18"/>
          <w:szCs w:val="18"/>
          <w:color w:val="auto"/>
        </w:rPr>
      </w:pPr>
    </w:p>
    <w:p>
      <w:pPr>
        <w:ind w:left="1000" w:hanging="323"/>
        <w:spacing w:after="0" w:line="284"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unanticipated construction, other delays or changes in plans relating to our new European headquarters and large molecule production facility;</w:t>
      </w:r>
    </w:p>
    <w:p>
      <w:pPr>
        <w:spacing w:after="0" w:line="158"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integrate successfully acquired businesses, development programs or technology;</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obtain additional capital when needed;</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fluctuations in net cash provided and used by operating, financing and investing activities;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analyze the effects of new accounting pronouncements and apply new accounting rules;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history of operating losses; and</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000" w:hanging="32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risks set forth under “Risk Factors.”</w:t>
      </w:r>
    </w:p>
    <w:p>
      <w:pPr>
        <w:spacing w:after="0" w:line="225" w:lineRule="exact"/>
        <w:rPr>
          <w:sz w:val="20"/>
          <w:szCs w:val="20"/>
          <w:color w:val="auto"/>
        </w:rPr>
      </w:pPr>
    </w:p>
    <w:p>
      <w:pPr>
        <w:jc w:val="both"/>
        <w:ind w:firstLine="720"/>
        <w:spacing w:after="0" w:line="267" w:lineRule="auto"/>
        <w:rPr>
          <w:sz w:val="20"/>
          <w:szCs w:val="20"/>
          <w:color w:val="auto"/>
        </w:rPr>
      </w:pPr>
      <w:r>
        <w:rPr>
          <w:rFonts w:ascii="Times New Roman" w:cs="Times New Roman" w:eastAsia="Times New Roman" w:hAnsi="Times New Roman"/>
          <w:sz w:val="18"/>
          <w:szCs w:val="18"/>
          <w:i w:val="1"/>
          <w:iCs w:val="1"/>
          <w:color w:val="auto"/>
        </w:rPr>
        <w:t>Given these risks and uncertainties, you should not place undue reliance on these forward-looking statements. Except as required by federal securities laws, we undertake no obligation to update any forward-looking statements for any reason, even if new information becomes available or other events occur in the future.</w:t>
      </w:r>
    </w:p>
    <w:p>
      <w:pPr>
        <w:spacing w:after="0" w:line="17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In this report all references to “Incyte,” “we,” “us,” “our” or the “Company” mean Incyte Corporation and our subsidiaries, except where it is made clear that the term means only the parent company.</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Incyte and JAKAFI are our registered trademarks. We also refer to trademarks of other corporations and organizations in this Quarterly Report on Form 10-Q.</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Incyte is a biopharmaceutical company focused on the discovery, development and commercialization of proprietary therapeutics. Our global headquarters is located in Wilmington, Delaware. We conduct our European clinical development operations from our offices in Geneva, Switzerland, and Lausanne, Switzerland; our Japanese office is in Tokyo.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Marketed Indications - JAKAFI (ruxolitinib)</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JAKAFI (ruxolitinib) is our first product to be approved for sale in the United States. It was approved by the U.S. Food and Drug Administration (FDA) in November 2011 for the treatment of adults with intermediate or high-risk myelofibrosis, in December 2014 for the treatment of adults with polycythemia vera who have had an inadequate response to or are intolerant of hydroxyurea and in May 2019 for the treatment of steroid-refractory acute graft-versus-host disease (GVHD) in adult and pediatric patients 12 years and older. Myelofibrosis and polycythemia vera are both rare blood cancers, and GVHD is an adverse immune response to an allogeneic hematopoietic stem cell transplant (HSCT). Under our collaboration agreement with Novartis International Pharmaceutical Ltd., Novartis received exclusive development and commercialization rights to ruxolitinib outside of the United States for all hematologic and oncologic indications and sells ruxolitinib outside of the United States under the name JAKAVI.</w:t>
      </w:r>
    </w:p>
    <w:p>
      <w:pPr>
        <w:spacing w:after="0" w:line="189"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18"/>
          <w:szCs w:val="18"/>
          <w:color w:val="auto"/>
        </w:rPr>
        <w:t>In 2003, we initiated a research and development program to explore the inhibition of enzymes called janus associated kinases (JAK). The JAK family is composed of four tyrosine kinases—JAK1, JAK2, JAK3 and Tyk2—that are involved in the signaling of a number of cytokines and growth factors. JAKs are central to a number of biologic processes, including the formation and development of blood cells and the regulation of immune functions. Dysregulation of the JAK-STAT signaling pathway has been associated with a number of diseases, including myeloproliferative neoplasms, other hematological malignancies, rheumatoid arthritis and other chronic inflammatory diseases. Myeloproliferative neoplasms are a closely related group of blood diseases in which blood cells, specifically platelets, white blood cells, and red blood cells, grow or act abnormally. These diseases include myelofibrosis (MF), polycythemia vera (PV) and essential thrombocythemia (ET).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discovered multiple potent, selective and orally bioavailable JAK inhibitors that are selective for JAK1 or JAK1 and JAK2. JAKAFI is the most advanced compound in our JAK program. It is an oral JAK1 and JAK2 inhibitor.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JAKAFI is marketed in the United States through our own specialty sales force and commercial team. JAKAFI was the first FDA-approved JAK inhibitor for any indication and was the first and remains the only product approved by the FDA for use in MF, PV and steroid-refractory acute GVHD. The FDA has granted JAKAFI orphan drug status for MF, PV, ET, acute lymphoblastic leukemia (ALL) and GVHD.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help ensure that all eligible patients have access to JAKAFI, we have established a patient assistance program called IncyteCARES (CARES stands for Connecting to Access, Reimbursement, Education and Support). IncyteCARES helps ensure that any patient with intermediate or high-risk MF, uncontrolled PV or steroid-refractory acute GVHD who meets certain eligibility criteria and is prescribed JAKAFI has access to the product regardless of ability to pay and has access to ongoing support and educational resources during treatment.</w:t>
      </w:r>
    </w:p>
    <w:p>
      <w:pPr>
        <w:sectPr>
          <w:pgSz w:w="11900" w:h="16838" w:orient="portrait"/>
          <w:cols w:equalWidth="0" w:num="1">
            <w:col w:w="9060"/>
          </w:cols>
          <w:pgMar w:left="1420" w:top="513" w:right="141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93"/>
        <w:spacing w:after="0" w:line="266" w:lineRule="auto"/>
        <w:rPr>
          <w:sz w:val="20"/>
          <w:szCs w:val="20"/>
          <w:color w:val="auto"/>
        </w:rPr>
      </w:pPr>
      <w:r>
        <w:rPr>
          <w:rFonts w:ascii="Times New Roman" w:cs="Times New Roman" w:eastAsia="Times New Roman" w:hAnsi="Times New Roman"/>
          <w:sz w:val="18"/>
          <w:szCs w:val="18"/>
          <w:color w:val="auto"/>
        </w:rPr>
        <w:t>JAKAFI is distributed primarily through a network of specialty pharmacy providers and wholesalers that allow for efficient delivery of the medication by mail directly to patients or direct delivery to the patient’s pharmacy. Our distribution process uses a model that is well-established and familiar to physicians who practice within the oncology field.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further support appropriate use and future development of JAKAFI, our U.S. Medical Affairs department is responsible for providing appropriate scientific and medical education and information to physicians, preparing scientific presentations and publications, and overseeing the process for supporting investigator sponsored trials.</w:t>
      </w:r>
    </w:p>
    <w:p>
      <w:pPr>
        <w:spacing w:after="0" w:line="17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Myelofibrosis. </w:t>
      </w:r>
      <w:r>
        <w:rPr>
          <w:rFonts w:ascii="Times New Roman" w:cs="Times New Roman" w:eastAsia="Times New Roman" w:hAnsi="Times New Roman"/>
          <w:sz w:val="18"/>
          <w:szCs w:val="18"/>
          <w:color w:val="auto"/>
        </w:rPr>
        <w:t>Myelofibrosis is a rare, life-threatening condition. MF, considered the most serious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myeloproliferative neoplasms, can occur either as primary MF, or as secondary MF that develops in some patients who previously had polycythemia vera or essential thrombocythemia. We estimate there are between 16,000 and 18,500 patients with MF in the United States. Based on the modern prognostic scoring systems referred to as International Prognostic Scoring System and Dynamic International Prognostic Scoring System, we believe intermediate and high-risk patients represent 80% to 90% of all patients with MF in the United States and encompass patients over the age of 65, or patients who have or have ever had any of the following: anemia, constitutional symptoms, elevated white blood cell or blast counts, or platelet counts less than 100,000 per microliter of blood.</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Most MF patients have enlarged spleens and many suffer from debilitating symptoms, including abdominal discomfort, pruritus (itching), night sweats and cachexia (involuntary weight loss). There were no FDA approved therapies for MF until the approval of JAKAFI.</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FDA approval was based on results from two randomized Phase III trials (COMFORT-I and COMFORT-II), which demonstrated that patients treated with JAKAFI experienced significant reductions in splenomegaly (enlarged spleen). COMFORT-I also demonstrated improvements in symptoms. The most common hematologic adverse reactions in both trials were thrombocytopenia and anemia. These events rarely led to discontinuation of JAKAFI treatment. The most common non-hematologic adverse reactions were bruising, dizziness and headache.</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August 2014, the FDA approved supplemental labeling for JAKAFI to include Kaplan-Meier overall survival curves as well as additional safety and dosing information. The overall survival information is based on three-year data from COMFORT-I and II, and shows that at three years the probability of survival for patients treated with JAKAFI in COMFORT-I was 70% and for those patients originally randomized to placebo it was 61%. In COMFORT-II, at three years the probability of survival for patients treated with JAKAFI was 79% and for patients originally randomized to best available therapy it was 59%. In December 2016, we announced an exploratory pooled analysis of data from the five-year follow-up of the COMFORT-I and COMFORT-II trials of patients treated with JAKAFI, which further supported previously published overall survival findings.</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September 2016, we announced that JAKAFI had been included as a recommended treatment in the latest National Comprehensive Cancer Network (NCCN) Clinical Practice Guidelines in Oncology for myelofibrosis, underscoring the important and long-term clinical benefits seen in patients treated with JAKAFI.</w:t>
      </w:r>
    </w:p>
    <w:p>
      <w:pPr>
        <w:spacing w:after="0" w:line="176"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8"/>
          <w:szCs w:val="18"/>
          <w:color w:val="auto"/>
        </w:rPr>
        <w:t>In October 2017, the FDA approved updated labeling for JAKAFI to include the addition of new patient-reported outcome (PRO) data from the COMFORT-I study, as well as updating the warning related to progressive multifocal leukoencephalopathy. An exploratory analysis of PRO data of patients with myelofibrosis receiving JAKAFI showed improvement in fatigue-related symptoms at Week 24. Fatigue response (defined as a reduction of 4.5 points or more from baseline in the PROMIS</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 xml:space="preserve"> Fatigue total score) was reported in 35% of patients treated with JAKAFI versus 14% of the patients treated with placebo.</w:t>
      </w:r>
    </w:p>
    <w:p>
      <w:pPr>
        <w:spacing w:after="0" w:line="19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Polycythemia Vera. </w:t>
      </w:r>
      <w:r>
        <w:rPr>
          <w:rFonts w:ascii="Times New Roman" w:cs="Times New Roman" w:eastAsia="Times New Roman" w:hAnsi="Times New Roman"/>
          <w:sz w:val="18"/>
          <w:szCs w:val="18"/>
          <w:color w:val="auto"/>
        </w:rPr>
        <w:t>PV is a myeloproliferative neoplasm typically characterized by elevated hematocrit, the volume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 of red blood cells in whole blood, which can lead to a thickening of the blood and an increased risk of blood clots, as well as an elevated white blood cell and platelet count. When phlebotomy can no longer control PV, chemotherapy such as hydroxyurea, or interferon, is utilized. Approximately 25,000 patients with PV in the United States are considered uncontrolled because they have an inadequate response to or are intolerant of hydroxyurea, the most commonly used chemotherapeutic agent for the treatment of PV.</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December 2014, the FDA approved JAKAFI for the treatment of patients with PV who have had an inadequate response to or are intolerant of hydroxyurea. The approval of JAKAFI for PV was based on data from the pivotal Phase III RESPONSE trial. In this trial, patients treated with JAKAFI demonstrated superior hematocrit control and reductions in spleen volume compared to best available therapy. In addition, a greater proportion of patients treated with JAKAFI achieved complete hematologic remission—which was defined as achieving hematocrit control, and lowering platelet and white blood cell counts. In the RESPONSE trial, the most common hematologic adverse reactions (incidence &gt; 20%) were thrombocytopenia and anemia. The most common non-hematologic adverse events (incidence &gt;10%) were headache, abdominal pain, diarrhea, dizziness, fatigue, pruritus, dyspnea and muscle spasms.</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March 2016, the FDA approved supplemental labeling for JAKAFI to include additional safety data as well as efficacy analyses from the RESPONSE trial to assess the durability of response in JAKAFI treated patients after 80 weeks. At this time, 83% patients were still on treatment, and 76% of the responders at 32 weeks maintained their response through 80 weeks.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June 2016, we announced data from the Phase III RESPONSE-2 study of JAKAFI in patients with inadequately controlled PV that was resistant to or intolerant of hydroxyurea who did not have an enlarged spleen. These data showed that JAKAFI was superior to best available therapy in maintaining hematocrit control (62.2% vs. 18.7%, respectively; P&lt;0.0001) without the need for phlebotomy.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August 2017, we announced that JAKAFI had been included as a recommended treatment in the latest NCCN Guidelines for patients with polycythemia vera who have had an inadequate response to first-line therapies, such as hydroxyurea.</w:t>
      </w:r>
    </w:p>
    <w:p>
      <w:pPr>
        <w:spacing w:after="0" w:line="17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Graft-versus-host disease. </w:t>
      </w:r>
      <w:r>
        <w:rPr>
          <w:rFonts w:ascii="Times New Roman" w:cs="Times New Roman" w:eastAsia="Times New Roman" w:hAnsi="Times New Roman"/>
          <w:sz w:val="18"/>
          <w:szCs w:val="18"/>
          <w:color w:val="auto"/>
        </w:rPr>
        <w:t>GVHD is a condition that can occur after an allogeneic HSCT (the transfer of genetically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dissimilar stem cells or tissue). In GVHD, the donated bone marrow or peripheral blood stem cells view the recipient’s body as foreign and attack various tissues. 12-month survival rates in patients with Grade III or IV steroid-refractory acute GVHD are 50% or less, and the incidence of newly diagnosed acute and de novo chronic GVHD is approximately 15,000 per year across the United States, Europe and Japan.</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June 2016, we announced that the FDA granted Breakthrough Therapy designation for ruxolitinib in patients with acute GVHD. In May 2019, the FDA approved JAKAFI for the treatment of steroid-refractory acute GVHD in adult and pediatric patients 12 years and older. The approval was based on data from REACH1, an open-label, single-arm, multicenter study of Jakafi in combination with corticosteroids in patients with steroid-refractory grade II-IV acute GVHD. The overall response rate (ORR) in patients refractory to steroids alone was 57% with a complete response (CR) rate of 31%. The most frequently reported adverse reactions among all study participants were infections (55%) and edema (51%), and the most common laboratory abnormalities were anemia (75%), thrombocytopenia (75%) and neutropenia (58%).</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retained all development and commercialization rights to JAKAFI in the United States and are eligible to receive development and commercial milestones as well as royalties from product sales outside the United States. We hold patents that cover the composition of matter and use of ruxolitinib which patents, including applicable extensions, expire in late 2027.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Marketed Indications - ICLUSIG (ponatinib)</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June 2016, we acquired the European operations of ARIAD Pharmaceuticals, Inc. (ARIAD) and obtained an exclusive license to develop and commercialize ICLUSIG (ponatinib) in Europe and other select countries. ICLUSIG is a kinase inhibitor. The primary target for ICLUSIG is BCR-ABL, an abnormal tyrosine kinase that is expressed in chronic myeloid leukemia (CML) and Philadelphia-chromosome positive acute lymphoblastic leukemia (Ph+ ALL).</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European Union, ICLUSIG is approved for the treatment of adult patients with chronic phase, accelerated phase or blast phase CML who are resistant to dasatinib or nilotinib; who are intolerant to dasatinib or nilotinib and for whom subsequent treatment with imatinib is not clinically appropriate; or who have the T315I mutation, or the treatment of adult patients with Ph+ ALL who are resistant to dasatinib; who are intolerant to dasatinib and for whom subsequent treatment with imatinib is not clinically appropriate; or who have the T315I mutation.</w:t>
      </w:r>
    </w:p>
    <w:p>
      <w:pPr>
        <w:sectPr>
          <w:pgSz w:w="11900" w:h="16838" w:orient="portrait"/>
          <w:cols w:equalWidth="0" w:num="1">
            <w:col w:w="9060"/>
          </w:cols>
          <w:pgMar w:left="1420" w:top="513" w:right="141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Programs in Oncology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the future of cancer treatment lies in the use of targeted therapies, which aim to block the effects of cancer-causing mutations, and immune therapies, which seek to recruit the patient’s own immune system to tackle cancer. Our most advanced programs are detailed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JAK Inhibition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part of our development program to improve and expand therapeutic options for patients with MF, we are currently recruiting Phase II trials combining ruxolitinib with our investigational agents such as itacitinib (JAK1), parsaclisib (PI3Kδ), and INCB53914 (PIM) in patients with refractory MF.</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Following positive proof-of-concept data, we initiated a pivotal program investigating ruxolitinib for the treatment of patients with ET. ET is a Philadelphia chromosome negative myeloproliferative neoplasm, characterized by the overproduction of platelets in the bone marrow. The pivotal RESET trial is enrolling ET patients that are refractory to or intolerant of hydroxyurea, the current standard of care for first-line treatment of these patients.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REACH clinical program evaluates ruxolitinib in patients with steroid-refractory GVHD and includes REACH2, a Novartis-sponsored Phase III trial in steroid-refractory acute GVHD, and REACH3, a Phase III trial in steroid-refractory chronic GVHD that is co-sponsored by Incyte and Novartis.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Based on data from a proof-of-concept trial of itacitinib, a selective JAK1 inhibitor, in patients with acute GVHD, a pivotal trial (GRAVITAS-301) investigating itacitinib for the treatment of patients with treatment-naïve acute GVHD was initiated in July 2017 and we announced completion of enrollment in April 2019. A second pivotal trial of itacitinib, GRAVITAS-309, was initiated in January 2019 for patients with treatment-naïve chronic GVHD. The FDA has granted itacitinib orphan drug status for GVHD.</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clinical program to evaluate itacitinib in solid tumors included a clinical trial in combination with AstraZeneca/MedImmune’s EGFR inhibitor osimertinib; this trial has now been completed and there are currently no plans for additional clinical evaluations of this combination.</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FGFR1/2/3 Inhibition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Pemigatinib is a potent and selective inhibitor of the fibroblast growth factor receptor (FGFR) isoforms 1, 2 and 3 with demonstrated activity in preclinical studies. The FGFR family of receptor tyrosine kinases can act as oncogenic drivers in a number of liquid and solid tumor types. We initiated the FIGHT clinical program to evaluate pemigatinib across a spectrum of cancers that are driven by FGF/FGFR alterations. The program currently has three Phase II trials– FIGHT-201 in patients with bladder cancer, FIGHT-202 in patients with cholangiocarcinoma, and FIGHT-203 in patients with 8p11 myeloproliferative syndrome (8p11 MPN). Based on data generated from ongoing trials in patients with FGFR-driven cholangiocarcinoma, bladder cancer, and 8p11 MPN, we are currently planning to initiate a Phase II tumor-agnostic trial evaluating pemigatinib in patients with driver-activations of FGF/FGFR later in 2019.</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October 2018, we announced positive data from the FIGHT-202 trial evaluating pemigatinib in patients with advanced/metastatic or surgically unresectable cholangiocarcinoma who failed at least one previous treatment. In February 2019, we announced that the FDA granted Breakthrough Therapy designation for pemigatinib in patients with previously treated, advanced/metastatic or unresectable FGFR2 translocated cholangiocarcinoma. FIGHT-302, a Phase III trial of pemigatinib for the first-line treatment of patients with cholangiocarcinoma and FGFR2 rearrangements was initiated in June 2019.</w:t>
      </w:r>
    </w:p>
    <w:p>
      <w:pPr>
        <w:spacing w:after="0" w:line="188" w:lineRule="exact"/>
        <w:rPr>
          <w:sz w:val="20"/>
          <w:szCs w:val="20"/>
          <w:color w:val="auto"/>
        </w:rPr>
      </w:pPr>
    </w:p>
    <w:p>
      <w:pPr>
        <w:jc w:val="both"/>
        <w:ind w:firstLine="693"/>
        <w:spacing w:after="0" w:line="266" w:lineRule="auto"/>
        <w:rPr>
          <w:sz w:val="20"/>
          <w:szCs w:val="20"/>
          <w:color w:val="auto"/>
        </w:rPr>
      </w:pPr>
      <w:r>
        <w:rPr>
          <w:rFonts w:ascii="Times New Roman" w:cs="Times New Roman" w:eastAsia="Times New Roman" w:hAnsi="Times New Roman"/>
          <w:sz w:val="18"/>
          <w:szCs w:val="18"/>
          <w:color w:val="auto"/>
        </w:rPr>
        <w:t>Cholangiocarcinoma is a cancer that arises from the cells within the bile ducts. It is often diagnosed late (stages III and IV) and the prognosis is poor. The incidence of cholangiocarcinoma with FGFR2 translocation is increasing, and is currently estimated at 2,000-3,000 patients in the U.S., Europe and Japan.</w:t>
      </w:r>
    </w:p>
    <w:p>
      <w:pPr>
        <w:sectPr>
          <w:pgSz w:w="11900" w:h="16838" w:orient="portrait"/>
          <w:cols w:equalWidth="0" w:num="1">
            <w:col w:w="9060"/>
          </w:cols>
          <w:pgMar w:left="1420" w:top="513" w:right="141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PD-1 Antagonism</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October 2017, we and MacroGenics, Inc. announced an exclusive global collaboration and license agreement for MacroGenics’ INCMGA0012, an investigational monoclonal antibody that inhibits PD-1. Under this collaboration, we obtained exclusive worldwide rights for the development and commercialization of INCMGA0012 in all indications. Enrollment in the dose escalation portion of the Phase I study of INCMGA0012 has been completed and the molecule is currently being evaluated as monotherapy across four solid tumor types in the dose expansion portion of the study. Registration-directed trials in MSI-high endometrial cancer, Merkel cell carcinoma, and anal cancer were initiated in 2018.</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PI3K-delta Inhibition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PI3K-delta pathway mediates oncogenic signaling in B cell malignancies. Parsaclisib (formerly INCB50465) is a PI3K-delta inhibitor that has demonstrated potency and selectivity in preclinical studies and has potential therapeutic utility in the treatment of patients with lymphoma. We initiated the CITADEL clinical program to evaluate parsaclisib in non-Hodgkin lymphomas, and we are currently running Phase II trials in follicular lymphoma, marginal zone lymphoma and mantle cell lymphoma.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520" w:type="dxa"/>
            <w:vAlign w:val="bottom"/>
            <w:tcBorders>
              <w:top w:val="single" w:sz="8" w:color="auto"/>
            </w:tcBorders>
          </w:tcPr>
          <w:p>
            <w:pPr>
              <w:spacing w:after="0"/>
              <w:rPr>
                <w:sz w:val="21"/>
                <w:szCs w:val="21"/>
                <w:color w:val="auto"/>
              </w:rPr>
            </w:pPr>
          </w:p>
        </w:tc>
        <w:tc>
          <w:tcPr>
            <w:tcW w:w="754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Indication and status</w:t>
            </w:r>
          </w:p>
        </w:tc>
      </w:tr>
      <w:tr>
        <w:trPr>
          <w:trHeight w:val="45"/>
        </w:trPr>
        <w:tc>
          <w:tcPr>
            <w:tcW w:w="1520" w:type="dxa"/>
            <w:vAlign w:val="bottom"/>
            <w:tcBorders>
              <w:bottom w:val="single" w:sz="8" w:color="auto"/>
            </w:tcBorders>
          </w:tcPr>
          <w:p>
            <w:pPr>
              <w:spacing w:after="0"/>
              <w:rPr>
                <w:sz w:val="3"/>
                <w:szCs w:val="3"/>
                <w:color w:val="auto"/>
              </w:rPr>
            </w:pPr>
          </w:p>
        </w:tc>
        <w:tc>
          <w:tcPr>
            <w:tcW w:w="7540" w:type="dxa"/>
            <w:vAlign w:val="bottom"/>
            <w:tcBorders>
              <w:bottom w:val="single" w:sz="8" w:color="auto"/>
            </w:tcBorders>
          </w:tcPr>
          <w:p>
            <w:pPr>
              <w:spacing w:after="0"/>
              <w:rPr>
                <w:sz w:val="3"/>
                <w:szCs w:val="3"/>
                <w:color w:val="auto"/>
              </w:rPr>
            </w:pPr>
          </w:p>
        </w:tc>
      </w:tr>
      <w:tr>
        <w:trPr>
          <w:trHeight w:val="142"/>
        </w:trPr>
        <w:tc>
          <w:tcPr>
            <w:tcW w:w="1520" w:type="dxa"/>
            <w:vAlign w:val="bottom"/>
            <w:shd w:val="clear" w:color="auto" w:fill="CCEEFF"/>
          </w:tcPr>
          <w:p>
            <w:pPr>
              <w:ind w:left="100"/>
              <w:spacing w:after="0" w:line="142" w:lineRule="exact"/>
              <w:rPr>
                <w:sz w:val="20"/>
                <w:szCs w:val="20"/>
                <w:color w:val="auto"/>
              </w:rPr>
            </w:pPr>
            <w:r>
              <w:rPr>
                <w:rFonts w:ascii="Times New Roman" w:cs="Times New Roman" w:eastAsia="Times New Roman" w:hAnsi="Times New Roman"/>
                <w:sz w:val="16"/>
                <w:szCs w:val="16"/>
                <w:b w:val="1"/>
                <w:bCs w:val="1"/>
                <w:color w:val="auto"/>
              </w:rPr>
              <w:t>Ruxolitinib</w:t>
            </w:r>
          </w:p>
        </w:tc>
        <w:tc>
          <w:tcPr>
            <w:tcW w:w="7540" w:type="dxa"/>
            <w:vAlign w:val="bottom"/>
            <w:shd w:val="clear" w:color="auto" w:fill="CCEEFF"/>
          </w:tcPr>
          <w:p>
            <w:pPr>
              <w:ind w:left="340"/>
              <w:spacing w:after="0" w:line="142" w:lineRule="exact"/>
              <w:rPr>
                <w:sz w:val="20"/>
                <w:szCs w:val="20"/>
                <w:color w:val="auto"/>
              </w:rPr>
            </w:pPr>
            <w:r>
              <w:rPr>
                <w:rFonts w:ascii="Times New Roman" w:cs="Times New Roman" w:eastAsia="Times New Roman" w:hAnsi="Times New Roman"/>
                <w:sz w:val="16"/>
                <w:szCs w:val="16"/>
                <w:color w:val="auto"/>
              </w:rPr>
              <w:t>Steroid-refractory acute GVHD: Phase III (REACH2)</w:t>
            </w:r>
          </w:p>
        </w:tc>
      </w:tr>
      <w:tr>
        <w:trPr>
          <w:trHeight w:val="238"/>
        </w:trPr>
        <w:tc>
          <w:tcPr>
            <w:tcW w:w="1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(JAK1/JAK2)</w:t>
            </w:r>
          </w:p>
        </w:tc>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Steroid-refractory chronic GVHD: Phase III (REACH3)</w:t>
            </w:r>
          </w:p>
        </w:tc>
      </w:tr>
      <w:tr>
        <w:trPr>
          <w:trHeight w:val="216"/>
        </w:trPr>
        <w:tc>
          <w:tcPr>
            <w:tcW w:w="1520" w:type="dxa"/>
            <w:vAlign w:val="bottom"/>
            <w:shd w:val="clear" w:color="auto" w:fill="CCEEFF"/>
          </w:tcPr>
          <w:p>
            <w:pPr>
              <w:spacing w:after="0"/>
              <w:rPr>
                <w:sz w:val="18"/>
                <w:szCs w:val="18"/>
                <w:color w:val="auto"/>
              </w:rPr>
            </w:pPr>
          </w:p>
        </w:tc>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Essential thrombocythemia: Phase II (RESET)</w:t>
            </w:r>
          </w:p>
        </w:tc>
      </w:tr>
      <w:tr>
        <w:trPr>
          <w:trHeight w:val="234"/>
        </w:trPr>
        <w:tc>
          <w:tcPr>
            <w:tcW w:w="1520" w:type="dxa"/>
            <w:vAlign w:val="bottom"/>
            <w:shd w:val="clear" w:color="auto" w:fill="CCEEFF"/>
          </w:tcPr>
          <w:p>
            <w:pPr>
              <w:spacing w:after="0"/>
              <w:rPr>
                <w:sz w:val="20"/>
                <w:szCs w:val="20"/>
                <w:color w:val="auto"/>
              </w:rPr>
            </w:pPr>
          </w:p>
        </w:tc>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Refractory myelofibrosis: Phase II with PI3Kδ, PIM or JAK1 inhibition</w:t>
            </w:r>
          </w:p>
        </w:tc>
      </w:tr>
      <w:tr>
        <w:trPr>
          <w:trHeight w:val="216"/>
        </w:trPr>
        <w:tc>
          <w:tcPr>
            <w:tcW w:w="1520" w:type="dxa"/>
            <w:vAlign w:val="bottom"/>
            <w:shd w:val="clear" w:color="auto" w:fill="CCEEFF"/>
          </w:tcPr>
          <w:p>
            <w:pPr>
              <w:spacing w:after="0"/>
              <w:rPr>
                <w:sz w:val="18"/>
                <w:szCs w:val="18"/>
                <w:color w:val="auto"/>
              </w:rPr>
            </w:pPr>
          </w:p>
        </w:tc>
        <w:tc>
          <w:tcPr>
            <w:tcW w:w="7540" w:type="dxa"/>
            <w:vAlign w:val="bottom"/>
            <w:shd w:val="clear" w:color="auto" w:fill="CCEEFF"/>
          </w:tcPr>
          <w:p>
            <w:pPr>
              <w:spacing w:after="0"/>
              <w:rPr>
                <w:sz w:val="18"/>
                <w:szCs w:val="18"/>
                <w:color w:val="auto"/>
              </w:rPr>
            </w:pPr>
          </w:p>
        </w:tc>
      </w:tr>
      <w:tr>
        <w:trPr>
          <w:trHeight w:val="149"/>
        </w:trPr>
        <w:tc>
          <w:tcPr>
            <w:tcW w:w="1520" w:type="dxa"/>
            <w:vAlign w:val="bottom"/>
          </w:tcPr>
          <w:p>
            <w:pPr>
              <w:ind w:left="100"/>
              <w:spacing w:after="0" w:line="149" w:lineRule="exact"/>
              <w:rPr>
                <w:sz w:val="20"/>
                <w:szCs w:val="20"/>
                <w:color w:val="auto"/>
              </w:rPr>
            </w:pPr>
            <w:r>
              <w:rPr>
                <w:rFonts w:ascii="Times New Roman" w:cs="Times New Roman" w:eastAsia="Times New Roman" w:hAnsi="Times New Roman"/>
                <w:sz w:val="17"/>
                <w:szCs w:val="17"/>
                <w:b w:val="1"/>
                <w:bCs w:val="1"/>
                <w:color w:val="auto"/>
              </w:rPr>
              <w:t>Itacitinib</w:t>
            </w:r>
          </w:p>
        </w:tc>
        <w:tc>
          <w:tcPr>
            <w:tcW w:w="7540" w:type="dxa"/>
            <w:vAlign w:val="bottom"/>
          </w:tcPr>
          <w:p>
            <w:pPr>
              <w:ind w:left="340"/>
              <w:spacing w:after="0" w:line="149" w:lineRule="exact"/>
              <w:rPr>
                <w:sz w:val="20"/>
                <w:szCs w:val="20"/>
                <w:color w:val="auto"/>
              </w:rPr>
            </w:pPr>
            <w:r>
              <w:rPr>
                <w:rFonts w:ascii="Times New Roman" w:cs="Times New Roman" w:eastAsia="Times New Roman" w:hAnsi="Times New Roman"/>
                <w:sz w:val="17"/>
                <w:szCs w:val="17"/>
                <w:color w:val="auto"/>
              </w:rPr>
              <w:t>Treatment-naïve acute GVHD: Phase III (GRAVITAS-301)</w:t>
            </w:r>
          </w:p>
        </w:tc>
      </w:tr>
      <w:tr>
        <w:trPr>
          <w:trHeight w:val="270"/>
        </w:trPr>
        <w:tc>
          <w:tcPr>
            <w:tcW w:w="15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(JAK1)</w:t>
            </w:r>
          </w:p>
        </w:tc>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Treatment-naïve chronic GVHD: Phase III (GRAVITAS-309)</w:t>
            </w:r>
          </w:p>
        </w:tc>
      </w:tr>
      <w:tr>
        <w:trPr>
          <w:trHeight w:val="365"/>
        </w:trPr>
        <w:tc>
          <w:tcPr>
            <w:tcW w:w="15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Pemigatinib</w:t>
            </w:r>
          </w:p>
        </w:tc>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Cholangiocarcinoma: Phase II (FIGHT-202), Phase III (FIGHT-302)</w:t>
            </w:r>
          </w:p>
        </w:tc>
      </w:tr>
      <w:tr>
        <w:trPr>
          <w:trHeight w:val="238"/>
        </w:trPr>
        <w:tc>
          <w:tcPr>
            <w:tcW w:w="15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(FGFR1/2/3)</w:t>
            </w:r>
          </w:p>
        </w:tc>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Bladder cancer: Phase II (FIGHT-201)</w:t>
            </w:r>
          </w:p>
        </w:tc>
      </w:tr>
      <w:tr>
        <w:trPr>
          <w:trHeight w:val="216"/>
        </w:trPr>
        <w:tc>
          <w:tcPr>
            <w:tcW w:w="1520" w:type="dxa"/>
            <w:vAlign w:val="bottom"/>
          </w:tcPr>
          <w:p>
            <w:pPr>
              <w:spacing w:after="0"/>
              <w:rPr>
                <w:sz w:val="18"/>
                <w:szCs w:val="18"/>
                <w:color w:val="auto"/>
              </w:rPr>
            </w:pPr>
          </w:p>
        </w:tc>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8p11 MPN: Phase II (FIGHT-203)</w:t>
            </w:r>
          </w:p>
        </w:tc>
      </w:tr>
      <w:tr>
        <w:trPr>
          <w:trHeight w:val="234"/>
        </w:trPr>
        <w:tc>
          <w:tcPr>
            <w:tcW w:w="1520" w:type="dxa"/>
            <w:vAlign w:val="bottom"/>
          </w:tcPr>
          <w:p>
            <w:pPr>
              <w:spacing w:after="0"/>
              <w:rPr>
                <w:sz w:val="20"/>
                <w:szCs w:val="20"/>
                <w:color w:val="auto"/>
              </w:rPr>
            </w:pPr>
          </w:p>
        </w:tc>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Tumor agnostic: Phase II (FIGHT-207) in preparation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-530860</wp:posOffset>
            </wp:positionV>
            <wp:extent cx="5754370" cy="6686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66865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p>
      <w:pPr>
        <w:spacing w:after="0" w:line="17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Parsaclisib</w:t>
      </w:r>
    </w:p>
    <w:p>
      <w:pPr>
        <w:ind w:left="100"/>
        <w:spacing w:after="0"/>
        <w:rPr>
          <w:sz w:val="20"/>
          <w:szCs w:val="20"/>
          <w:color w:val="auto"/>
        </w:rPr>
      </w:pPr>
      <w:r>
        <w:rPr>
          <w:rFonts w:ascii="Times New Roman" w:cs="Times New Roman" w:eastAsia="Times New Roman" w:hAnsi="Times New Roman"/>
          <w:sz w:val="18"/>
          <w:szCs w:val="18"/>
          <w:b w:val="1"/>
          <w:bCs w:val="1"/>
          <w:color w:val="auto"/>
        </w:rPr>
        <w:t>(PI3Kδ)</w:t>
      </w:r>
    </w:p>
    <w:p>
      <w:pPr>
        <w:spacing w:after="0" w:line="200" w:lineRule="exact"/>
        <w:rPr>
          <w:sz w:val="20"/>
          <w:szCs w:val="20"/>
          <w:color w:val="auto"/>
        </w:rPr>
      </w:pPr>
    </w:p>
    <w:p>
      <w:pPr>
        <w:spacing w:after="0" w:line="244" w:lineRule="exact"/>
        <w:rPr>
          <w:sz w:val="20"/>
          <w:szCs w:val="20"/>
          <w:color w:val="auto"/>
        </w:rPr>
      </w:pPr>
    </w:p>
    <w:p>
      <w:pPr>
        <w:ind w:left="100"/>
        <w:spacing w:after="0" w:line="268" w:lineRule="auto"/>
        <w:rPr>
          <w:sz w:val="20"/>
          <w:szCs w:val="20"/>
          <w:color w:val="auto"/>
        </w:rPr>
      </w:pPr>
      <w:r>
        <w:rPr>
          <w:rFonts w:ascii="Times New Roman" w:cs="Times New Roman" w:eastAsia="Times New Roman" w:hAnsi="Times New Roman"/>
          <w:sz w:val="17"/>
          <w:szCs w:val="17"/>
          <w:b w:val="1"/>
          <w:bCs w:val="1"/>
          <w:color w:val="auto"/>
        </w:rPr>
        <w:t>INCMGA0012 (PD-1)</w:t>
      </w:r>
      <w:r>
        <w:rPr>
          <w:rFonts w:ascii="Times New Roman" w:cs="Times New Roman" w:eastAsia="Times New Roman" w:hAnsi="Times New Roman"/>
          <w:sz w:val="12"/>
          <w:szCs w:val="12"/>
          <w:b w:val="1"/>
          <w:bCs w:val="1"/>
          <w:color w:val="auto"/>
        </w:rPr>
        <w:t>1</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Follicular lymphoma: Phase II (CITADEL-203)</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Marginal zone lymphoma: Phase II (CITADEL-204)</w:t>
      </w:r>
    </w:p>
    <w:p>
      <w:pPr>
        <w:spacing w:after="0"/>
        <w:rPr>
          <w:sz w:val="20"/>
          <w:szCs w:val="20"/>
          <w:color w:val="auto"/>
        </w:rPr>
      </w:pPr>
      <w:r>
        <w:rPr>
          <w:rFonts w:ascii="Times New Roman" w:cs="Times New Roman" w:eastAsia="Times New Roman" w:hAnsi="Times New Roman"/>
          <w:sz w:val="18"/>
          <w:szCs w:val="18"/>
          <w:color w:val="auto"/>
        </w:rPr>
        <w:t>Mantle cell lymphoma: Phase II (CITADEL-205)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MSI-high endometrial cancer: Phase II (POD1UM-101)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-1178560</wp:posOffset>
            </wp:positionH>
            <wp:positionV relativeFrom="paragraph">
              <wp:posOffset>-110490</wp:posOffset>
            </wp:positionV>
            <wp:extent cx="5754370" cy="540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54038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Merkel cell carcinoma: Phase II (POD1UM-201)</w:t>
      </w:r>
    </w:p>
    <w:p>
      <w:pPr>
        <w:spacing w:after="0"/>
        <w:rPr>
          <w:sz w:val="20"/>
          <w:szCs w:val="20"/>
          <w:color w:val="auto"/>
        </w:rPr>
      </w:pPr>
      <w:r>
        <w:rPr>
          <w:rFonts w:ascii="Times New Roman" w:cs="Times New Roman" w:eastAsia="Times New Roman" w:hAnsi="Times New Roman"/>
          <w:sz w:val="18"/>
          <w:szCs w:val="18"/>
          <w:color w:val="auto"/>
        </w:rPr>
        <w:t>Anal cancer: Phase II (POD1UM-202)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-1178560</wp:posOffset>
            </wp:positionH>
            <wp:positionV relativeFrom="paragraph">
              <wp:posOffset>150495</wp:posOffset>
            </wp:positionV>
            <wp:extent cx="57543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220" w:space="640"/>
            <w:col w:w="7200"/>
          </w:cols>
          <w:pgMar w:left="1420" w:top="513" w:right="1419" w:bottom="1440" w:gutter="0" w:footer="0" w:header="0"/>
          <w:type w:val="continuous"/>
        </w:sectPr>
      </w:pPr>
    </w:p>
    <w:p>
      <w:pPr>
        <w:spacing w:after="0" w:line="132" w:lineRule="exact"/>
        <w:rPr>
          <w:sz w:val="20"/>
          <w:szCs w:val="20"/>
          <w:color w:val="auto"/>
        </w:rPr>
      </w:pPr>
    </w:p>
    <w:p>
      <w:pPr>
        <w:ind w:left="140" w:hanging="138"/>
        <w:spacing w:after="0"/>
        <w:tabs>
          <w:tab w:leader="none" w:pos="140" w:val="left"/>
        </w:tabs>
        <w:numPr>
          <w:ilvl w:val="0"/>
          <w:numId w:val="2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INCMGA0012 licensed from MacroGenics.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Earlier-Stage Programs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also have a number of other earlier-stage clinical programs, as detailed in the table below. We intend to describe these programs more fully if we obtain clinical proof-of-concept and establish that a program warrants further development in a specific indication or group of 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132080</wp:posOffset>
            </wp:positionV>
            <wp:extent cx="57543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2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Modality</w:t>
            </w:r>
          </w:p>
        </w:tc>
        <w:tc>
          <w:tcPr>
            <w:tcW w:w="680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Candidates</w:t>
            </w:r>
          </w:p>
        </w:tc>
      </w:tr>
      <w:tr>
        <w:trPr>
          <w:trHeight w:val="45"/>
        </w:trPr>
        <w:tc>
          <w:tcPr>
            <w:tcW w:w="2260" w:type="dxa"/>
            <w:vAlign w:val="bottom"/>
            <w:tcBorders>
              <w:bottom w:val="single" w:sz="8" w:color="auto"/>
            </w:tcBorders>
          </w:tcPr>
          <w:p>
            <w:pPr>
              <w:spacing w:after="0"/>
              <w:rPr>
                <w:sz w:val="3"/>
                <w:szCs w:val="3"/>
                <w:color w:val="auto"/>
              </w:rPr>
            </w:pPr>
          </w:p>
        </w:tc>
        <w:tc>
          <w:tcPr>
            <w:tcW w:w="6800" w:type="dxa"/>
            <w:vAlign w:val="bottom"/>
            <w:tcBorders>
              <w:bottom w:val="single" w:sz="8" w:color="auto"/>
            </w:tcBorders>
          </w:tcPr>
          <w:p>
            <w:pPr>
              <w:spacing w:after="0"/>
              <w:rPr>
                <w:sz w:val="3"/>
                <w:szCs w:val="3"/>
                <w:color w:val="auto"/>
              </w:rPr>
            </w:pPr>
          </w:p>
        </w:tc>
      </w:tr>
      <w:tr>
        <w:trPr>
          <w:trHeight w:val="191"/>
        </w:trPr>
        <w:tc>
          <w:tcPr>
            <w:tcW w:w="2260" w:type="dxa"/>
            <w:vAlign w:val="bottom"/>
            <w:shd w:val="clear" w:color="auto" w:fill="CCEEFF"/>
          </w:tcPr>
          <w:p>
            <w:pPr>
              <w:ind w:left="100"/>
              <w:spacing w:after="0" w:line="191" w:lineRule="exact"/>
              <w:rPr>
                <w:sz w:val="20"/>
                <w:szCs w:val="20"/>
                <w:color w:val="auto"/>
              </w:rPr>
            </w:pPr>
            <w:r>
              <w:rPr>
                <w:rFonts w:ascii="Times New Roman" w:cs="Times New Roman" w:eastAsia="Times New Roman" w:hAnsi="Times New Roman"/>
                <w:sz w:val="18"/>
                <w:szCs w:val="18"/>
                <w:b w:val="1"/>
                <w:bCs w:val="1"/>
                <w:color w:val="auto"/>
              </w:rPr>
              <w:t>Small molecules</w:t>
            </w:r>
          </w:p>
        </w:tc>
        <w:tc>
          <w:tcPr>
            <w:tcW w:w="6800" w:type="dxa"/>
            <w:vAlign w:val="bottom"/>
            <w:shd w:val="clear" w:color="auto" w:fill="CCEEFF"/>
          </w:tcPr>
          <w:p>
            <w:pPr>
              <w:ind w:left="340"/>
              <w:spacing w:after="0" w:line="191" w:lineRule="exact"/>
              <w:rPr>
                <w:sz w:val="20"/>
                <w:szCs w:val="20"/>
                <w:color w:val="auto"/>
              </w:rPr>
            </w:pPr>
            <w:r>
              <w:rPr>
                <w:rFonts w:ascii="Times New Roman" w:cs="Times New Roman" w:eastAsia="Times New Roman" w:hAnsi="Times New Roman"/>
                <w:sz w:val="15"/>
                <w:szCs w:val="15"/>
                <w:color w:val="auto"/>
              </w:rPr>
              <w:t>INCB01158 (ARG)</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5"/>
                <w:szCs w:val="15"/>
                <w:color w:val="auto"/>
              </w:rPr>
              <w:t>, INCB81776 (AXL/MER), INCB62079 (FGFR4), epacadostat</w:t>
            </w:r>
          </w:p>
        </w:tc>
      </w:tr>
      <w:tr>
        <w:trPr>
          <w:trHeight w:val="234"/>
        </w:trPr>
        <w:tc>
          <w:tcPr>
            <w:tcW w:w="2260" w:type="dxa"/>
            <w:vAlign w:val="bottom"/>
            <w:shd w:val="clear" w:color="auto" w:fill="CCEEFF"/>
          </w:tcPr>
          <w:p>
            <w:pPr>
              <w:spacing w:after="0"/>
              <w:rPr>
                <w:sz w:val="20"/>
                <w:szCs w:val="20"/>
                <w:color w:val="auto"/>
              </w:rPr>
            </w:pPr>
          </w:p>
        </w:tc>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(IDO1), INCB59872 (LSD1), INCB53914 (PIM), INCB86550 (PD-L1)</w:t>
            </w:r>
          </w:p>
        </w:tc>
      </w:tr>
      <w:tr>
        <w:trPr>
          <w:trHeight w:val="216"/>
        </w:trPr>
        <w:tc>
          <w:tcPr>
            <w:tcW w:w="2260" w:type="dxa"/>
            <w:vAlign w:val="bottom"/>
            <w:shd w:val="clear" w:color="auto" w:fill="CCEEFF"/>
          </w:tcPr>
          <w:p>
            <w:pPr>
              <w:spacing w:after="0"/>
              <w:rPr>
                <w:sz w:val="18"/>
                <w:szCs w:val="18"/>
                <w:color w:val="auto"/>
              </w:rPr>
            </w:pPr>
          </w:p>
        </w:tc>
        <w:tc>
          <w:tcPr>
            <w:tcW w:w="6800" w:type="dxa"/>
            <w:vAlign w:val="bottom"/>
            <w:shd w:val="clear" w:color="auto" w:fill="CCEEFF"/>
          </w:tcPr>
          <w:p>
            <w:pPr>
              <w:spacing w:after="0"/>
              <w:rPr>
                <w:sz w:val="18"/>
                <w:szCs w:val="18"/>
                <w:color w:val="auto"/>
              </w:rPr>
            </w:pPr>
          </w:p>
        </w:tc>
      </w:tr>
      <w:tr>
        <w:trPr>
          <w:trHeight w:val="198"/>
        </w:trPr>
        <w:tc>
          <w:tcPr>
            <w:tcW w:w="2260" w:type="dxa"/>
            <w:vAlign w:val="bottom"/>
          </w:tcPr>
          <w:p>
            <w:pPr>
              <w:ind w:left="100"/>
              <w:spacing w:after="0" w:line="198" w:lineRule="exact"/>
              <w:rPr>
                <w:sz w:val="20"/>
                <w:szCs w:val="20"/>
                <w:color w:val="auto"/>
              </w:rPr>
            </w:pPr>
            <w:r>
              <w:rPr>
                <w:rFonts w:ascii="Times New Roman" w:cs="Times New Roman" w:eastAsia="Times New Roman" w:hAnsi="Times New Roman"/>
                <w:sz w:val="15"/>
                <w:szCs w:val="15"/>
                <w:b w:val="1"/>
                <w:bCs w:val="1"/>
                <w:color w:val="auto"/>
              </w:rPr>
              <w:t>Monoclonal antibodies</w:t>
            </w:r>
            <w:r>
              <w:rPr>
                <w:rFonts w:ascii="Times New Roman" w:cs="Times New Roman" w:eastAsia="Times New Roman" w:hAnsi="Times New Roman"/>
                <w:sz w:val="22"/>
                <w:szCs w:val="22"/>
                <w:b w:val="1"/>
                <w:bCs w:val="1"/>
                <w:color w:val="auto"/>
                <w:vertAlign w:val="superscript"/>
              </w:rPr>
              <w:t>2</w:t>
            </w:r>
          </w:p>
        </w:tc>
        <w:tc>
          <w:tcPr>
            <w:tcW w:w="680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INCAGN1876 (GITR), INCAGN2385 (LAG-3), INCAGN1949 (OX40),</w:t>
            </w:r>
          </w:p>
        </w:tc>
      </w:tr>
      <w:tr>
        <w:trPr>
          <w:trHeight w:val="234"/>
        </w:trPr>
        <w:tc>
          <w:tcPr>
            <w:tcW w:w="2260" w:type="dxa"/>
            <w:vAlign w:val="bottom"/>
          </w:tcPr>
          <w:p>
            <w:pPr>
              <w:spacing w:after="0"/>
              <w:rPr>
                <w:sz w:val="20"/>
                <w:szCs w:val="20"/>
                <w:color w:val="auto"/>
              </w:rPr>
            </w:pPr>
          </w:p>
        </w:tc>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INCAGN2390 (TIM-3)</w:t>
            </w:r>
          </w:p>
        </w:tc>
      </w:tr>
      <w:tr>
        <w:trPr>
          <w:trHeight w:val="216"/>
        </w:trPr>
        <w:tc>
          <w:tcPr>
            <w:tcW w:w="2260" w:type="dxa"/>
            <w:vAlign w:val="bottom"/>
          </w:tcPr>
          <w:p>
            <w:pPr>
              <w:spacing w:after="0"/>
              <w:rPr>
                <w:sz w:val="18"/>
                <w:szCs w:val="18"/>
                <w:color w:val="auto"/>
              </w:rPr>
            </w:pPr>
          </w:p>
        </w:tc>
        <w:tc>
          <w:tcPr>
            <w:tcW w:w="6800" w:type="dxa"/>
            <w:vAlign w:val="bottom"/>
          </w:tcPr>
          <w:p>
            <w:pPr>
              <w:spacing w:after="0"/>
              <w:rPr>
                <w:sz w:val="18"/>
                <w:szCs w:val="18"/>
                <w:color w:val="auto"/>
              </w:rPr>
            </w:pPr>
          </w:p>
        </w:tc>
      </w:tr>
      <w:tr>
        <w:trPr>
          <w:trHeight w:val="372"/>
        </w:trPr>
        <w:tc>
          <w:tcPr>
            <w:tcW w:w="2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Bispecific antibodies</w:t>
            </w:r>
          </w:p>
        </w:tc>
        <w:tc>
          <w:tcPr>
            <w:tcW w:w="6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MCLA-145 (PD-L1xCD137)</w:t>
            </w:r>
            <w:r>
              <w:rPr>
                <w:rFonts w:ascii="Times New Roman" w:cs="Times New Roman" w:eastAsia="Times New Roman" w:hAnsi="Times New Roman"/>
                <w:sz w:val="27"/>
                <w:szCs w:val="27"/>
                <w:color w:val="auto"/>
                <w:vertAlign w:val="superscript"/>
              </w:rPr>
              <w:t>3</w:t>
            </w:r>
          </w:p>
        </w:tc>
      </w:tr>
      <w:tr>
        <w:trPr>
          <w:trHeight w:val="20"/>
        </w:trPr>
        <w:tc>
          <w:tcPr>
            <w:tcW w:w="2260" w:type="dxa"/>
            <w:vAlign w:val="bottom"/>
            <w:shd w:val="clear" w:color="auto" w:fill="000000"/>
          </w:tcPr>
          <w:p>
            <w:pPr>
              <w:spacing w:after="0" w:line="20" w:lineRule="exact"/>
              <w:rPr>
                <w:sz w:val="1"/>
                <w:szCs w:val="1"/>
                <w:color w:val="auto"/>
              </w:rPr>
            </w:pPr>
          </w:p>
        </w:tc>
        <w:tc>
          <w:tcPr>
            <w:tcW w:w="6800" w:type="dxa"/>
            <w:vAlign w:val="bottom"/>
            <w:shd w:val="clear" w:color="auto" w:fill="000000"/>
          </w:tcPr>
          <w:p>
            <w:pPr>
              <w:spacing w:after="0" w:line="20" w:lineRule="exact"/>
              <w:rPr>
                <w:sz w:val="1"/>
                <w:szCs w:val="1"/>
                <w:color w:val="auto"/>
              </w:rPr>
            </w:pPr>
          </w:p>
        </w:tc>
      </w:tr>
    </w:tbl>
    <w:p>
      <w:pPr>
        <w:spacing w:after="0" w:line="122" w:lineRule="exact"/>
        <w:rPr>
          <w:sz w:val="20"/>
          <w:szCs w:val="20"/>
          <w:color w:val="auto"/>
        </w:rPr>
      </w:pPr>
    </w:p>
    <w:p>
      <w:pPr>
        <w:ind w:left="140" w:hanging="138"/>
        <w:spacing w:after="0"/>
        <w:tabs>
          <w:tab w:leader="none" w:pos="140" w:val="left"/>
        </w:tabs>
        <w:numPr>
          <w:ilvl w:val="0"/>
          <w:numId w:val="2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INCB01158 development in collaboration with Calithera Biosciences, Inc.</w:t>
      </w:r>
    </w:p>
    <w:p>
      <w:pPr>
        <w:spacing w:after="0" w:line="1" w:lineRule="exact"/>
        <w:rPr>
          <w:rFonts w:ascii="Times New Roman" w:cs="Times New Roman" w:eastAsia="Times New Roman" w:hAnsi="Times New Roman"/>
          <w:sz w:val="27"/>
          <w:szCs w:val="27"/>
          <w:color w:val="auto"/>
          <w:vertAlign w:val="superscript"/>
        </w:rPr>
      </w:pPr>
    </w:p>
    <w:p>
      <w:pPr>
        <w:ind w:left="140" w:hanging="138"/>
        <w:spacing w:after="0" w:line="186" w:lineRule="auto"/>
        <w:tabs>
          <w:tab w:leader="none" w:pos="140" w:val="left"/>
        </w:tabs>
        <w:numPr>
          <w:ilvl w:val="0"/>
          <w:numId w:val="2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Discovery collaboration with Agenus Inc.</w:t>
      </w:r>
    </w:p>
    <w:p>
      <w:pPr>
        <w:spacing w:after="0" w:line="2" w:lineRule="exact"/>
        <w:rPr>
          <w:rFonts w:ascii="Times New Roman" w:cs="Times New Roman" w:eastAsia="Times New Roman" w:hAnsi="Times New Roman"/>
          <w:sz w:val="24"/>
          <w:szCs w:val="24"/>
          <w:color w:val="auto"/>
          <w:vertAlign w:val="superscript"/>
        </w:rPr>
      </w:pPr>
    </w:p>
    <w:p>
      <w:pPr>
        <w:ind w:left="140" w:hanging="138"/>
        <w:spacing w:after="0" w:line="186" w:lineRule="auto"/>
        <w:tabs>
          <w:tab w:leader="none" w:pos="140" w:val="left"/>
        </w:tabs>
        <w:numPr>
          <w:ilvl w:val="0"/>
          <w:numId w:val="2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MCLA-145 development in collaboration with Merus N.V.</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Programs outside Oncology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June 2018, we announced that a Phase II trial of ruxolitinib cream for the topical treatment of atopic dermatitis showed a significant benefit over vehicle control and a global, pivotal Phase III program was initiated in December 2018. Atopic dermatitis is a skin disorder that causes the skin to become red, scaly, and itchy. Onset can occur at any age, but is much more common in infants and children. United States and European prevalence are estimated at 10.3 million patients and 6.5 million patients, respectively.</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June 2019, data from the Phase II trial of ruxolitinib cream in patients with vitiligo showed a significant benefit over vehicle control. Plans for a global, pivotal Phase III program are underway. Vitiligo is a long term skin condition characterized by patches of the skin losing their pigment. It is estimated that there are 2-3 million patients in the United States with this disorder, and there are no FDA approved treatments.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Phase II trial of INCB54707, a JAK1 selective inhibitor, is ongoing in patients with hidradenitis suppurativa, an inflammatory skin disease.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Phase II trial of itacitinib, a JAK1 selective inhibitor, has been initiated in patients with ulcerative colitis.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Phase II trials of parsaclisib, a PI3Kδ inhibitor, in autoimmune hemolytic anemia and Sjögren's syndrome are underway.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900" w:type="dxa"/>
            <w:vAlign w:val="bottom"/>
            <w:tcBorders>
              <w:top w:val="single" w:sz="8" w:color="auto"/>
            </w:tcBorders>
          </w:tcPr>
          <w:p>
            <w:pPr>
              <w:spacing w:after="0"/>
              <w:rPr>
                <w:sz w:val="21"/>
                <w:szCs w:val="21"/>
                <w:color w:val="auto"/>
              </w:rPr>
            </w:pPr>
          </w:p>
        </w:tc>
        <w:tc>
          <w:tcPr>
            <w:tcW w:w="716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Indication and status</w:t>
            </w:r>
          </w:p>
        </w:tc>
      </w:tr>
      <w:tr>
        <w:trPr>
          <w:trHeight w:val="45"/>
        </w:trPr>
        <w:tc>
          <w:tcPr>
            <w:tcW w:w="1900" w:type="dxa"/>
            <w:vAlign w:val="bottom"/>
            <w:tcBorders>
              <w:bottom w:val="single" w:sz="8" w:color="auto"/>
            </w:tcBorders>
          </w:tcPr>
          <w:p>
            <w:pPr>
              <w:spacing w:after="0"/>
              <w:rPr>
                <w:sz w:val="3"/>
                <w:szCs w:val="3"/>
                <w:color w:val="auto"/>
              </w:rPr>
            </w:pPr>
          </w:p>
        </w:tc>
        <w:tc>
          <w:tcPr>
            <w:tcW w:w="7160" w:type="dxa"/>
            <w:vAlign w:val="bottom"/>
            <w:tcBorders>
              <w:bottom w:val="single" w:sz="8" w:color="auto"/>
            </w:tcBorders>
          </w:tcPr>
          <w:p>
            <w:pPr>
              <w:spacing w:after="0"/>
              <w:rPr>
                <w:sz w:val="3"/>
                <w:szCs w:val="3"/>
                <w:color w:val="auto"/>
              </w:rPr>
            </w:pPr>
          </w:p>
        </w:tc>
      </w:tr>
      <w:tr>
        <w:trPr>
          <w:trHeight w:val="142"/>
        </w:trPr>
        <w:tc>
          <w:tcPr>
            <w:tcW w:w="1900" w:type="dxa"/>
            <w:vAlign w:val="bottom"/>
            <w:shd w:val="clear" w:color="auto" w:fill="CCEEFF"/>
          </w:tcPr>
          <w:p>
            <w:pPr>
              <w:ind w:left="100"/>
              <w:spacing w:after="0" w:line="142" w:lineRule="exact"/>
              <w:rPr>
                <w:sz w:val="20"/>
                <w:szCs w:val="20"/>
                <w:color w:val="auto"/>
              </w:rPr>
            </w:pPr>
            <w:r>
              <w:rPr>
                <w:rFonts w:ascii="Times New Roman" w:cs="Times New Roman" w:eastAsia="Times New Roman" w:hAnsi="Times New Roman"/>
                <w:sz w:val="16"/>
                <w:szCs w:val="16"/>
                <w:b w:val="1"/>
                <w:bCs w:val="1"/>
                <w:color w:val="auto"/>
              </w:rPr>
              <w:t>Ruxolitinib cream</w:t>
            </w:r>
            <w:r>
              <w:rPr>
                <w:rFonts w:ascii="Times New Roman" w:cs="Times New Roman" w:eastAsia="Times New Roman" w:hAnsi="Times New Roman"/>
                <w:sz w:val="12"/>
                <w:szCs w:val="12"/>
                <w:b w:val="1"/>
                <w:bCs w:val="1"/>
                <w:color w:val="auto"/>
              </w:rPr>
              <w:t>1</w:t>
            </w:r>
          </w:p>
        </w:tc>
        <w:tc>
          <w:tcPr>
            <w:tcW w:w="7160" w:type="dxa"/>
            <w:vAlign w:val="bottom"/>
            <w:shd w:val="clear" w:color="auto" w:fill="CCEEFF"/>
          </w:tcPr>
          <w:p>
            <w:pPr>
              <w:ind w:left="340"/>
              <w:spacing w:after="0" w:line="142" w:lineRule="exact"/>
              <w:rPr>
                <w:sz w:val="20"/>
                <w:szCs w:val="20"/>
                <w:color w:val="auto"/>
              </w:rPr>
            </w:pPr>
            <w:r>
              <w:rPr>
                <w:rFonts w:ascii="Times New Roman" w:cs="Times New Roman" w:eastAsia="Times New Roman" w:hAnsi="Times New Roman"/>
                <w:sz w:val="16"/>
                <w:szCs w:val="16"/>
                <w:color w:val="auto"/>
              </w:rPr>
              <w:t>Atopic dermatitis: Phase III (TRuE-AD)</w:t>
            </w:r>
          </w:p>
        </w:tc>
      </w:tr>
      <w:tr>
        <w:trPr>
          <w:trHeight w:val="270"/>
        </w:trPr>
        <w:tc>
          <w:tcPr>
            <w:tcW w:w="1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(JAK1/JAK2)</w:t>
            </w:r>
          </w:p>
        </w:tc>
        <w:tc>
          <w:tcPr>
            <w:tcW w:w="7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Vitiligo: Phase III in preparation (TRuE-V)</w:t>
            </w:r>
          </w:p>
        </w:tc>
      </w:tr>
      <w:tr>
        <w:trPr>
          <w:trHeight w:val="81"/>
        </w:trPr>
        <w:tc>
          <w:tcPr>
            <w:tcW w:w="1900" w:type="dxa"/>
            <w:vAlign w:val="bottom"/>
            <w:shd w:val="clear" w:color="auto" w:fill="CCEEFF"/>
          </w:tcPr>
          <w:p>
            <w:pPr>
              <w:spacing w:after="0"/>
              <w:rPr>
                <w:sz w:val="7"/>
                <w:szCs w:val="7"/>
                <w:color w:val="auto"/>
              </w:rPr>
            </w:pPr>
          </w:p>
        </w:tc>
        <w:tc>
          <w:tcPr>
            <w:tcW w:w="7160" w:type="dxa"/>
            <w:vAlign w:val="bottom"/>
            <w:shd w:val="clear" w:color="auto" w:fill="CCEEFF"/>
          </w:tcPr>
          <w:p>
            <w:pPr>
              <w:spacing w:after="0"/>
              <w:rPr>
                <w:sz w:val="7"/>
                <w:szCs w:val="7"/>
                <w:color w:val="auto"/>
              </w:rPr>
            </w:pPr>
          </w:p>
        </w:tc>
      </w:tr>
      <w:tr>
        <w:trPr>
          <w:trHeight w:val="180"/>
        </w:trPr>
        <w:tc>
          <w:tcPr>
            <w:tcW w:w="1900" w:type="dxa"/>
            <w:vAlign w:val="bottom"/>
          </w:tcPr>
          <w:p>
            <w:pPr>
              <w:ind w:left="100"/>
              <w:spacing w:after="0" w:line="180" w:lineRule="exact"/>
              <w:rPr>
                <w:sz w:val="20"/>
                <w:szCs w:val="20"/>
                <w:color w:val="auto"/>
              </w:rPr>
            </w:pPr>
            <w:r>
              <w:rPr>
                <w:rFonts w:ascii="Times New Roman" w:cs="Times New Roman" w:eastAsia="Times New Roman" w:hAnsi="Times New Roman"/>
                <w:sz w:val="18"/>
                <w:szCs w:val="18"/>
                <w:b w:val="1"/>
                <w:bCs w:val="1"/>
                <w:color w:val="auto"/>
              </w:rPr>
              <w:t>INCB54707</w:t>
            </w:r>
          </w:p>
        </w:tc>
        <w:tc>
          <w:tcPr>
            <w:tcW w:w="7160" w:type="dxa"/>
            <w:vAlign w:val="bottom"/>
          </w:tcPr>
          <w:p>
            <w:pPr>
              <w:ind w:left="340"/>
              <w:spacing w:after="0" w:line="180" w:lineRule="exact"/>
              <w:rPr>
                <w:sz w:val="20"/>
                <w:szCs w:val="20"/>
                <w:color w:val="auto"/>
              </w:rPr>
            </w:pPr>
            <w:r>
              <w:rPr>
                <w:rFonts w:ascii="Times New Roman" w:cs="Times New Roman" w:eastAsia="Times New Roman" w:hAnsi="Times New Roman"/>
                <w:sz w:val="18"/>
                <w:szCs w:val="18"/>
                <w:color w:val="auto"/>
              </w:rPr>
              <w:t>Hidradenitis suppurativa: Phase II</w:t>
            </w:r>
          </w:p>
        </w:tc>
      </w:tr>
      <w:tr>
        <w:trPr>
          <w:trHeight w:val="238"/>
        </w:trPr>
        <w:tc>
          <w:tcPr>
            <w:tcW w:w="1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(JAK1)</w:t>
            </w:r>
          </w:p>
        </w:tc>
        <w:tc>
          <w:tcPr>
            <w:tcW w:w="7160" w:type="dxa"/>
            <w:vAlign w:val="bottom"/>
          </w:tcPr>
          <w:p>
            <w:pPr>
              <w:spacing w:after="0"/>
              <w:rPr>
                <w:sz w:val="20"/>
                <w:szCs w:val="20"/>
                <w:color w:val="auto"/>
              </w:rPr>
            </w:pPr>
          </w:p>
        </w:tc>
      </w:tr>
      <w:tr>
        <w:trPr>
          <w:trHeight w:val="95"/>
        </w:trPr>
        <w:tc>
          <w:tcPr>
            <w:tcW w:w="1900" w:type="dxa"/>
            <w:vAlign w:val="bottom"/>
          </w:tcPr>
          <w:p>
            <w:pPr>
              <w:spacing w:after="0"/>
              <w:rPr>
                <w:sz w:val="8"/>
                <w:szCs w:val="8"/>
                <w:color w:val="auto"/>
              </w:rPr>
            </w:pPr>
          </w:p>
        </w:tc>
        <w:tc>
          <w:tcPr>
            <w:tcW w:w="7160" w:type="dxa"/>
            <w:vAlign w:val="bottom"/>
          </w:tcPr>
          <w:p>
            <w:pPr>
              <w:spacing w:after="0"/>
              <w:rPr>
                <w:sz w:val="8"/>
                <w:szCs w:val="8"/>
                <w:color w:val="auto"/>
              </w:rPr>
            </w:pPr>
          </w:p>
        </w:tc>
      </w:tr>
      <w:tr>
        <w:trPr>
          <w:trHeight w:val="149"/>
        </w:trPr>
        <w:tc>
          <w:tcPr>
            <w:tcW w:w="19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7"/>
                <w:szCs w:val="17"/>
                <w:b w:val="1"/>
                <w:bCs w:val="1"/>
                <w:color w:val="auto"/>
              </w:rPr>
              <w:t>Itacitinib</w:t>
            </w:r>
          </w:p>
        </w:tc>
        <w:tc>
          <w:tcPr>
            <w:tcW w:w="716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7"/>
                <w:szCs w:val="17"/>
                <w:color w:val="auto"/>
              </w:rPr>
              <w:t>Ulcerative colitis: Phase II</w:t>
            </w:r>
          </w:p>
        </w:tc>
      </w:tr>
      <w:tr>
        <w:trPr>
          <w:trHeight w:val="238"/>
        </w:trPr>
        <w:tc>
          <w:tcPr>
            <w:tcW w:w="1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(JAK1)</w:t>
            </w:r>
          </w:p>
        </w:tc>
        <w:tc>
          <w:tcPr>
            <w:tcW w:w="7160" w:type="dxa"/>
            <w:vAlign w:val="bottom"/>
            <w:shd w:val="clear" w:color="auto" w:fill="CCEEFF"/>
          </w:tcPr>
          <w:p>
            <w:pPr>
              <w:spacing w:after="0"/>
              <w:rPr>
                <w:sz w:val="20"/>
                <w:szCs w:val="20"/>
                <w:color w:val="auto"/>
              </w:rPr>
            </w:pPr>
          </w:p>
        </w:tc>
      </w:tr>
      <w:tr>
        <w:trPr>
          <w:trHeight w:val="126"/>
        </w:trPr>
        <w:tc>
          <w:tcPr>
            <w:tcW w:w="1900" w:type="dxa"/>
            <w:vAlign w:val="bottom"/>
            <w:shd w:val="clear" w:color="auto" w:fill="CCEEFF"/>
          </w:tcPr>
          <w:p>
            <w:pPr>
              <w:spacing w:after="0"/>
              <w:rPr>
                <w:sz w:val="10"/>
                <w:szCs w:val="10"/>
                <w:color w:val="auto"/>
              </w:rPr>
            </w:pPr>
          </w:p>
        </w:tc>
        <w:tc>
          <w:tcPr>
            <w:tcW w:w="7160" w:type="dxa"/>
            <w:vAlign w:val="bottom"/>
            <w:shd w:val="clear" w:color="auto" w:fill="CCEEFF"/>
          </w:tcPr>
          <w:p>
            <w:pPr>
              <w:spacing w:after="0"/>
              <w:rPr>
                <w:sz w:val="10"/>
                <w:szCs w:val="10"/>
                <w:color w:val="auto"/>
              </w:rPr>
            </w:pPr>
          </w:p>
        </w:tc>
      </w:tr>
      <w:tr>
        <w:trPr>
          <w:trHeight w:val="149"/>
        </w:trPr>
        <w:tc>
          <w:tcPr>
            <w:tcW w:w="1900" w:type="dxa"/>
            <w:vAlign w:val="bottom"/>
          </w:tcPr>
          <w:p>
            <w:pPr>
              <w:ind w:left="100"/>
              <w:spacing w:after="0" w:line="149" w:lineRule="exact"/>
              <w:rPr>
                <w:sz w:val="20"/>
                <w:szCs w:val="20"/>
                <w:color w:val="auto"/>
              </w:rPr>
            </w:pPr>
            <w:r>
              <w:rPr>
                <w:rFonts w:ascii="Times New Roman" w:cs="Times New Roman" w:eastAsia="Times New Roman" w:hAnsi="Times New Roman"/>
                <w:sz w:val="17"/>
                <w:szCs w:val="17"/>
                <w:b w:val="1"/>
                <w:bCs w:val="1"/>
                <w:color w:val="auto"/>
              </w:rPr>
              <w:t>Parsaclisib</w:t>
            </w:r>
          </w:p>
        </w:tc>
        <w:tc>
          <w:tcPr>
            <w:tcW w:w="7160" w:type="dxa"/>
            <w:vAlign w:val="bottom"/>
          </w:tcPr>
          <w:p>
            <w:pPr>
              <w:ind w:left="340"/>
              <w:spacing w:after="0" w:line="149" w:lineRule="exact"/>
              <w:rPr>
                <w:sz w:val="20"/>
                <w:szCs w:val="20"/>
                <w:color w:val="auto"/>
              </w:rPr>
            </w:pPr>
            <w:r>
              <w:rPr>
                <w:rFonts w:ascii="Times New Roman" w:cs="Times New Roman" w:eastAsia="Times New Roman" w:hAnsi="Times New Roman"/>
                <w:sz w:val="17"/>
                <w:szCs w:val="17"/>
                <w:color w:val="auto"/>
              </w:rPr>
              <w:t>Autoimmune hemolytic anemia: Phase II</w:t>
            </w:r>
          </w:p>
        </w:tc>
      </w:tr>
      <w:tr>
        <w:trPr>
          <w:trHeight w:val="270"/>
        </w:trPr>
        <w:tc>
          <w:tcPr>
            <w:tcW w:w="1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(PI3Kδ)</w:t>
            </w:r>
          </w:p>
        </w:tc>
        <w:tc>
          <w:tcPr>
            <w:tcW w:w="7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Sjögren's syndrome: Phase II</w:t>
            </w:r>
          </w:p>
        </w:tc>
      </w:tr>
      <w:tr>
        <w:trPr>
          <w:trHeight w:val="95"/>
        </w:trPr>
        <w:tc>
          <w:tcPr>
            <w:tcW w:w="1900" w:type="dxa"/>
            <w:vAlign w:val="bottom"/>
            <w:tcBorders>
              <w:bottom w:val="single" w:sz="8" w:color="auto"/>
            </w:tcBorders>
          </w:tcPr>
          <w:p>
            <w:pPr>
              <w:spacing w:after="0"/>
              <w:rPr>
                <w:sz w:val="8"/>
                <w:szCs w:val="8"/>
                <w:color w:val="auto"/>
              </w:rPr>
            </w:pPr>
          </w:p>
        </w:tc>
        <w:tc>
          <w:tcPr>
            <w:tcW w:w="7160" w:type="dxa"/>
            <w:vAlign w:val="bottom"/>
            <w:tcBorders>
              <w:bottom w:val="single" w:sz="8" w:color="auto"/>
            </w:tcBorders>
          </w:tcPr>
          <w:p>
            <w:pPr>
              <w:spacing w:after="0"/>
              <w:rPr>
                <w:sz w:val="8"/>
                <w:szCs w:val="8"/>
                <w:color w:val="auto"/>
              </w:rPr>
            </w:pPr>
          </w:p>
        </w:tc>
      </w:tr>
    </w:tbl>
    <w:p>
      <w:pPr>
        <w:spacing w:after="0" w:line="198" w:lineRule="exact"/>
        <w:rPr>
          <w:sz w:val="20"/>
          <w:szCs w:val="20"/>
          <w:color w:val="auto"/>
        </w:rPr>
      </w:pPr>
    </w:p>
    <w:p>
      <w:pPr>
        <w:ind w:firstLine="2"/>
        <w:spacing w:after="0" w:line="208" w:lineRule="auto"/>
        <w:tabs>
          <w:tab w:leader="none" w:pos="153" w:val="left"/>
        </w:tabs>
        <w:numPr>
          <w:ilvl w:val="0"/>
          <w:numId w:val="2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Novartis’ rights for ruxolitinib outside of the United States under our Collaboration and License Agreement with Novartis do not include topical administration.</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Partnered Programs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Baricitinib</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a second JAK1 and JAK2 inhibitor, baricitinib, which is subject to our collaboration agreement with Eli Lilly and Company, in which Lilly received exclusive worldwide development and commercialization rights to the compound for inflammatory and autoimmune diseases. The Phase III program of baricitinib in patients with rheumatoid arthritis incorporated all three rheumatoid arthritis populations (methotrexate naïve, biologic naïve, and tumor necrosis factor (TNF) inhibitor inadequate responders); used event rates to fully power the baricitinib program for structural comparison and non-inferiority vs. adalimumab; and evaluated patient-reported outcomes. All four Phase III trials met their respective primary endpoints.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January 2016, Lilly submitted a New Drug Application (NDA) to the FDA and a Marketing Authorization Application (MAA) to the European Medicines Agency for baricitinib as treatment for rheumatoid arthritis. In February 2017, we and Lilly announced that the European Commission approved baricitinib as OLUMIANT for the treatment of moderate-to-severe rheumatoid arthritis in adult patients who have responded inadequately to, or who are intolerant to, one or more disease-modifying antirheumatic drugs (DMARDs). In July 2017, Japan's Ministry of Health, Labor and Welfare (MHLW) granted marketing approval for OLUMIANT for the treatment of rheumatoid arthritis (including the prevention of structural injury of joints) in patients with inadequate response to standard-of-care therapies. In June 2018, the FDA approved the 2mg dose of OLUMIANT for the treatment of adults with moderately-to-severely active rheumatoid arthritis (RA) who have had an inadequate response to one or more tumor necrosis factor (TNF) inhibitor therapies.</w:t>
      </w:r>
    </w:p>
    <w:p>
      <w:pPr>
        <w:spacing w:after="0" w:line="18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Rheumatoid Arthritis. </w:t>
      </w:r>
      <w:r>
        <w:rPr>
          <w:rFonts w:ascii="Times New Roman" w:cs="Times New Roman" w:eastAsia="Times New Roman" w:hAnsi="Times New Roman"/>
          <w:sz w:val="18"/>
          <w:szCs w:val="18"/>
          <w:color w:val="auto"/>
        </w:rPr>
        <w:t>Rheumatoid arthritis is an autoimmune disease characterized by aberrant or abnormal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immune mechanisms that lead to joint inflammation and swelling and, in some patients, the progressive destruction of joints. Rheumatoid arthritis can also affect connective tissue in the skin and organs of the body.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Current rheumatoid arthritis treatments include the use of non-steroidal anti-inflammatory drugs, disease-modifying anti-rheumatic drugs, such as methotrexate, and the newer biological response modifiers that target pro-inflammatory cytokines, such as tumor necrosis factor, implicated in the pathogenesis of rheumatoid arthritis. None of these approaches to treatment is curative; therefore, there remains an unmet need for new safe and effective treatment options for these patients. Rheumatoid arthritis is estimated to affect about 1% of the world’s population.</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Atopic Dermatitis. </w:t>
      </w:r>
      <w:r>
        <w:rPr>
          <w:rFonts w:ascii="Times New Roman" w:cs="Times New Roman" w:eastAsia="Times New Roman" w:hAnsi="Times New Roman"/>
          <w:sz w:val="18"/>
          <w:szCs w:val="18"/>
          <w:color w:val="auto"/>
        </w:rPr>
        <w:t>Atopic dermatitis (AtD) is a condition that makes the skin red and itchy and which is common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children but can occur at any age. Atopic dermatitis is long lasting and tends to flare periodically and then subside. Lilly has conducted a Phase IIa trial to evaluate the safety and efficacy of baricitinib in patients with moderate-to-severe atopic dermatitis. The JAK-STAT pathway has been shown to play an essential role in the dysregulation of immune responses in atopic dermatitis. Therefore, we believe that inhibiting cytokine pathways dependent on JAK1 and JAK2 may lead to positive clinical outcomes in atopic dermatitis.</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Phase III program to evaluate the safety and efficacy of baricitinib in patients with moderate to severe AtD is ongoing. In February 2019, we and Lilly announced that baricitinib met the primary endpoint in BREEZE-AD1 and BREEZE-AD2, two Phase III studies evaluating the efficacy and safety of baricitinib monotherapy for the treatment of adult patients with moderate to severe atopic dermatitis. These are two of five studies that will be part of the placebo-controlled data program intended to support global registrations.</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Systemic Lupus Erythematosus. </w:t>
      </w:r>
      <w:r>
        <w:rPr>
          <w:rFonts w:ascii="Times New Roman" w:cs="Times New Roman" w:eastAsia="Times New Roman" w:hAnsi="Times New Roman"/>
          <w:sz w:val="18"/>
          <w:szCs w:val="18"/>
          <w:color w:val="auto"/>
        </w:rPr>
        <w:t>Systemic lupus erythematosus (SLE) is a chronic disease that causes inflammation.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addition to affecting the skin and joints, it can affect other organs in the body such as the kidneys, the tissue lining the lungs and heart, and the brain. Lilly has conducted a Phase II trial to evaluate the safety and efficacy of baricitinib in patients with SLE. Baricitinib’s activity profile suggests that it inhibits cytokines implicated in SLE such as type I interferon (IFN), type II IFN-γ, IL-6, and IL-23 as well as other cytokines that may have a role in SLE, including granulocyte macrophage colony stimulating factor (GM-CSF) and IL-12. The potential impact of baricitinib on the IFN pathway is highly relevant to SLE, as clinical and preclinical studies have established that this pathway is involved in the pathogenesis of SLE. Lilly is currently running a Phase III trial of baricitinib in patients with SLE.</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Alopecia Areata</w:t>
      </w:r>
      <w:r>
        <w:rPr>
          <w:rFonts w:ascii="Times New Roman" w:cs="Times New Roman" w:eastAsia="Times New Roman" w:hAnsi="Times New Roman"/>
          <w:sz w:val="18"/>
          <w:szCs w:val="18"/>
          <w:color w:val="auto"/>
        </w:rPr>
        <w:t>. Alopecia areata is an autoimmune disorder in which the immune system attacks the hair follicles,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causing hair loss in patches. Lilly has initiated the Phase III portion of the ongoing Phase II/III trial designed to evaluate the safety and efficacy of baricitinib in patients with severe alopecia areata.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Capmatinib</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Capmatinib is a potent and highly selective MET inhibitor. The investigational compound has demonstrated inhibitory activity in cell-based biochemical and functional assays that measure MET signaling and MET dependent cell proliferation, survival and migration. Under our agreement, Novartis received worldwide exclusive development and commercialization rights to capmatinib and certain back-up compounds in all indications. Capmatinib is being evaluated in patients with hepatocellular carcinoma, non-small cell lung cancer and other solid tumors, and may have potential utility as a combination agent.</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MET is a clinically validated receptor kinase cancer target. Abnormal MET activation in cancer correlates with poor prognosis. Dysregulation of the MET pathway triggers tumor growth, formation of new blood vessels that supply the tumor with nutrients, and causes cancer to spread to other organs. Dysregulation of the MET pathway is seen in many types of cancers, including lung, kidney, liver, stomach, breast and brain.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October 2018, we and Novartis announced positive preliminary results of the GEOMETRY mono-1 Phase II clinical trial of capmatinib in patients with advanced non-small cell lung cancer (NSCLC) harboring MET exon 14 skipping mutations. In June 2019, we and Novartis announced updated results from the GEOMETRY mono-1 trial, as well as the granting of Breakthrough Therapy designation by the FDA for capmatinib as a treatment for patients with metastatic NSCLC harboring MET exon-14 skipping mutation with disease progression on or after platinum-based chemotherapy.</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NSCLC is the most common type of lung cancer, impacting more than 2 million people per year. Approximately 3-4 percent of all patients with NSCLC have an identified MET mutation. Though rare, this mutation is an indicator of especially poor prognosis and there is currently no approved therapy designed to target this mutation.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760" w:type="dxa"/>
            <w:vAlign w:val="bottom"/>
            <w:tcBorders>
              <w:top w:val="single" w:sz="8" w:color="auto"/>
            </w:tcBorders>
          </w:tcPr>
          <w:p>
            <w:pPr>
              <w:spacing w:after="0"/>
              <w:rPr>
                <w:sz w:val="21"/>
                <w:szCs w:val="21"/>
                <w:color w:val="auto"/>
              </w:rPr>
            </w:pPr>
          </w:p>
        </w:tc>
        <w:tc>
          <w:tcPr>
            <w:tcW w:w="73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Indication and status</w:t>
            </w:r>
          </w:p>
        </w:tc>
      </w:tr>
      <w:tr>
        <w:trPr>
          <w:trHeight w:val="45"/>
        </w:trPr>
        <w:tc>
          <w:tcPr>
            <w:tcW w:w="1760" w:type="dxa"/>
            <w:vAlign w:val="bottom"/>
            <w:tcBorders>
              <w:bottom w:val="single" w:sz="8" w:color="auto"/>
            </w:tcBorders>
          </w:tcPr>
          <w:p>
            <w:pPr>
              <w:spacing w:after="0"/>
              <w:rPr>
                <w:sz w:val="3"/>
                <w:szCs w:val="3"/>
                <w:color w:val="auto"/>
              </w:rPr>
            </w:pPr>
          </w:p>
        </w:tc>
        <w:tc>
          <w:tcPr>
            <w:tcW w:w="7300" w:type="dxa"/>
            <w:vAlign w:val="bottom"/>
            <w:tcBorders>
              <w:bottom w:val="single" w:sz="8" w:color="auto"/>
            </w:tcBorders>
          </w:tcPr>
          <w:p>
            <w:pPr>
              <w:spacing w:after="0"/>
              <w:rPr>
                <w:sz w:val="3"/>
                <w:szCs w:val="3"/>
                <w:color w:val="auto"/>
              </w:rPr>
            </w:pPr>
          </w:p>
        </w:tc>
      </w:tr>
      <w:tr>
        <w:trPr>
          <w:trHeight w:val="142"/>
        </w:trPr>
        <w:tc>
          <w:tcPr>
            <w:tcW w:w="1760" w:type="dxa"/>
            <w:vAlign w:val="bottom"/>
            <w:shd w:val="clear" w:color="auto" w:fill="CCEEFF"/>
          </w:tcPr>
          <w:p>
            <w:pPr>
              <w:ind w:left="100"/>
              <w:spacing w:after="0" w:line="142" w:lineRule="exact"/>
              <w:rPr>
                <w:sz w:val="20"/>
                <w:szCs w:val="20"/>
                <w:color w:val="auto"/>
              </w:rPr>
            </w:pPr>
            <w:r>
              <w:rPr>
                <w:rFonts w:ascii="Times New Roman" w:cs="Times New Roman" w:eastAsia="Times New Roman" w:hAnsi="Times New Roman"/>
                <w:sz w:val="16"/>
                <w:szCs w:val="16"/>
                <w:b w:val="1"/>
                <w:bCs w:val="1"/>
                <w:color w:val="auto"/>
              </w:rPr>
              <w:t>Baricitinib</w:t>
            </w:r>
          </w:p>
        </w:tc>
        <w:tc>
          <w:tcPr>
            <w:tcW w:w="7300" w:type="dxa"/>
            <w:vAlign w:val="bottom"/>
            <w:shd w:val="clear" w:color="auto" w:fill="CCEEFF"/>
          </w:tcPr>
          <w:p>
            <w:pPr>
              <w:ind w:left="100"/>
              <w:spacing w:after="0" w:line="142" w:lineRule="exact"/>
              <w:rPr>
                <w:sz w:val="20"/>
                <w:szCs w:val="20"/>
                <w:color w:val="auto"/>
              </w:rPr>
            </w:pPr>
            <w:r>
              <w:rPr>
                <w:rFonts w:ascii="Times New Roman" w:cs="Times New Roman" w:eastAsia="Times New Roman" w:hAnsi="Times New Roman"/>
                <w:sz w:val="16"/>
                <w:szCs w:val="16"/>
                <w:color w:val="auto"/>
              </w:rPr>
              <w:t>Atopic dermatitis: Phase III (BREEZE-AD)</w:t>
            </w:r>
          </w:p>
        </w:tc>
      </w:tr>
      <w:tr>
        <w:trPr>
          <w:trHeight w:val="238"/>
        </w:trPr>
        <w:tc>
          <w:tcPr>
            <w:tcW w:w="1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(JAK1/JAK2)</w:t>
            </w:r>
            <w:r>
              <w:rPr>
                <w:rFonts w:ascii="Times New Roman" w:cs="Times New Roman" w:eastAsia="Times New Roman" w:hAnsi="Times New Roman"/>
                <w:sz w:val="13"/>
                <w:szCs w:val="13"/>
                <w:b w:val="1"/>
                <w:bCs w:val="1"/>
                <w:color w:val="auto"/>
              </w:rPr>
              <w:t>1</w:t>
            </w:r>
          </w:p>
        </w:tc>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Systemic lupus erythematosus: Phase III</w:t>
            </w:r>
          </w:p>
        </w:tc>
      </w:tr>
      <w:tr>
        <w:trPr>
          <w:trHeight w:val="234"/>
        </w:trPr>
        <w:tc>
          <w:tcPr>
            <w:tcW w:w="1760" w:type="dxa"/>
            <w:vAlign w:val="bottom"/>
            <w:shd w:val="clear" w:color="auto" w:fill="CCEEFF"/>
          </w:tcPr>
          <w:p>
            <w:pPr>
              <w:spacing w:after="0"/>
              <w:rPr>
                <w:sz w:val="20"/>
                <w:szCs w:val="20"/>
                <w:color w:val="auto"/>
              </w:rPr>
            </w:pPr>
          </w:p>
        </w:tc>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Severe alopecia areata: Phase III</w:t>
            </w:r>
          </w:p>
        </w:tc>
      </w:tr>
      <w:tr>
        <w:trPr>
          <w:trHeight w:val="230"/>
        </w:trPr>
        <w:tc>
          <w:tcPr>
            <w:tcW w:w="1760" w:type="dxa"/>
            <w:vAlign w:val="bottom"/>
            <w:shd w:val="clear" w:color="auto" w:fill="CCEEFF"/>
          </w:tcPr>
          <w:p>
            <w:pPr>
              <w:spacing w:after="0"/>
              <w:rPr>
                <w:sz w:val="19"/>
                <w:szCs w:val="19"/>
                <w:color w:val="auto"/>
              </w:rPr>
            </w:pPr>
          </w:p>
        </w:tc>
        <w:tc>
          <w:tcPr>
            <w:tcW w:w="7300" w:type="dxa"/>
            <w:vAlign w:val="bottom"/>
            <w:shd w:val="clear" w:color="auto" w:fill="CCEEFF"/>
          </w:tcPr>
          <w:p>
            <w:pPr>
              <w:spacing w:after="0"/>
              <w:rPr>
                <w:sz w:val="19"/>
                <w:szCs w:val="19"/>
                <w:color w:val="auto"/>
              </w:rPr>
            </w:pPr>
          </w:p>
        </w:tc>
      </w:tr>
      <w:tr>
        <w:trPr>
          <w:trHeight w:val="238"/>
        </w:trPr>
        <w:tc>
          <w:tcPr>
            <w:tcW w:w="17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Capmatinib (MET)</w:t>
            </w:r>
            <w:r>
              <w:rPr>
                <w:rFonts w:ascii="Times New Roman" w:cs="Times New Roman" w:eastAsia="Times New Roman" w:hAnsi="Times New Roman"/>
                <w:sz w:val="13"/>
                <w:szCs w:val="13"/>
                <w:b w:val="1"/>
                <w:bCs w:val="1"/>
                <w:color w:val="auto"/>
              </w:rPr>
              <w:t>2</w:t>
            </w:r>
          </w:p>
        </w:tc>
        <w:tc>
          <w:tcPr>
            <w:tcW w:w="7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NSCLC (with MET exon 14 skipping mutations): NDA expected in H2 2019 (by Novartis)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174625</wp:posOffset>
            </wp:positionV>
            <wp:extent cx="57543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82" w:lineRule="exact"/>
        <w:rPr>
          <w:sz w:val="20"/>
          <w:szCs w:val="20"/>
          <w:color w:val="auto"/>
        </w:rPr>
      </w:pPr>
    </w:p>
    <w:p>
      <w:pPr>
        <w:ind w:left="140" w:hanging="138"/>
        <w:spacing w:after="0"/>
        <w:tabs>
          <w:tab w:leader="none" w:pos="140" w:val="left"/>
        </w:tabs>
        <w:numPr>
          <w:ilvl w:val="0"/>
          <w:numId w:val="2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Baricitinib licensed to Lilly</w:t>
      </w:r>
    </w:p>
    <w:p>
      <w:pPr>
        <w:spacing w:after="0" w:line="109" w:lineRule="exact"/>
        <w:rPr>
          <w:rFonts w:ascii="Times New Roman" w:cs="Times New Roman" w:eastAsia="Times New Roman" w:hAnsi="Times New Roman"/>
          <w:sz w:val="27"/>
          <w:szCs w:val="27"/>
          <w:color w:val="auto"/>
          <w:vertAlign w:val="superscript"/>
        </w:rPr>
      </w:pPr>
    </w:p>
    <w:p>
      <w:pPr>
        <w:ind w:left="140" w:hanging="138"/>
        <w:spacing w:after="0" w:line="186" w:lineRule="auto"/>
        <w:tabs>
          <w:tab w:leader="none" w:pos="140" w:val="left"/>
        </w:tabs>
        <w:numPr>
          <w:ilvl w:val="0"/>
          <w:numId w:val="2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Capmatinib licensed to Novartis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 and Business Relationships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establish business relationships, including collaborative arrangements with other companies and medical research institutions to assist in the clinical development and/or commercialization of certain of our drugs and drug candidates and to provide support for our research programs. We also evaluate opportunities for acquiring products or rights to products and technologies that are complementary to our business from other companies and medical research institutions.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Below is a brief description of our significant business relationships and collaborations and related license agreements that expand our pipeline and provide us with certain rights to existing and potential new products and technologies.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Novartis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November 2009, we entered into a Collaboration and License Agreement with Novartis. Under the terms of the agreement, Novartis received exclusive development and commercialization rights outside of the United States to ruxolitinib and certain back-up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back-up compounds in all indications. We retained options to co-develop and to co-promote capmatinib in the United States.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this agreement, we received an upfront payment and immediate milestone payment totaling $210.0 million and were initially eligible to receive additional payments of up to approximately $1.2 billion if defined development and commercialization milestones are achieved. We are also eligible to receive tiered, double-digit royalties ranging from the upper-teens to the mid-twenties percent on future ruxolitinib net sales outside of the United States, and tiered, worldwide royalties on future capmatinib net sales that range from 12% to 14%. In addition, Novartis has received reimbursement and pricing approval for ruxolitinib in a specified number of countries, and we are now obligated to pay to Novartis tiered royalties in the low single-digits on future ruxolitinib net sales within the United States. Each company is responsible for costs relating to the development and commercialization of ruxolitinib in its respective territories, with costs of collaborative studies shared equally. Novartis is also responsible for all costs relating to the development and commercialization of capmatinib.</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April 2016, we amended this agreement to provide that Novartis has exclusive research, development and commercialization rights outside of the United States to ruxolitinib (excluding topical formulations) in the GVHD field. Under this amendment, we received a $5.0 million payment in exchange for the development and commercialization rights to ruxolitinib in GVHD outside of the United States and became eligible to receive up to $75.0 million of additional potential development and regulatory milestones relating to GVHD. In March 2017, we recognized a $25.0 million milestone for the first patient first visit in a GVHD study and in December 2017, we recognized a $40.0 million milestone for Novartis achieving annual net sales of a JAK licensed product of $600.0 million. In December 2018, we recognized a $60.0 million milestone for Novartis achieving annual net sales of a JAK licensed product of $900.0 million.</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Novartis agreement will continue on a program-by-program basis until Novartis has no royalty payment obligations with respect to such program or, if earlier, the termination of the agreement or any program in accordance with the terms of the agreement. Royalties are payable by Novartis on a product-by-product and country-by-country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Novartis or its affiliates or sublicensees. The agreement may be terminated in its entirety or on a program-by-program basis by Novartis for convenience. The agreement may also be terminated by either party under certain other circumstances, including material breach.</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Lilly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2009, we entered into a License, Development and Commercialization Agreement with Lilly. Under the terms of the agreement, Lilly received exclusive worldwide development and commercialization rights to baricitinib and certain back-up compounds for inflammatory and autoimmune diseases. We received an initial payment of $90.0 million, and were initially eligible to receive additional payments of up to $665.0 million based on the achievement of defined development, regulatory and commercialization milestones.</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retained options to co-develop our JAK1/JAK2 inhibitors with Lilly on a compound-by-compound and indication-by-indication basis. Lilly is responsible for all costs relating to the development and commercialization of the compounds unless we elect to co-develop any compounds or indications. If we elect to co-develop any compounds and/or indications, we would be responsible for funding 30% of the associated future global development costs from the initiation of a Phase IIb trial through regulatory approval, including post-launch studies required by a regulatory authority. We would receive an incremental royalty rate increase across all tiers resulting in effective royalty rates ranging up to the high twenties</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potential future global net sales for compounds and/or indications that we elect to co-develop. For indications that we elect not to co-develop, we would receive tiered, double-digit royalty payments on future global net sales with rates ranging up to 20% if the product is successfully commercialized. If we have started co-development funding for any indication, we can at any time opt out and stop future co-development cost sharing. If we elect to do this we would still be eligible for our base royalties plus an incremental pro-rated royalty commensurate with our contribution to the total co-development cost for those indications for which we co-funded. We previously had retained an option to co-promote products in the United States but, in March 2016, we waived our co-promotion option as part of an amendment to the agreement.</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July 2010, we elected to co-develop baricitinib with Lilly in rheumatoid arthritis, and subsequently in several additional indications, and became responsible for funding 30% of the associated global development costs for such indications from the initiation of the Phase IIb trial through regulatory approval, including post-launch studies required by a regulatory authority. In April 2019, we elected to end additional co-funding of the development of baricitinib in all indications, effective as of January 1, 2019. Pursuant to the terms of the Lilly agreement, we will continue to receive base tiered royalties on global net sales of OLUMIANT in all indications, as well as pro-rated incremental royalties, as described above.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March 2016, we entered into an amendment to the agreement with Lilly that allows us to engage in the development and commercialization of ruxolitinib in the GVHD field. We paid Lilly an upfront payment of $35.0 million and Lilly is eligible to receive up to $40.0 million in additional regulatory milestone payments relating to ruxolitinib in the GVHD field. In May 2019, the approval of JAKAFI in steroid-refractory acute GVHD triggered a $20.0 million milestone payment to Lilly.</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February 2017, the European Commission announced the approval of baricitinib as OLUMIANT, triggering a $65.0 million milestone payment from Lilly. In July 2017, Japan's MHLW granted marketing approval for OLUMIANT, triggering a $15.0 million milestone payment from Lilly. In December 2017, we recognized a $30.0 million milestone payment for the first patient treated in the atopic dermatitis Phase III program for baricitinib. In June 2018, the FDA approved the 2mg dose of OLUMIANT, triggering a $100.0 million milestone payment from Lilly. In September 2018, we recognized a $20.0 million milestone payment for the first patient treated in the systemic lupus erythematosus Phase III program for baricitinib.</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Lilly agreement will continue until Lilly no longer has any royalty payment obligations or, if earlier, the termination of the agreement in accordance with its terms. Royalties are payable by Lilly on a product-by-product and country-by-country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Lilly or its affiliates or sublicensees. The agreement may be terminated by Lilly for convenience, and may also be terminated under certain other circumstances, including material breach.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Agenus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January 2015, we entered into a License, Development and Commercialization Agreement with Agenus Inc. and its wholly-owned subsidiary, 4-Antibody AG (now known as Agenus Switzerland Inc.), which we collectively refer to as Agenus. Under this agreement, the parties have agreed to collaborate on the discovery of novel immuno-therapeutics using Agenus’ antibody discovery platforms. In February 2017, we and Agenus amended this agreement.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terms of this agreement, as amended, we received exclusive worldwide development and commercialization rights to four checkpoint modulators directed against GITR, OX40, LAG-3 and TIM-3. In addition to the initial four program targets, we and Agenus have the option to jointly nominate and pursue additional targets within the framework of the collaboration, and in November 2015, three more targets were added. Targets may be designated profit-share programs, where all costs and profits are shared equally by us and Agenus, or royalty-bearing programs, where we are responsible for all costs associated with discovery, preclinical, clinical development and commercialization activities. The programs relating to GITR and OX40 and two of the undisclosed targets were profit-share programs until February 2017, while the other targets currently under collaboration are royalty-bearing programs. The February 2017 amendment converted the programs relating to GITR and OX40 to royalty-bearing programs and removed from the</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collaboration the profit-share programs relating to the two undisclosed targets, with one reverting to us and one reverting to Agenus. Should any of those removed programs be successfully developed by a party, the other party will be eligible to receive the same milestone payments as the royalty-bearing programs and royalties at a 15% rate on global net sales. There are currently no profit-share programs. For each royalty-bearing product other than GITR and OX40, Agenus will be eligible to receive tiered royalties on global net sales ranging from 6% to 12%. For GITR and OX40, Agenus will be eligible to receive 15% royalties on global net sales. Under the February 2017 amendment, we paid Agenus $20.0 million in accelerated milestones relating to the clinical development of the GITR and OX40 programs. Agenus is eligible to receive up to an additional $510.0 million in future contingent development, regulatory and commercialization milestones across all programs in the collaboration. The agreement may be terminated by us for convenience upon 12 months’ notice and may also be terminated under certain other circumstances, including material breach.</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Takeda (ARIAD)</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June 2016, we acquired from ARIAD Pharmaceuticals, Inc. all of the outstanding shares of ARIAD Pharmaceuticals (Luxembourg) S.à.r.l., the parent company of ARIAD’s European subsidiaries responsible for the development and commercialization of ICLUSIG in the European Union and other countries. We obtained an exclusive license to develop and commercialize ICLUSIG in Europe and other select countries. ARIAD was subsequently acquired by Takeda Pharmaceutical Company Limited in 2017. As such, Takeda will be eligible to receive from us tiered royalties on net sales of ICLUSIG in our territory and up to $135.0 million in potential future oncology development and regulatory approval milestone payments, together with additional milestone payments for non-oncology indications, if approved, in our territory.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Merus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December 2016, we entered into a Collaboration and License Agreement with Merus N.V. Under this agreement, which became effective in January 2017, the parties have agreed to collaborate with respect to the research, discovery and development of bispecific antibodies utilizing Merus’ technology platform. The collaboration encompasses up to eleven independent programs.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most advanced collaboration program is MCLA-145, a bispecific antibody targeting PD-L1 and CD137, for which we received exclusive development and commercialization rights outside of the United States. Merus retained exclusive development and commercialization rights in the United States to MCLA-145. Each party will share equally the costs of mutually agreed global development activities for MCLA-145, and fund itself any independent development activities in its territory. Merus will be responsible for commercializing MCLA-145 in the United States and we will be responsible for commercializing it outside of the United States.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receiving rights to MCLA-145 outside of the United States, we received worldwide exclusive development and commercialization rights to up to ten additional programs. Of these ten additional programs, Merus retained the option, subject to certain conditions, to co-fund development of up to two such programs. If Merus exercises its co-funding option for a program, Merus would be responsible for funding 35% of the associated future global development costs and, for certain of such programs, would be responsible for reimbursing us for certain development costs incurred prior to the option exercise. Merus will also have the right to participate in a specified proportion of detailing activities in the United States for one of those co-developed programs. All costs related to the co-funded collaboration programs are subject to joint research and development plans and overseen by a joint development committee, but we will have final determination as to such plans in cases of dispute. We will be responsible for all research, development and commercialization costs relating to all other programs.</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February 2017, we paid Merus an upfront non-refundable payment of $120.0 million. For each program as to which Merus does not have commercialization or development co-funding rights, Merus will be eligible to receive up to $100.0 million in future contingent development and regulatory milestones, and up to $250.0 million in commercialization milestones as well as tiered royalties ranging from 6% to 10% of global net sales. For each program as to which Merus exercises its option to co-fund development, Merus will be eligible to receive a 50% share of profits (or sustain 50% of any losses) in the United States and be eligible to receive tiered royalties ranging from 6% to 10% of net sales of products outside of the United States. If Merus opts to cease co-funding a program as to which it exercised its co-development</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option, then Merus will no longer receive a share of profits in the United States but will be eligible to receive the same milestones from the co-funding termination date and the same tiered royalties described above with respect to programs where Merus does not have a right to co-fund development and, depending on the stage at which Merus chose to cease co-funding development costs, Merus will be eligible to receive additional royalties ranging up to 4% of net sales in the United States. For MCLA-145, we and Merus will each be eligible to receive tiered royalties on net sales in the other party’s territory at rates ranging from 6% to 10%.</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Merus agreement will continue on a program-by-program basis until we have no royalty payment obligations with respect to such program or, if earlier, the termination of the agreement or any program in accordance with the terms of the agreement. The agreement may be terminated in its entirety or on a program-by-program basis by us for convenience. The agreement may also be terminated by either party under certain other circumstances, including material breach, as set forth in the agreement. If the agreement is terminated with respect to one or more programs, all rights in the terminated programs revert to Merus, subject to payment to us of a reverse royalty of up to 4% on sales of future products, if Merus elects to pursue development and commercialization of products arising from the terminated programs.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Calithera</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January 2017, we entered into a Collaboration and License Agreement with Calithera Biosciences, Inc. Under this agreement, we received an exclusive, worldwide license to develop and commercialize small molecule arginase inhibitors, including INCB01158 (CB-1158), which is currently in Phase I clinical trials, for hematology and oncology indications. We have agreed to co-fund 70% of the global development costs for the development of the licensed products for hematology and oncology indications. Calithera will have the right to conduct certain clinical development under the collaboration, including combination studies of a licensed product with a proprietary compound of Calithera. We will be entitled to 60% of the profits and losses from net sales of licensed product in the United States, and Calithera will have the right to co-detail licensed products in the United States, and we have agreed to pay Calithera tiered royalties ranging from the low to mid-double digits on net sales of licensed products outside the United States. Calithera may opt out of its co-funding obligation, in which case the U.S. profit sharing will no longer be in effect, and we have agreed to pay Calithera tiered royalties ranging from the low to mid-double digits on net sales of licensed products both in the United States and outside the United States, and additional royalties to reimburse Calithera for previously incurred development costs.</w:t>
      </w:r>
    </w:p>
    <w:p>
      <w:pPr>
        <w:spacing w:after="0" w:line="191"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Calithera retains rights to certain arginase inhibitors that are not part of the collaboration for specific orphan indications outside of hematology and oncology, subject to our rights to negotiate a license for any such programs under specified circumstances if Calithera elects to out-license them.</w:t>
      </w:r>
    </w:p>
    <w:p>
      <w:pPr>
        <w:spacing w:after="0" w:line="176"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January 2017, we paid Calithera an upfront license fee of $45.0 million and have agreed to pay potential development, regulatory and sales milestone payments of over $430.0 million if the profit share is in effect, or $750.0 million if the profit share terminates.</w:t>
      </w:r>
    </w:p>
    <w:p>
      <w:pPr>
        <w:spacing w:after="0" w:line="176"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The Calithera agreement will continue on a product-by-product and country-by-country basis for so long as we are developing or commercializing products in the United States (if the parties are sharing profits in the United States) and until we have no further royalty payment obligations, unless earlier terminated according to the terms of the agreement. The agreement may be terminated in its entirety or on a product-by-product and/or a country-by-country basis by us for convenience. The agreement may also be terminated by us for Calithera’s uncured material breach, by Calithera for our uncured material breach and by either party for bankruptcy or patent challenge. If the agreement is terminated early with respect to one or more products or countries, all rights in the terminated products and countries revert to Calithera.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MacroGenics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October 2017, we entered into a Global Collaboration and License Agreement with MacroGenics. Under this agreement, we received exclusive development and commercialization rights worldwide to MacroGenics’ INCMGA0012, an investigational monoclonal antibody that inhibits PD-1. Except as set forth in the succeeding sentence, we will have sole authority over and bear all costs and expenses in connection with the development and commercialization of INCMGA0012 in all indications, whether as a monotherapy or as part of a combination regimen. MacroGenics has retained the right to develop and commercialize, at its cost and expense, its pipeline assets in combination with</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INCMGA0012. In addition, MacroGenics has the right to manufacture a portion of both companies’ global clinical and commercial supply needs of INCMGA0012. In December 2017, we paid MacroGenics an upfront payment of $150.0 million. MacroGenics will be eligible to receive up to $420.0 million in future contingent development and regulatory milestones, and up to $330.0 million in commercial milestones as well as tiered royalties ranging from 15% to 24% of global net sales.</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MacroGenics agreement will continue until we are no longer commercializing, developing or manufacturing INCMGA0012 or, if earlier, the termination of the agreement in accordance with its terms. The agreement may be terminated in its entirety or on a licensed product by licensed product basis by us for convenience. The agreement may also be terminated by either party under certain other circumstances, including material breach, as set forth in the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Syros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January 2018, we entered into a target discovery, research collaboration and option agreement with Syros Pharmaceuticals, Inc. Under this agreement, Syros will use its proprietary gene control platform to identify novel therapeutic targets with a focus in myeloproliferative neoplasms and we have received options to obtain exclusive worldwide rights to intellectual property resulting from the collaboration for up to seven validated targets. We will have exclusive worldwide rights to develop and commercialize any therapies under the collaboration that modulate those validated targets. We paid Syros $2.5 million in cash for access to proprietary technology and $7.5 million in cash for research and development services. We have agreed to pay Syros up to $54.0 million in target selection and option exercise fees should we decide to exercise all of our options under the agreement. For products resulting from the collaboration against each of the seven selected and validated targets, we have agreed to pay up to $50.0 million in potential development and regulatory milestones and up to $65.0 million in potential commercial milestones. Syros is also eligible to receive low single-digit royalties on net sales of products resulting from the collaboration.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Innovent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December 2018, we entered into a research collaboration and licensing agreement with Innovent Biologics, Inc. Under the terms of this agreement, Innovent received exclusive development and commercialization rights to our clinical-stage product candidates pemigatinib, itacitinib and parsaclisib in hematology and oncology in mainland China, Hong Kong, Macau and Taiwan. In January 2019, we recognized an upfront payment under this agreement of $40.0 million upon our transfer of the intellectual property related to the clinical-stage product candidates to Innovent. In addition, we are eligible to receive $20.0 million in connection with the first related IND filing in China, up to $129.0 million in potential development and regulatory milestones, and up to $202.5 million in potential commercial milestones. We are also eligible to receive tiered royalties from the high-teens to the low-twenties on future sales of products resulting from the collaboration. We retain an option to assist in the promotion of the three product candidates in the Innovent territories. In June 2019, we recognized the $20.0 million milestone for the first related IND filing in China.</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Zai Lab</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July 2019, we entered into a collaboration and license agreement with a subsidiary of Zai Lab Ltd. Under the terms of this agreement, Zai Lab received development and exclusive commercialization rights to INCMGA0012 in hematology and oncology in mainland China, Hong Kong, Macau and Taiwan. We expect to recognize an upfront payment under this agreement of $17.5 million during the third quarter of 2019, and are eligible to receive an additional $60.0 million in potential development, regulatory and commercial milestones, as well as tiered royalties from the low to mid-twenties. We also retain an option to assist in the promotion of INCMGA0012 in Zai Lab’s licensed territories.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Estimates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requires us to make estimates, assumptions and judgments that affect the reported amounts of assets, liabilities, revenues and expenses, and related disclosures of contingent assets and liabilities. On an ongoing basis, we evaluate our estimates. We base our estimates on historical experience and various other assumptions that we believe to be reasonable under the circumstances, the results of which form our basis for making</w:t>
      </w:r>
    </w:p>
    <w:p>
      <w:pPr>
        <w:sectPr>
          <w:pgSz w:w="11900" w:h="16838" w:orient="portrait"/>
          <w:cols w:equalWidth="0" w:num="1">
            <w:col w:w="9060"/>
          </w:cols>
          <w:pgMar w:left="1420" w:top="513" w:right="141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judgments about the carrying values of assets and liabilities that are not readily apparent from other sources. Actual results may differ from those estimates under different assumptions or conditions. We believe the following critical accounting policies reflect the more significant judgments and estimates used in the preparation of our condensed consolidated financial statements. See Note 2 of Notes to the Condensed Consolidated Financial Statements for a complete list of our significant accounting policies.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We recognize revenue only when we have satisfied a performance obligation through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transferring control of the promised good or service to a customer. Control, in this instance, may mean the ability to prevent other entities from directing the use of, and receiving benefit from, a good or service. The standard indicates that an entity must determine at contract inception whether it will transfer control of a promised good or service over time or satisfy the performance obligation at a point in time through analysis of the following criteria: (i) the entity has a present right to payment, (ii) the customer has legal title, (iii) the customer has physical possession, (iv) the customer has the significant risks and rewards of ownership and (v) the customer has accepted the asset. We assess collectability based primarily on the customer’s payment history and on the creditworthiness of the customer.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Product Revenues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product revenues consist of U.S. sales of JAKAFI and European sales of ICLUSIG. Product revenues are recognized once we satisfy the performance obligation at a point in time under the revenue recognition criteria as described above. We recognize revenues for product received by our customers net of allowances for customer credits, including estimated rebates, chargebacks, discounts, returns, distribution service fees, patient assistance programs, and government rebates, such as Medicare Part D coverage gap reimbursements in the U.S. These sales allowances and accruals are recorded based on estimates which are described in detail below. Estimates are assessed as of the end of each reporting period and are updated to reflect current information. We believe that our sales allowances and accruals are reasonable and appropriate based on current facts and circumstances.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Customer Credits: </w:t>
      </w:r>
      <w:r>
        <w:rPr>
          <w:rFonts w:ascii="Times New Roman" w:cs="Times New Roman" w:eastAsia="Times New Roman" w:hAnsi="Times New Roman"/>
          <w:sz w:val="18"/>
          <w:szCs w:val="18"/>
          <w:color w:val="auto"/>
        </w:rPr>
        <w:t>Our customers are offered various forms of consideration, including allowances, service fees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prompt payment discounts. We expect our customers will earn prompt payment discounts and, therefore, we deduct the full amount of these discounts from total product sales when revenues are recognized. Service fees are also deducted from total product sales as they are earned.</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Rebates and Discounts: </w:t>
      </w:r>
      <w:r>
        <w:rPr>
          <w:rFonts w:ascii="Times New Roman" w:cs="Times New Roman" w:eastAsia="Times New Roman" w:hAnsi="Times New Roman"/>
          <w:sz w:val="18"/>
          <w:szCs w:val="18"/>
          <w:color w:val="auto"/>
        </w:rPr>
        <w:t>We accrue rebates for mandated discounts under the Medicaid Drug Rebate Program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and mandated discounts in Europe in markets where government-sponsored healthcare systems are the primary payers for healthcare. These accruals are based on statutory discount rates and expected utilization as well as historical data we have accumulated since product launch. Our estimates for expected utilization of rebates are based on data received from our customers. Rebates are generally invoiced and paid in arrears so that the accrual balance consists of an estimate of the amount expected to be incurred for the current quarter’s activity, plus an accrual balance for known prior quarters’ unpaid rebates. In addition to actual rebates received, we maintain an accrual for the estimated rebates on the inventory levels on hand in our distribution channel. If actual future rebates vary from estimates, we may need to adjust prior period accruals, which would affect revenue in the period of adjustment.</w:t>
      </w:r>
    </w:p>
    <w:p>
      <w:pPr>
        <w:spacing w:after="0" w:line="18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Chargebacks: </w:t>
      </w:r>
      <w:r>
        <w:rPr>
          <w:rFonts w:ascii="Times New Roman" w:cs="Times New Roman" w:eastAsia="Times New Roman" w:hAnsi="Times New Roman"/>
          <w:sz w:val="18"/>
          <w:szCs w:val="18"/>
          <w:color w:val="auto"/>
        </w:rPr>
        <w:t>Chargebacks are discounts that occur when certain contracted customers purchase directly from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wholesalers at a discounted price. The wholesalers, in turn, charges back to us the difference between the price initially paid by the wholesalers and the discounted price paid by the contracted customers. In addition to actual chargebacks received, we maintain an accrual for chargebacks based on the estimated contractual discounts on the inventory levels on hand in our distribution channel. If actual future chargebacks vary from these estimates, we may need to adjust prior period accruals, which would affect revenue in the period of adjustment.</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Medicare Part D Coverage Gap: </w:t>
      </w:r>
      <w:r>
        <w:rPr>
          <w:rFonts w:ascii="Times New Roman" w:cs="Times New Roman" w:eastAsia="Times New Roman" w:hAnsi="Times New Roman"/>
          <w:sz w:val="18"/>
          <w:szCs w:val="18"/>
          <w:color w:val="auto"/>
        </w:rPr>
        <w:t>Medicare Part D prescription drug benefit mandates manufacturers to fund 70%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Medicare Part D insurance coverage gap for prescription drugs sold to eligible patients. Our estimates for the expected Medicare Part D coverage gap are based on historical invoices received and in part from data received from our customers. Funding of the coverage gap is generally invoiced and paid in arrears so that the accrual balance consists of an estimate of the amount expected to be incurred for the current quarter’s activity, plus an accrual balance for known prior quarters. In addition, we maintain an accrual for the estimated coverage gap on the inventory levels on hand in our</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distribution channel. If actual future funding varies from estimates, we may need to adjust prior period accruals, which would affect revenue in the period of adjustment.</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Co-payment Assistance: </w:t>
      </w:r>
      <w:r>
        <w:rPr>
          <w:rFonts w:ascii="Times New Roman" w:cs="Times New Roman" w:eastAsia="Times New Roman" w:hAnsi="Times New Roman"/>
          <w:sz w:val="18"/>
          <w:szCs w:val="18"/>
          <w:color w:val="auto"/>
        </w:rPr>
        <w:t>Patients who have commercial insurance and meet certain eligibility requirements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co-payment assistance. We accrue a liability for co-payment assistance based on actual program participation and estimates of program redemption using data provided by third-party administrators and we accrue for estimated co-payment assistance on the inventory levels on hand in our distribution channel.</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Product Royalty Revenues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Royalty revenues on commercial sales for JAKAVI by Novartis are estimated based on information provided by Novartis. Royalty revenues on commercial sales for OLUMIANT by Lilly are estimated based on information provided by Lilly. We exercise judgment in determining whether the information provided is sufficiently reliable for us to base our royalty revenue recognition thereon. If actual royalties vary from estimates, we may need to adjust the prior period, which would affect royalty revenue and receivable in the period of adjustment.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Milestone and Contract Revenues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the inception of the contract, the transaction price reflects the amount of consideration we expect to be entitled to in exchange for transferring promised goods or services to our collaborator. We review our estimate of the transaction price each period, and make revisions to such estimates as necessary. Milestone and contract revenues from collaborative agreements with multiple performance obligations is determined based upon assessment of each distinct promised good or service’s estimated fair value and recognized based upon the transfer of the promised good or service to our collaborator.</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license agreements often include contractual milestones, which typically relate to the achievement of pre-specified development, regulatory and commercialization events outside of our control, such as regulatory approval of a compound, first patient dosing or achievement of sales-based thresholds. As such, milestones associated with our collaborations involve a substantial degree of uncertainty and risk that they may never be received. Given the uncertainty associated with achieving these milestones, a constraint on the allocated consideration is assessed each reporting period. Revenues are recognized when achievement is probable, which may not be until achieved.</w:t>
      </w:r>
    </w:p>
    <w:p>
      <w:pPr>
        <w:spacing w:after="0" w:line="18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Compensation. </w:t>
      </w:r>
      <w:r>
        <w:rPr>
          <w:rFonts w:ascii="Times New Roman" w:cs="Times New Roman" w:eastAsia="Times New Roman" w:hAnsi="Times New Roman"/>
          <w:sz w:val="18"/>
          <w:szCs w:val="18"/>
          <w:color w:val="auto"/>
        </w:rPr>
        <w:t>Share-based payment transactions with employees, which include stock options, restricted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units (RSUs) and performance shares (PSUs), are recognized as compensation expense over the requisite service period based on their estimated fair values at the date of grant as well as expected forfeiture rates based on actual experience. The stock compensation process requires significant judgment and the use of estimates, particularly surrounding Black-Scholes assumptions such as stock price volatility over the option term and expected option lives, as well as expected forfeiture rates and the probability of PSUs vesting. The fair value of stock options, which are subject to graded vesting, are recognized as compensation expense over the requisite service period using the accelerated attribution method. The fair value of RSUs that are subject to cliff vesting are recognized as compensation expense over the requisite service period using the straight-line attribution method, and the fair value of RSUs that are subject to graded vesting are recognized as compensation expense over the requisite service period using the accelerated attribution method. The fair value of PSUs are recognized as compensation expense beginning at the time in which the performance conditions are deemed probable of achievement. We assess the probability of achievement of performance conditions, including projected product revenues and clinical development milestones, as of the end of each reporting period. Once a performance condition is considered probable, we record compensation expense based on the portion of the service period elapsed to date with respect to that award, with a cumulative catch-up, net of estimated forfeitures, and recognize any remaining compensation expense, if any, over the remaining requisite service period using the straight-line attribution method for PSUs that are subject to cliff vesting and using the accelerated attribution method for PSUs that are subject to graded vesting.</w:t>
      </w:r>
    </w:p>
    <w:p>
      <w:pPr>
        <w:spacing w:after="0" w:line="19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We account for income taxes using an asset and liability approach to financial accounting for income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taxes. Under this method, deferred tax assets and liabilities are determined based on the difference between the financial statement carrying amounts and tax bases of assets and liabilities using enacted tax rates in effect for years in which the basis differences are expected to reverse. We periodically assess the likelihood of the realization of deferred tax</w:t>
      </w:r>
    </w:p>
    <w:p>
      <w:pPr>
        <w:sectPr>
          <w:pgSz w:w="11900" w:h="16838" w:orient="portrait"/>
          <w:cols w:equalWidth="0" w:num="1">
            <w:col w:w="9060"/>
          </w:cols>
          <w:pgMar w:left="1420" w:top="513" w:right="1419"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assets, and reduce the carrying amount of these deferred tax assets to an amount that is considered to be more-likely-than-not to be realizable. Our assessment considers recent cumulative earnings experience, projections of future taxable income (losses) and ongoing prudent and feasible tax planning strategies. When performing our assessment on projections of future taxable income (losses), we consider factors such as the likelihood of regulatory approval and commercial success of products currently under development, among other factors. Significant judgment is required in making this assessment and, to the extent that a reversal of any portion of our valuation allowance against our deferred tax assets is deemed appropriate, a tax benefit will be recognized against our income tax provision in the period of such reversal.</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recognize the tax benefit from an uncertain tax position only if it is more-likely-than-not that the position will be sustained upon examination by the taxing authorities, including resolutions of any related appeals or litigation processes, based on the technical merits of the position. The tax benefit that is recorded for these positions is measured at the largest amount of benefit that is greater than 50 percent likely of being realized upon ultimate settlement. We adjust the level of the liability to reflect any subsequent changes in the relevant facts surrounding the uncertain positions. Any interest and penalties on uncertain tax positions are included within the tax provision.</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record estimates and prepare and file tax returns in various jurisdictions across the U.S., Europe, and Asia based upon our interpretation of local tax laws and regulations. While we exercise significant judgment when applying complex tax laws and regulations in these various taxing jurisdictions, many of our tax returns are open to audit, and may be subject to future tax, interest, and penalty assessments.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our estimates for the valuation allowances against certain deferred tax assets and the amount of benefits associated with uncertain tax positions recognized in our financial statements are appropriate based upon our assessment of the factors mentioned above.</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Acquisition-related contingent consideration. </w:t>
      </w:r>
      <w:r>
        <w:rPr>
          <w:rFonts w:ascii="Times New Roman" w:cs="Times New Roman" w:eastAsia="Times New Roman" w:hAnsi="Times New Roman"/>
          <w:sz w:val="18"/>
          <w:szCs w:val="18"/>
          <w:color w:val="auto"/>
        </w:rPr>
        <w:t>Acquisition-related contingent consideration, which consists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future royalty and certain potential milestone obligations to ARIAD/Takeda, was recorded on the acquisition date at the estimated fair value of the obligation, in accordance with the acquisition method of accounting. The fair value of the contingent consideration was determined using an income approach based on estimated ICLUSIG revenues in the European Union and other countries. As the fair value measurement is based on significant inputs that are unobservable in the market, this represents a Level 3 measurement.</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fair value of the acquisition-related contingent consideration is remeasured each reporting period, with changes in fair value recorded in the consolidated statements of operations. The assumptions used to determine the fair value of the acquisition-related contingent consideration include projected ICLUSIG revenues and discount rates which, require significant judgement and are analyzed on a quarterly basis. While we use the best available information to prepare our projected ICLUSIG revenues and discount rate assumptions, actual ICLUSIG revenues and/or market conditions could differ significantly. Changes to one or multiple inputs could have a material impact on the amount of acquisition-related contingent consideration expense recorded during the reporting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February 2016, the Financial Accounting Standards Board (“FASB”) issued ASC 842, Leases, that requires lessees to recognize assets and liabilities on the balance sheet for most leases including operating leases. Additionally, the FASB issued clarifying guidance to the topic in ASUs No. 2018-10, No. 2018-11, No. 2018-20 and No. 2019-01 which clarified certain aspects of the new leases standard and provided an optional transition method. The guidance requires that the lessees classify leases as either a finance or operating lease and lessors classify all leases as sales-type, direct financing or operating leases. The statement of operations presentation and expense recognition for lessees for finance leases is similar to that of capital leases under ASC 840, with separate interest and amortization expense with higher interest expense in the earlier periods of a lease. For operating leases, the statement of operations presentation and expense recognition is similar to that of operating leases under ASC 840, with a single lease cost recognized on a straight-line basis. We implemented a third-party information technology application to facilitate activities for the new accounting and disclosure requirements and implemented new internal control procedures to support the new accounting and reporting processes associated with adopting the guidance. We elected the package of practical expedients and adopted utilizing the optional</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transition method as defined within ASU No. 2018-11. Accordingly, prior periods will not be restated to reflect the adopted standard. We did not elect the hindsight expedient.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 result of adoption on January 1, 2019, we recorded $23.6 million of lease right-of-use assets, $23.7 million of lease liabilities and an adjustment to retained earnings of $0.1 million. In addition, our capital lease assets and liabilities are now classified as finance lease right-of-use assets and liabilities. The capital asset and financing liability of $18.7 million recorded in 2018 related to the Morges office building and construction, described more fully in Note 7, was derecognized upon adoption. The adoption of the standard did not materially impact our consolidated net income and had no impact on our consolidated cash flows.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June 2016, the FASB issued ASU No. 2016-13, “Financial Instruments – Credit Losses (Topic 326): Measurement of Credit Losses on Financial Instruments.” This guidance applies to all entities and impacts how entities account for credit losses for most financial assets and other instruments. For available-for-sale debt securities, entities will be required to recognize an allowance for credit losses rather than a reduction to the carrying value of the asset. For trade receivables, loans and held-to-maturity debt securities, entities will be required to estimate lifetime expected credit losses. The FASB released clarifying guidance in April 2019 within ASU No. 2019-04, “Codification Improvements to Topic 326, Financial Instruments – Credit Losses,” and in May 2019 within ASU No. 2019-05, “Financial Instruments – Credit Losses (Topic 326): Targeted Transition Relief.” The updates provide guidance on estimating credit losses, including transition relief by allowing for election of the fair value methodology on an instrument-by-instrument basis for eligible financial instruments within the scope of ASC 825-10. This guidance is effective for fiscal years beginning after December 15, 2019 and interim periods therein. Elections under ASU 2019-05 require a modified retrospective application through a cumulative-effect adjustment in the opening balance of retained earnings upon adoption. We are currently analyzing the impact of the ASUs on our condensed consolidated financial statements.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June 2018, the FASB issued ASU No. 2018-07, “Compensation – Stock Compensation (Topic 718): Improvements to Nonemployee Share-Based Payment Accounting.” This guidance expanded the scope of ASC 718 to include share-based payments granted to nonemployees in exchange for goods or services and supersedes the guidance in ASC 505-50. Under this new standard, nonemployee awards are measured on the grant date by estimating the fair value of the equity instruments to be issued rather than the fair value of the goods or services received. Entities may use the expected term when estimating the fair value of a nonemployee option or elect to use the contractual term as the expected term, on an award-by-award basis. The cumulative effect of the transition adjustment is to be recorded as an adjustment to retained earnings as of the beginning of the annual period of adoption. We adopted this standard for the period beginning January 1, 2019 and concluded there to be no change in our previous accounting for nonemployee awards and no impact on our condensed consolidated financial statements.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August 2018, the FASB issued ASU No. 2018-14, “Compensation – Retirement Benefits – Defined Benefit Plans</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General,” an update to Subtopic ASC 715-20. The guidance amended year-end disclosure requirements related to defined benefit pension plans, and does not affect interim disclosures. The guidance is effective for fiscal years ending after December 15, 2020, and is permitted for early adoption. The standard is to be applied on a retrospective basis. Incyte sponsors defined benefit plans for employees located in Europe. We are currently analyzing the impact of ASU No. 2018-14 on our consolidated financial statements.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August 2018, the FASB issued ASU No. 2018-15, “Intangibles – Goodwill and Other – Internal-Use Software,” an update to Subtopic ASC 350-40. The guidance directs accounting for service contracts for cloud computing arrangements to follow guidance within ASC 350-40 to determine capitalization of implementation costs. The guidance is effective for fiscal years beginning after December 15, 2019, and is permitted for early adoption. The standard may be applied on either a retrospective or prospective basis. We are currently analyzing the impact of ASU No. 2018-15 on our condensed consolidated financial statements.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August 2018, the SEC issued a final rule Release No. 33-10532, “Disclosure Update and Simplification,” to amend certain disclosure requirements now seen as redundant, duplicative, overlapping, outdated or superseded in the wake of recent accounting pronouncements. The amended rules became effective November 5, 2018. We analyzed the release in preparation of our Form 10-Q during the first interim period in 2019, which resulted in the additional disclosure of changes to stockholders’ equity during interim periods, as presented within the condensed consolidated statements of</w:t>
      </w:r>
    </w:p>
    <w:p>
      <w:pPr>
        <w:sectPr>
          <w:pgSz w:w="11900" w:h="16838" w:orient="portrait"/>
          <w:cols w:equalWidth="0" w:num="1">
            <w:col w:w="9060"/>
          </w:cols>
          <w:pgMar w:left="1420" w:top="513" w:right="141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stockholders’ equity. We note that many of the amended requirements under this Release are not applicable to the Company, as we do not make dividend payments to stockholders, currently report our activities under a single business segment, and already provided all other significant disclosure requirements.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November 2018, the FASB issued ASU No. 2018-18, “Collaborative Arrangements (Topic 808): Clarifying the Interaction Between Topic 808 and Topic 606.” The guidance clarifies the interactions between Topic 808 and Topic 606, including clarifications on revenue recognition, unit of account, and reporting disclosure requirements. The guidance is effective for fiscal years beginning after December 15, 2019, and is permitted for early adoption. The standard is to be applied on a retrospective basis to the date of the initial application of Topic 606. We utilize collaborative arrangements as described in our license agreements footnote and are currently analyzing the impact of ASU No. 2018-18 on our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recorded net income of $105.3 million and basic net income per share of $0.49 and diluted net income per share of $0.48 for the three months ended June 30, 2019, as compared to net income of $52.4 million and basic net income per share of $0.25 and diluted net income per share of $0.24 in the corresponding period in 2018. We recorded net income of $207.6 million and basic net income per share of $0.97 and diluted net income per share of $0.96 for the six months ended June 30, 2019, as compared to net income of $11.3 million and basic and diluted net income per share of $0.05 in the corresponding period in 2018.</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20" w:type="dxa"/>
            <w:vAlign w:val="bottom"/>
          </w:tcPr>
          <w:p>
            <w:pPr>
              <w:spacing w:after="0"/>
              <w:rPr>
                <w:sz w:val="13"/>
                <w:szCs w:val="13"/>
                <w:color w:val="auto"/>
              </w:rPr>
            </w:pPr>
          </w:p>
        </w:tc>
        <w:tc>
          <w:tcPr>
            <w:tcW w:w="228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73"/>
        </w:trPr>
        <w:tc>
          <w:tcPr>
            <w:tcW w:w="3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3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2"/>
                <w:szCs w:val="12"/>
                <w:color w:val="auto"/>
              </w:rPr>
            </w:pPr>
          </w:p>
        </w:tc>
      </w:tr>
      <w:tr>
        <w:trPr>
          <w:trHeight w:val="142"/>
        </w:trPr>
        <w:tc>
          <w:tcPr>
            <w:tcW w:w="3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3"/>
          </w:tcPr>
          <w:p>
            <w:pPr>
              <w:jc w:val="center"/>
              <w:ind w:left="476"/>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3"/>
          </w:tcPr>
          <w:p>
            <w:pPr>
              <w:jc w:val="center"/>
              <w:ind w:left="436"/>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JAKAFI revenues, net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5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785.1</w:t>
            </w:r>
          </w:p>
        </w:tc>
        <w:tc>
          <w:tcPr>
            <w:tcW w:w="5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659.3</w:t>
            </w:r>
          </w:p>
        </w:tc>
        <w:tc>
          <w:tcPr>
            <w:tcW w:w="180" w:type="dxa"/>
            <w:vAlign w:val="bottom"/>
            <w:shd w:val="clear" w:color="auto" w:fill="CCEEFF"/>
          </w:tcPr>
          <w:p>
            <w:pPr>
              <w:spacing w:after="0"/>
              <w:rPr>
                <w:sz w:val="18"/>
                <w:szCs w:val="18"/>
                <w:color w:val="auto"/>
              </w:rPr>
            </w:pPr>
          </w:p>
        </w:tc>
      </w:tr>
      <w:tr>
        <w:trPr>
          <w:trHeight w:val="216"/>
        </w:trPr>
        <w:tc>
          <w:tcPr>
            <w:tcW w:w="3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ICLUSIG revenues, net</w:t>
            </w:r>
          </w:p>
        </w:tc>
        <w:tc>
          <w:tcPr>
            <w:tcW w:w="6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80" w:type="dxa"/>
            <w:vAlign w:val="bottom"/>
            <w:tcBorders>
              <w:bottom w:val="single" w:sz="8" w:color="CCEEFF"/>
            </w:tcBorders>
          </w:tcPr>
          <w:p>
            <w:pPr>
              <w:spacing w:after="0"/>
              <w:rPr>
                <w:sz w:val="18"/>
                <w:szCs w:val="18"/>
                <w:color w:val="auto"/>
              </w:rPr>
            </w:pPr>
          </w:p>
        </w:tc>
      </w:tr>
      <w:tr>
        <w:trPr>
          <w:trHeight w:val="210"/>
        </w:trPr>
        <w:tc>
          <w:tcPr>
            <w:tcW w:w="3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product revenues, net</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830.1</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8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JAKAVI product royalty revenues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8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OLUMIANT product royalty revenues</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80" w:type="dxa"/>
            <w:vAlign w:val="bottom"/>
            <w:shd w:val="clear" w:color="auto" w:fill="CCEEFF"/>
          </w:tcPr>
          <w:p>
            <w:pPr>
              <w:spacing w:after="0"/>
              <w:rPr>
                <w:sz w:val="18"/>
                <w:szCs w:val="18"/>
                <w:color w:val="auto"/>
              </w:rPr>
            </w:pPr>
          </w:p>
        </w:tc>
      </w:tr>
      <w:tr>
        <w:trPr>
          <w:trHeight w:val="210"/>
        </w:trPr>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product royalty revenues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8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Milestone and contract revenues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8"/>
                <w:szCs w:val="18"/>
                <w:color w:val="auto"/>
              </w:rPr>
            </w:pPr>
          </w:p>
        </w:tc>
      </w:tr>
      <w:tr>
        <w:trPr>
          <w:trHeight w:val="210"/>
        </w:trPr>
        <w:tc>
          <w:tcPr>
            <w:tcW w:w="34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increase in JAKAFI product revenues for the three months ended June 30, 2019 as compared to the corresponding period in 2018 was comprised of a volume increase of $44.1 million and a price increase of $19.8 million. The increase in JAKAFI product revenues for the six months ended June 30, 2019 as compared to the corresponding period in 2018 was comprised of a volume increase of $85.6 million and a price increase of $40.2 million. Our product revenues may fluctuate from quarter to quarter due to our customers’ purchasing patterns over the course of the year, including as a result of increased inventory building by customers in advance of expected or announced price increases. Product revenues are recorded net of estimated product returns, pricing discounts including rebates offered pursuant to mandatory federal and state government programs and chargebacks, prompt pay discounts and distribution fees and co-pay assistance. Our revenue recognition policies require estimates of the aforementioned sales allowances each period.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summary of activity with respect to our sales allowances and accruals (in thousands):</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Discounts and</w:t>
            </w:r>
          </w:p>
        </w:tc>
        <w:tc>
          <w:tcPr>
            <w:tcW w:w="160" w:type="dxa"/>
            <w:vAlign w:val="bottom"/>
          </w:tcPr>
          <w:p>
            <w:pPr>
              <w:spacing w:after="0"/>
              <w:rPr>
                <w:sz w:val="13"/>
                <w:szCs w:val="13"/>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Co-Pay</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Assistance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2019</w:t>
            </w:r>
          </w:p>
        </w:tc>
        <w:tc>
          <w:tcPr>
            <w:tcW w:w="16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Distribution</w:t>
            </w:r>
          </w:p>
        </w:tc>
        <w:tc>
          <w:tcPr>
            <w:tcW w:w="160" w:type="dxa"/>
            <w:vAlign w:val="bottom"/>
          </w:tcPr>
          <w:p>
            <w:pPr>
              <w:spacing w:after="0"/>
              <w:rPr>
                <w:sz w:val="12"/>
                <w:szCs w:val="12"/>
                <w:color w:val="auto"/>
              </w:rPr>
            </w:pPr>
          </w:p>
        </w:tc>
        <w:tc>
          <w:tcPr>
            <w:tcW w:w="9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Rebates and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and Other</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5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Fees</w:t>
            </w:r>
          </w:p>
        </w:tc>
        <w:tc>
          <w:tcPr>
            <w:tcW w:w="160" w:type="dxa"/>
            <w:vAlign w:val="bottom"/>
          </w:tcPr>
          <w:p>
            <w:pPr>
              <w:spacing w:after="0"/>
              <w:rPr>
                <w:sz w:val="15"/>
                <w:szCs w:val="15"/>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Chargebacks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Discounts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2019</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Allowances for current period sales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Allowances for prior period sales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Credits/payments for current period sales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(91,243)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Credits/payments for prior period sales</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June 30, 2019</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5,851</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55,201</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Government rebates and chargebacks are the most significant component of our sales allowances. Increases in certain government reimbursement rates are limited to a measure of inflation, and when the price of a drug increases faster than this measure of inflation it will result in a penalty adjustment factor that causes a larger sales allowance to those government related entities. We expect government rebates and chargebacks as a percentage of our gross product sales will continue to increase in connection with any future JAKAFI price increases greater than the rate of inflation, and any such increase in these government rebates and chargebacks will have a negative impact on our reported product revenues, net. We adjust our estimates for government rebates and chargebacks based on new information regarding actual rebates as it becomes available. Claims by third-party payors for rebates and chargebacks are frequently submitted after the period in which the related sales occurred, which may result in adjustments to prior period accrual balances in the period in which the new information becomes available. We also adjust our allowance for product returns based on new information regarding actual returns as it becomes available.</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expect our sales allowances to fluctuate from quarter to quarter as a result of the Medicare Part D Coverage Gap, the volume of purchases eligible for government mandated discounts and rebates as well as changes in discount percentages which are impacted by potential future price increases, rate of inflation, and other factors.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Product royalty revenues on commercial sales of JAKAVI by Novartis are based on net sales of licensed products in licensed territories as provided by Novartis. Product royalty revenues on commercial sales of OLUMIANT by Lilly are based on net sales of licensed products in licensed territories as provided by Lilly.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milestone and contract revenues for the six months ended June 30, 2019, were derived from a $40.0 million upfront payment and $20.0 million milestone under the Innovent research collaboration and licensing agreement. During the six months ended June 30, 2018, under the Lilly agreement, we recognized a $100.0 million regulatory milestone payment for the approval of the 2mg dose of OLUMIANT for the treatment of moderately-to-severely active rheumatoid arthritis in adult patients by the FDA.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73"/>
        </w:trPr>
        <w:tc>
          <w:tcPr>
            <w:tcW w:w="3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center"/>
              <w:ind w:left="43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3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2"/>
                <w:szCs w:val="12"/>
                <w:color w:val="auto"/>
              </w:rPr>
            </w:pPr>
          </w:p>
        </w:tc>
      </w:tr>
      <w:tr>
        <w:trPr>
          <w:trHeight w:val="142"/>
        </w:trPr>
        <w:tc>
          <w:tcPr>
            <w:tcW w:w="3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4"/>
          </w:tcPr>
          <w:p>
            <w:pPr>
              <w:jc w:val="center"/>
              <w:ind w:left="437"/>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costs</w:t>
            </w:r>
          </w:p>
        </w:tc>
        <w:tc>
          <w:tcPr>
            <w:tcW w:w="1040" w:type="dxa"/>
            <w:vAlign w:val="bottom"/>
            <w:gridSpan w:val="2"/>
            <w:shd w:val="clear" w:color="auto" w:fill="CCEEFF"/>
          </w:tcPr>
          <w:p>
            <w:pPr>
              <w:jc w:val="right"/>
              <w:ind w:right="52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5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Salary and benefits related</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Royalty expense</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8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definite-lived intangible assets</w:t>
            </w:r>
          </w:p>
        </w:tc>
        <w:tc>
          <w:tcPr>
            <w:tcW w:w="3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shd w:val="clear" w:color="auto" w:fill="CCEEFF"/>
          </w:tcPr>
          <w:p>
            <w:pPr>
              <w:spacing w:after="0"/>
              <w:rPr>
                <w:sz w:val="18"/>
                <w:szCs w:val="18"/>
                <w:color w:val="auto"/>
              </w:rPr>
            </w:pPr>
          </w:p>
        </w:tc>
      </w:tr>
      <w:tr>
        <w:trPr>
          <w:trHeight w:val="210"/>
        </w:trPr>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cost of product revenues</w:t>
            </w:r>
          </w:p>
        </w:tc>
        <w:tc>
          <w:tcPr>
            <w:tcW w:w="360" w:type="dxa"/>
            <w:vAlign w:val="bottom"/>
          </w:tcPr>
          <w:p>
            <w:pPr>
              <w:spacing w:after="0"/>
              <w:rPr>
                <w:sz w:val="18"/>
                <w:szCs w:val="18"/>
                <w:color w:val="auto"/>
              </w:rPr>
            </w:pPr>
          </w:p>
        </w:tc>
        <w:tc>
          <w:tcPr>
            <w:tcW w:w="68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29.4</w:t>
            </w:r>
          </w:p>
        </w:tc>
        <w:tc>
          <w:tcPr>
            <w:tcW w:w="16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80" w:type="dxa"/>
            <w:vAlign w:val="bottom"/>
          </w:tcPr>
          <w:p>
            <w:pPr>
              <w:spacing w:after="0"/>
              <w:rPr>
                <w:sz w:val="18"/>
                <w:szCs w:val="18"/>
                <w:color w:val="auto"/>
              </w:rPr>
            </w:pPr>
          </w:p>
        </w:tc>
      </w:tr>
      <w:tr>
        <w:trPr>
          <w:trHeight w:val="20"/>
        </w:trPr>
        <w:tc>
          <w:tcPr>
            <w:tcW w:w="3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Cost of product revenues includes all JAKAFI and ICLUSIG related product costs, low single-digit royalties to Novartis on all sales of JAKAFI in the United States and amortization of our licensed intellectual property rights for</w:t>
      </w:r>
    </w:p>
    <w:p>
      <w:pPr>
        <w:sectPr>
          <w:pgSz w:w="11900" w:h="16838" w:orient="portrait"/>
          <w:cols w:equalWidth="0" w:num="1">
            <w:col w:w="9060"/>
          </w:cols>
          <w:pgMar w:left="1420" w:top="513" w:right="141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ICLUSIG using the straight-line method over the estimated useful life of 12.5 years. The increase in cost of product revenues for the three and six months ended June 30, 2019 as compared to the same periods in 2018 is due primarily to increased royalties to Novartis on all JAKAFI sales in the United States.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210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96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73"/>
        </w:trPr>
        <w:tc>
          <w:tcPr>
            <w:tcW w:w="50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center"/>
              <w:ind w:left="31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center"/>
              <w:ind w:left="31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50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2018</w:t>
            </w: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2"/>
                <w:szCs w:val="12"/>
                <w:color w:val="auto"/>
              </w:rPr>
            </w:pPr>
          </w:p>
        </w:tc>
      </w:tr>
      <w:tr>
        <w:trPr>
          <w:trHeight w:val="142"/>
        </w:trPr>
        <w:tc>
          <w:tcPr>
            <w:tcW w:w="5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3"/>
          </w:tcPr>
          <w:p>
            <w:pPr>
              <w:jc w:val="center"/>
              <w:ind w:left="297"/>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4"/>
          </w:tcPr>
          <w:p>
            <w:pPr>
              <w:jc w:val="center"/>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2"/>
                <w:szCs w:val="12"/>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Salary and benefits related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8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8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 research and outside services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w:t>
            </w:r>
          </w:p>
        </w:tc>
        <w:tc>
          <w:tcPr>
            <w:tcW w:w="180" w:type="dxa"/>
            <w:vAlign w:val="bottom"/>
            <w:shd w:val="clear" w:color="auto" w:fill="CCEEFF"/>
          </w:tcPr>
          <w:p>
            <w:pPr>
              <w:spacing w:after="0"/>
              <w:rPr>
                <w:sz w:val="18"/>
                <w:szCs w:val="18"/>
                <w:color w:val="auto"/>
              </w:rPr>
            </w:pPr>
          </w:p>
        </w:tc>
      </w:tr>
      <w:tr>
        <w:trPr>
          <w:trHeight w:val="216"/>
        </w:trPr>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Occupancy and all other costs</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80" w:type="dxa"/>
            <w:vAlign w:val="bottom"/>
            <w:tcBorders>
              <w:bottom w:val="single" w:sz="8" w:color="CCEEFF"/>
            </w:tcBorders>
          </w:tcPr>
          <w:p>
            <w:pPr>
              <w:spacing w:after="0"/>
              <w:rPr>
                <w:sz w:val="18"/>
                <w:szCs w:val="18"/>
                <w:color w:val="auto"/>
              </w:rPr>
            </w:pPr>
          </w:p>
        </w:tc>
      </w:tr>
      <w:tr>
        <w:trPr>
          <w:trHeight w:val="210"/>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r>
              <w:rPr>
                <w:rFonts w:ascii="Times New Roman" w:cs="Times New Roman" w:eastAsia="Times New Roman" w:hAnsi="Times New Roman"/>
                <w:sz w:val="18"/>
                <w:szCs w:val="18"/>
                <w:u w:val="single" w:color="auto"/>
                <w:color w:val="auto"/>
              </w:rPr>
              <w:t>4</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r>
              <w:rPr>
                <w:rFonts w:ascii="Times New Roman" w:cs="Times New Roman" w:eastAsia="Times New Roman" w:hAnsi="Times New Roman"/>
                <w:sz w:val="18"/>
                <w:szCs w:val="18"/>
                <w:u w:val="single" w:color="auto"/>
                <w:color w:val="auto"/>
              </w:rPr>
              <w:t>1</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559.9</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r>
              <w:rPr>
                <w:rFonts w:ascii="Times New Roman" w:cs="Times New Roman" w:eastAsia="Times New Roman" w:hAnsi="Times New Roman"/>
                <w:sz w:val="18"/>
                <w:szCs w:val="18"/>
                <w:u w:val="single" w:color="auto"/>
                <w:color w:val="auto"/>
              </w:rPr>
              <w:t>2</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account for research and development costs by natural expense line and not costs by project. Salary and benefits related expense increased from the three and six months ended June 30, 2018 to the three and six months ended June 30, 2019 due primarily to increased development headcount to sustain our development pipeline. Stock compensation expense may fluctuate from period to period based on the number of awards granted, stock price volatility and expected award lives, as well as expected award forfeiture rates which are used to value equity-based compensation.</w:t>
      </w:r>
    </w:p>
    <w:p>
      <w:pPr>
        <w:spacing w:after="0" w:line="1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decrease in clinical research and outside services expense from the six months ended June 30, 2018 to the six months ended June 30, 2019 was primarily due to upfront and milestone expenses related to our collaborative agreements recorded during 2018 and the election to end additional co-funding of the development of baricitinib with Lilly effective as of January 1, 2019. Research and development expenses include upfront and milestone expenses related to our collaborative agreements of $25.0 million and $25.3 million for the three and six months ended June 30, 2019. Research and development expenses include upfront and milestone expenses related to our collaborative agreements of $20.0 million and $32.4 million for the three and six months ended June 30, 2018. For the three and six months ended June 30, 2019, we recorded no research and development expense under the Lilly agreement for co-funding the development of baricitinib. For the three and six months ended June 30, 2018, we recorded $14.2 million and $26.7 million, respectively, in research and development expenses under the Lilly agreement representing 30% of the global development costs for baricitinib for the treatment of rheumatoid arthritis, psoriatic arthritis and atopic dermatitis. Research and development expenses for the three and six months ended June 30, 2019 and 2018 were net of $2.4 million, $6.4 million, $2.2 million and $4.5 million, respectively, of costs reimbursed by our collaborative partners.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one-time expenses resulting from upfront fees in connection with the entry into any new or amended collaboration agreements and payment of milestones under those agreements, research and development expenses may fluctuate from period to period depending upon the stage of certain projects and the level of pre-clinical and clinical trial related activities. Many factors can affect the cost and timing of our clinical trials, including requests by regulatory agencies for more information, inconclusive results requiring additional clinical trials, slow patient enrollment, adverse side effects among patients, insufficient supplies for our clinical trials and real or perceived lack of effectiveness or safety of our investigational drugs in our clinical trials. In addition, the development of all of our products will be subject to extensive governmental regulation. These factors make it difficult for us to predict the timing and costs of the further development and approval of our products.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210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96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73"/>
        </w:trPr>
        <w:tc>
          <w:tcPr>
            <w:tcW w:w="50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50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2018</w:t>
            </w: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2"/>
                <w:szCs w:val="12"/>
                <w:color w:val="auto"/>
              </w:rPr>
            </w:pPr>
          </w:p>
        </w:tc>
      </w:tr>
      <w:tr>
        <w:trPr>
          <w:trHeight w:val="142"/>
        </w:trPr>
        <w:tc>
          <w:tcPr>
            <w:tcW w:w="5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3"/>
          </w:tcPr>
          <w:p>
            <w:pPr>
              <w:jc w:val="center"/>
              <w:ind w:left="298"/>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4"/>
          </w:tcPr>
          <w:p>
            <w:pPr>
              <w:jc w:val="center"/>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2"/>
                <w:szCs w:val="12"/>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Salary and benefits related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8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8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contract services and outside costs</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80" w:type="dxa"/>
            <w:vAlign w:val="bottom"/>
            <w:shd w:val="clear" w:color="auto" w:fill="CCEEFF"/>
          </w:tcPr>
          <w:p>
            <w:pPr>
              <w:spacing w:after="0"/>
              <w:rPr>
                <w:sz w:val="18"/>
                <w:szCs w:val="18"/>
                <w:color w:val="auto"/>
              </w:rPr>
            </w:pPr>
          </w:p>
        </w:tc>
      </w:tr>
      <w:tr>
        <w:trPr>
          <w:trHeight w:val="21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r>
              <w:rPr>
                <w:rFonts w:ascii="Times New Roman" w:cs="Times New Roman" w:eastAsia="Times New Roman" w:hAnsi="Times New Roman"/>
                <w:sz w:val="18"/>
                <w:szCs w:val="18"/>
                <w:u w:val="single" w:color="auto"/>
                <w:color w:val="auto"/>
              </w:rPr>
              <w:t>9</w:t>
            </w:r>
          </w:p>
        </w:tc>
        <w:tc>
          <w:tcPr>
            <w:tcW w:w="200" w:type="dxa"/>
            <w:vAlign w:val="bottom"/>
          </w:tcPr>
          <w:p>
            <w:pPr>
              <w:spacing w:after="0"/>
              <w:rPr>
                <w:sz w:val="18"/>
                <w:szCs w:val="18"/>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r>
              <w:rPr>
                <w:rFonts w:ascii="Times New Roman" w:cs="Times New Roman" w:eastAsia="Times New Roman" w:hAnsi="Times New Roman"/>
                <w:sz w:val="18"/>
                <w:szCs w:val="18"/>
                <w:u w:val="single" w:color="auto"/>
                <w:color w:val="auto"/>
              </w:rPr>
              <w:t>0</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r>
              <w:rPr>
                <w:rFonts w:ascii="Times New Roman" w:cs="Times New Roman" w:eastAsia="Times New Roman" w:hAnsi="Times New Roman"/>
                <w:sz w:val="18"/>
                <w:szCs w:val="18"/>
                <w:u w:val="single" w:color="auto"/>
                <w:color w:val="auto"/>
              </w:rPr>
              <w:t>9</w:t>
            </w: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r>
              <w:rPr>
                <w:rFonts w:ascii="Times New Roman" w:cs="Times New Roman" w:eastAsia="Times New Roman" w:hAnsi="Times New Roman"/>
                <w:sz w:val="18"/>
                <w:szCs w:val="18"/>
                <w:u w:val="single" w:color="auto"/>
                <w:color w:val="auto"/>
              </w:rPr>
              <w:t>5</w:t>
            </w:r>
          </w:p>
        </w:tc>
        <w:tc>
          <w:tcPr>
            <w:tcW w:w="18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Salary and benefits related expense increased from the three and six months ended June 30, 2018 to the three and six months ended June 30, 2019 due to increased headcount. This increased headcount was due primarily to the ongoing commercialization efforts related to JAKAFI for intermediate or high-risk myelofibrosis and uncontrolled polycythemia vera. Stock compensation expense may fluctuate from period to period based on the number of awards granted, stock price volatility and expected award lives, as well as expected award forfeiture rates which are used to value equity-based compensation.</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Change in fair value of acquisition-related contingent consideration</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Acquisition-related contingent consideration, which consists of our future royalty and certain potential milestone obligations to Takeda, was recorded on the acquisition date, June 1, 2016, at the estimated fair value of the obligation, in accordance with the acquisition method of accounting. The fair value of the acquisition-related contingent consideration is remeasured quarterly. The change in fair value of the acquisition-related contingent consideration for the three and six months ended June 30, 2019 was $6.6 million and $13.3 million, respectively, which is recorded in change in fair value of acquisition-related contingent consideration on the condensed consolidated statements of operations. The change in fair value of the acquisition-related contingent consideration for the three and six months ended June 30, 2018 was $7.3 million and $14.0 million, respectively, which is recorded in change in fair value of acquisition-related contingent consideration on the condensed consolidated statements of operations. The change in fair value for the three and six months ended June 30, 2019 and 2018 was due primarily to the passage of time as there were no other significant changes in the key assumptions during the periods.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Other income (expense), net for the three and six months ended June 30, 2019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$15.0 million and $24.4 million, respectively. Other income (expense), net for the three and six months ended June 30, 2018 was $5.8 million and $10.3 million, respectively. The increase in other income (expense), net primarily relates to interest income.</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for the three and six months ended June 30, 2019 was $0.3 million and $0.7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respectively. Interest expense for the three and six months ended June 30, 2018 was $0.4 million and $0.8 million, respectively. Included in interest expense for the three and six months ended June 30, 2019 was $0.2 million and $0.4 million, respectively, of non-cash charges to amortize the discount on the 2020 Notes. Included in interest expense for the three and six months ended June 30, 2018 was $0.3 million and $0.6 million, respectively, of non-cash charges to amortize the discounts on the 2018 and 2020 convertible senior notes.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Unrealized gain (loss) on long term investments. </w:t>
      </w:r>
      <w:r>
        <w:rPr>
          <w:rFonts w:ascii="Times New Roman" w:cs="Times New Roman" w:eastAsia="Times New Roman" w:hAnsi="Times New Roman"/>
          <w:sz w:val="18"/>
          <w:szCs w:val="18"/>
          <w:color w:val="auto"/>
        </w:rPr>
        <w:t>Unrealized gains and losses on long term investments will fluctuate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period to period, based on the change in fair value of the securities we hold in our publicly held collaboration partners. The following table provides a summary of those unrealized gains and (losses):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9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20" w:type="dxa"/>
            <w:vAlign w:val="bottom"/>
          </w:tcPr>
          <w:p>
            <w:pPr>
              <w:spacing w:after="0"/>
              <w:rPr>
                <w:sz w:val="13"/>
                <w:szCs w:val="13"/>
                <w:color w:val="auto"/>
              </w:rPr>
            </w:pPr>
          </w:p>
        </w:tc>
        <w:tc>
          <w:tcPr>
            <w:tcW w:w="198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73"/>
        </w:trPr>
        <w:tc>
          <w:tcPr>
            <w:tcW w:w="4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center"/>
              <w:ind w:left="29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center"/>
              <w:ind w:left="33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4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2018</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2"/>
                <w:szCs w:val="12"/>
                <w:color w:val="auto"/>
              </w:rPr>
            </w:pPr>
          </w:p>
        </w:tc>
      </w:tr>
      <w:tr>
        <w:trPr>
          <w:trHeight w:val="142"/>
        </w:trPr>
        <w:tc>
          <w:tcPr>
            <w:tcW w:w="4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tcPr>
          <w:p>
            <w:pPr>
              <w:jc w:val="center"/>
              <w:ind w:left="317"/>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4"/>
          </w:tcPr>
          <w:p>
            <w:pPr>
              <w:jc w:val="center"/>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2"/>
                <w:szCs w:val="12"/>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Agenus</w:t>
            </w:r>
          </w:p>
        </w:tc>
        <w:tc>
          <w:tcPr>
            <w:tcW w:w="7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52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3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4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Calithera</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Merus</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shd w:val="clear" w:color="auto" w:fill="CCEEFF"/>
          </w:tcPr>
          <w:p>
            <w:pPr>
              <w:spacing w:after="0"/>
              <w:rPr>
                <w:sz w:val="18"/>
                <w:szCs w:val="18"/>
                <w:color w:val="auto"/>
              </w:rPr>
            </w:pPr>
          </w:p>
        </w:tc>
      </w:tr>
      <w:tr>
        <w:trPr>
          <w:trHeight w:val="216"/>
        </w:trPr>
        <w:tc>
          <w:tcPr>
            <w:tcW w:w="4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Syros</w:t>
            </w:r>
          </w:p>
        </w:tc>
        <w:tc>
          <w:tcPr>
            <w:tcW w:w="5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Borders>
              <w:bottom w:val="single" w:sz="8" w:color="CCEEFF"/>
            </w:tcBorders>
          </w:tcPr>
          <w:p>
            <w:pPr>
              <w:spacing w:after="0"/>
              <w:rPr>
                <w:sz w:val="18"/>
                <w:szCs w:val="18"/>
                <w:color w:val="auto"/>
              </w:rPr>
            </w:pPr>
          </w:p>
        </w:tc>
      </w:tr>
      <w:tr>
        <w:trPr>
          <w:trHeight w:val="210"/>
        </w:trPr>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unrealized gain (loss) on long term investments</w:t>
            </w:r>
          </w:p>
        </w:tc>
        <w:tc>
          <w:tcPr>
            <w:tcW w:w="5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r>
              <w:rPr>
                <w:rFonts w:ascii="Times New Roman" w:cs="Times New Roman" w:eastAsia="Times New Roman" w:hAnsi="Times New Roman"/>
                <w:sz w:val="18"/>
                <w:szCs w:val="18"/>
                <w:u w:val="single" w:color="auto"/>
                <w:color w:val="auto"/>
              </w:rPr>
              <w:t>4</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r>
              <w:rPr>
                <w:rFonts w:ascii="Times New Roman" w:cs="Times New Roman" w:eastAsia="Times New Roman" w:hAnsi="Times New Roman"/>
                <w:sz w:val="18"/>
                <w:szCs w:val="18"/>
                <w:u w:val="single" w:color="auto"/>
                <w:color w:val="auto"/>
              </w:rPr>
              <w:t>0)</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Due to historical net losses, we had an accumulated deficit of $1.7 billion as of June 30, 2019. We have funded our research and development operations through sales of equity securities, the issuance of convertible notes, cash received from customers, and collaborative arrangements. At June 30, 2019, we had available cash, cash equivalents and marketable securities of $1.7 billion. Our cash and marketable securities balances are held in a variety of interest-bearing instruments, including money market accounts, corporate debt securities and U.S. government securities. Available cash is invested in accordance with our investment policy’s primary objectives of liquidity, safety of principal and diversity of investments.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$308.6 million and $53.2 million, respectively, for the six months ended June 30, 2019 and 2018. The $255.4 million increase in cash provided by operating activities was due primarily to changes in working capital.</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investing activities, other than purchases, sales and maturities of marketable securities, have consisted predominantly of capital expenditures and purchases of long term investments. Net cash used by investing activities was $69.7 million for the six months ended June 30, 2019, which represented purchases of marketable securities of $104.0 million and capital expenditures of $65.6 million, offset in part by the sale and maturity of marketable securities of $99.8 million. Net cash used in investing activities was $32.5 million for the six months ended June 30, 2018, which represented purchases of marketable securities of $58.8 million, capital expenditures of $23.4 million and purchases of long term equity investments of $8.9 million, offset in part by the sale and maturity of marketable securities of $58.7 million. In the future, net cash used by investing activities may fluctuate significantly from period to period due to the timing of strategic equity investments, acquisitions, and capital expenditures and maturities/sales and purchases of marketable securities.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$13.5 million and $8.2 million, respectively, for the six months ended June 30, 2019 and 2018, primarily representing proceeds from the issuance of common stock under our stock plans, offset in part by cash paid to ARIAD/Takeda for contingent consideration.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summarizes our significant contractual obligations as of June 30, 2019 and the effect those obligations are expected to have on our liquidity and cash flow in future periods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Over</w:t>
            </w: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2 - 3</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4 - 5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5 Years</w:t>
            </w: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10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Principal on convertible senior debt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convertible senior debt</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Other non-cancelable obligations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r>
              <w:rPr>
                <w:rFonts w:ascii="Times New Roman" w:cs="Times New Roman" w:eastAsia="Times New Roman" w:hAnsi="Times New Roman"/>
                <w:sz w:val="18"/>
                <w:szCs w:val="18"/>
                <w:u w:val="single" w:color="auto"/>
                <w:color w:val="auto"/>
              </w:rPr>
              <w:t>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60"/>
          </w:cols>
          <w:pgMar w:left="1420" w:top="513" w:right="141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entered into and may in the future seek to license additional rights relating to technologies or drug development candidates in connection with our drug discovery and development programs. Under these licenses, we may be required to pay upfront fees, milestone payments, and royalties on sales of future products, which are not reflected in the table above.</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believe that our cash flow from operations, together with our cash, cash equivalents and marketable securities, will be adequate to satisfy our capital needs for the foreseeable future. Our cash requirements depend on numerous factors, including our expenditures in connection with our drug discovery and development programs and commercialization operations; expenditures in connection with litigation or other legal proceedings; costs for future facility requirements; our receipt of any milestone or other payments under any collaborative agreements we may enter into, including the agreements with Novartis, Lilly, Innovent and Zai; and expenditures in connection with strategic relationships and license agreements, including our agreements with Agenus, ARIAD/Takeda, Calithera, Lilly, MacroGenics, Merus and Syros, strategic equity investments or potential acquisitions. To the extent we seek to augment our existing cash resources and cash flow from operations to satisfy our cash requirements for future acquisitions or other strategic purposes, we expect that additional funding can be obtained through equity or debt financings or from other sources. The sale of equity or additional convertible debt securities in the future may be dilutive to our stockholders, and may provide for rights, preferences or privileges senior to those of our holders of common stock. Debt financing arrangements may require us to pledge certain assets or enter into covenants that could restrict our operations or our ability to incur further indebtedness.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no off-balance sheet arrangements other than those that are discussed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investments in marketable securities, which are composed primarily of corporate debt securities and U.S. government securities, are subject to default, changes in credit rating and changes in market value. These investments are also subject to interest rate risk and will decrease in value if market interest rates increase. As of June 30, 2019, marketable securities were $279.6 million. Due to the nature of these investments, if market interest rates were to increase immediately and uniformly by 10% from levels as of June 30, 2019, the decline in fair value would not be material.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Evaluation of disclosure controls and procedures. </w:t>
      </w:r>
      <w:r>
        <w:rPr>
          <w:rFonts w:ascii="Times New Roman" w:cs="Times New Roman" w:eastAsia="Times New Roman" w:hAnsi="Times New Roman"/>
          <w:sz w:val="18"/>
          <w:szCs w:val="18"/>
          <w:color w:val="auto"/>
        </w:rPr>
        <w:t>We maintain “disclosure controls and procedures,” as such term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defined in Rule 13a-15(e) under the Securities Exchange Act of 1934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on their evaluation as of the end of the period covered by this Quarterly Report on Form 10-Q, our Chief Executive Officer and Chief Financial Officer concluded that, as of such date, our disclosure controls and procedures were effective at the reasonable assurance level.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r>
        <w:rPr>
          <w:rFonts w:ascii="Times New Roman" w:cs="Times New Roman" w:eastAsia="Times New Roman" w:hAnsi="Times New Roman"/>
          <w:sz w:val="18"/>
          <w:szCs w:val="18"/>
          <w:color w:val="auto"/>
        </w:rPr>
        <w:t>. There were no changes in our internal control over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reporting (as defined in Rules 13a-15(f) and 15d-15(f) under the Exchange Act) for the three months ended June 30, 2019, that materially affected or are reasonably likely to materially affect our internal control over financial reporting.</w:t>
      </w:r>
    </w:p>
    <w:p>
      <w:pPr>
        <w:spacing w:after="0" w:line="17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COMMERCIALIZATION OF OUR PRODUCTS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our lead product, JAKAFI (ruxolitinib), which is marketed as JAKAVI outside the United States. If we are unable to successfully commercialize JAKAFI in its approved indications or to successfully obtain regulatory approval for and commercialize ruxolitinib for the treatment of additional indications, or if we are significantly delayed or limited in doing so, our business may be materially harmed.</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JAKAFI is our first and, currently, only product marketed by us that is approved for sale in the United States. It was approved by the U.S. Food and Drug Administration, or FDA, in November 2011 for the treatment of patients with intermediate or high-risk myelofibrosis and in December 2014 for the treatment of patients with polycythemia vera who have had an inadequate response to or are intolerant of hydroxyurea, which we refer to as uncontrolled polycythemia vera. Although we have received regulatory approval for these indications, such approval does not guarantee future revenues. While in June 2016 we acquired exclusive rights to develop and commercialize ICLUSIG in the European Union, or EU, and other countries and in June 2018 the FDA approved for sale OLUMIANT (baricitinib), which we exclusively licensed to Eli Lilly and Company, for the treatment of specified rheumatoid arthritis indications, we anticipate that JAKAFI product sales will continue to contribute a significant percentage of our total revenues over the next several years.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commercial success of JAKAFI and our ability to generate and maintain revenues from the sale of JAKAFI will depend on a number of factors, including:</w:t>
      </w:r>
    </w:p>
    <w:p>
      <w:pPr>
        <w:spacing w:after="0" w:line="162" w:lineRule="exact"/>
        <w:rPr>
          <w:sz w:val="20"/>
          <w:szCs w:val="20"/>
          <w:color w:val="auto"/>
        </w:rPr>
      </w:pPr>
    </w:p>
    <w:p>
      <w:pPr>
        <w:ind w:left="1000" w:hanging="323"/>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with intermediate or high-risk myelofibrosis or uncontrolled polycythemia vera who are diagnosed with the disease and the number of such patients that may be treated with JAKAFI;</w:t>
      </w:r>
    </w:p>
    <w:p>
      <w:pPr>
        <w:spacing w:after="0" w:line="161"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JAKAFI by patients and the healthcare community;</w:t>
      </w:r>
    </w:p>
    <w:p>
      <w:pPr>
        <w:spacing w:after="0" w:line="225" w:lineRule="exact"/>
        <w:rPr>
          <w:rFonts w:ascii="Times New Roman" w:cs="Times New Roman" w:eastAsia="Times New Roman" w:hAnsi="Times New Roman"/>
          <w:sz w:val="18"/>
          <w:szCs w:val="18"/>
          <w:color w:val="auto"/>
        </w:rPr>
      </w:pPr>
    </w:p>
    <w:p>
      <w:pPr>
        <w:ind w:left="1000" w:hanging="323"/>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physicians, patients and healthcare payors view JAKAFI as therapeutically effective and safe relative to cost and any alternative therapies;</w:t>
      </w:r>
    </w:p>
    <w:p>
      <w:pPr>
        <w:spacing w:after="0" w:line="161"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and maintain sufficient coverage or reimbursement by third-party payors;</w:t>
      </w:r>
    </w:p>
    <w:p>
      <w:pPr>
        <w:spacing w:after="0" w:line="225" w:lineRule="exact"/>
        <w:rPr>
          <w:rFonts w:ascii="Times New Roman" w:cs="Times New Roman" w:eastAsia="Times New Roman" w:hAnsi="Times New Roman"/>
          <w:sz w:val="18"/>
          <w:szCs w:val="18"/>
          <w:color w:val="auto"/>
        </w:rPr>
      </w:pPr>
    </w:p>
    <w:p>
      <w:pPr>
        <w:ind w:left="1000" w:hanging="323"/>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third-party manufacturers to manufacture JAKAFI in sufficient quantities that meet all applicable quality standards;</w:t>
      </w:r>
    </w:p>
    <w:p>
      <w:pPr>
        <w:spacing w:after="0" w:line="161"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company and our third-party providers to provide marketing and distribution support for</w:t>
      </w:r>
    </w:p>
    <w:p>
      <w:pPr>
        <w:spacing w:after="0" w:line="27"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JAKAFI;</w:t>
      </w:r>
    </w:p>
    <w:p>
      <w:pPr>
        <w:spacing w:after="0" w:line="206"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label and promotional claims allowed by the FDA;</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regulatory approval for the approved indications in the United States; and</w:t>
      </w:r>
    </w:p>
    <w:p>
      <w:pPr>
        <w:spacing w:after="0" w:line="225" w:lineRule="exact"/>
        <w:rPr>
          <w:rFonts w:ascii="Times New Roman" w:cs="Times New Roman" w:eastAsia="Times New Roman" w:hAnsi="Times New Roman"/>
          <w:sz w:val="18"/>
          <w:szCs w:val="18"/>
          <w:color w:val="auto"/>
        </w:rPr>
      </w:pPr>
    </w:p>
    <w:p>
      <w:pPr>
        <w:ind w:left="1000" w:hanging="323"/>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obtain regulatory approval for and commercialize ruxolitinib in the United States for additional indications.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are not successful in commercializing JAKAFI in the United States, or are significantly delayed or limited in doing so, our business may be materially harmed and we may need to delay other drug discovery and development initiatives or even significantly curtail operations.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our receipt of royalties under our collaboration agreements with Novartis for sales of JAKAVI outside the United States and with Lilly for worldwide sales of OLUMIANT will depend on factors similar to those listed above, with similar regulatory issues driven by applicable regulatory authorities affecting jurisdictions outside the United States.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or maintain at anticipated levels, reimbursement for our products from government health administration authorities, private health insurers and other organizations, our pricing may be affected or our product sales, results of operations or financial condition could be harmed.</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may not be able to sell our products on a profitable basis or our profitability may be reduced if we are required to sell our products at lower than anticipated prices or reimbursement is unavailable or limited in scope or amount. JAKAFI and ICLUSIG are expensive and almost all patients will require some form of third-party coverage to afford their cost. Our future revenues and profitability will be adversely affected if we cannot depend on government and other third-party payors to defray the cost of our products to the patient. Reimbursement systems in international markets vary significantly by country and by region, and reimbursement approvals must be obtained on a country-by-country basis. Reimbursement in the EU must be negotiated on a country-by-country basis and in many countries the product cannot be commercially launched until reimbursement is approved. The timing to complete the negotiation process in each country is highly uncertain, and in some countries, we expect that it may exceed 12 months. Risks related to pricing and reimbursement are described below under “—Other Risks Relating to our Business— Health care reform measures could impact the pricing and profitability of pharmaceuticals, and adversely affect the commercial viability of our products and drug candidates. Our ability to generate revenues will be diminished if we are unable to obtain an adequate level of reimbursement from private insurers, government insurance programs or other third-party payors of health care costs, which could be affected by current and potential healthcare reform legislation.” If government and other third-party payors refuse to provide coverage and reimbursement with respect to our products, determine to provide a lower level of coverage and reimbursement than anticipated, or reduce previously approved levels of coverage and reimbursement, then our pricing or reimbursement for our products may be affected and our product sales, results of operations or financial condition could be harmed.</w:t>
      </w:r>
    </w:p>
    <w:p>
      <w:pPr>
        <w:spacing w:after="0" w:line="1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upon a limited number of specialty pharmacies and wholesalers for a significant portion of any revenues from JAKAFI, and the loss of, or significant reduction in sales to, any one of these specialty pharmacies or wholesalers could adversely affect our operations and financial condition.</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sell JAKAFI primarily to specialty pharmacies and wholesalers. Specialty pharmacies dispense JAKAFI to patients in fulfillment of prescriptions and wholesalers sell JAKAFI to hospitals and physician offices. We do not promote JAKAFI to specialty pharmacies or wholesalers, and they do not set or determine demand for JAKAFI. Our ability to successfully commercialize JAKAFI will depend, in part, on the extent to which we are able to provide adequate distribution of JAKAFI to patients. Although we have contracted with a number of specialty pharmacies and wholesalers, they are expected generally to carry a very limited inventory and may be reluctant to be part of our distribution network in the future if demand for the product does not increase. Further, it is possible that these specialty pharmacies and wholesalers could decide to change their policies or fees, or both, at some time in the future. This could result in their refusal to carry smaller volume products such as JAKAFI, or lower margins or the need to find alternative methods of distributing our product. Although we believe we can find alternative channels to distribute JAKAFI on relatively short notice, our revenue during that period of time may suffer and we may incur additional costs to replace any such specialty pharmacy or wholesaler. The loss of any large specialty pharmacy or wholesaler as part of our distribution network, a significant reduction in sales we make to specialty pharmacies or wholesalers, or any failure to pay for the products we have shipped to them could materially and adversely affect our results of operations and financial condition.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and maintain effective sales, marketing and distribution capabilities, or to enter into agreements with third parties to do so, we will not be able to successfully commercialize our products.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Prior to our commercialization of JAKAFI, we had no experience selling and marketing drug products and with pricing and obtaining adequate third-party reimbursement for drug products. Under our collaboration and license agreement with Novartis, we have retained commercialization rights to JAKAFI in the United States. We have established commercial capabilities in the United States, but cannot guarantee that we will be able to enter into and maintain any marketing, distribution or third-party logistics agreements with third-party providers on acceptable terms, if at all. In connection with our June 2016 acquisition from ARIAD Pharmaceuticals, Inc. we licensed rights to develop and commercialize ICLUSIG in certain countries and we acquired the European sales, marketing and distribution operations of ARIAD. We may not be able to maintain those operations or retain their personnel or distribution arrangements. We may not be able to correctly judge the size and experience of the sales and marketing force and the scale of distribution capabilities necessary to successfully market and sell our products. Establishing and maintaining sales, marketing and distribution capabilities are expensive and time-consuming. Competition for personnel with experience in sales and marketing can be high. Our expenses associated with building and maintaining the sales force and distribution capabilities may be disproportional compared to the revenues we may be able to generate on sales of our products.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applicable laws and regulations, we could lose our approval to market our products or be subject to other governmental enforcement activity.</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cannot guarantee that we will be able to maintain regulatory approval to market our products in the jurisdictions in which they are currently marketed. If we do not maintain our regulatory approval to market our products, in particular JAKAFI, our results of operations will be materially harmed. We and our collaborators, third-party manufacturers and suppliers are subject to rigorous and extensive regulation by the FDA and other federal and state agencies as well as foreign governmental agencies. These regulations continue to apply after product marketing approval, and cover, among other things, testing, manufacturing, quality control and assurance, labeling, advertising, promotion, risk mitigation, and adverse event reporting requirements.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commercialization of our products is subject to post-regulatory approval product surveillance, and our products may have to be withdrawn from the market or subject to restrictions if previously unknown problems occur. Regulatory agencies may also require additional clinical trials or testing for our products, and our products may be recalled or may be subject to reformulation, additional studies, changes in labeling, warnings to the public and negative publicity. For example, from late 2013 through 2014, ICLUSIG was subject to review by the European Medicines Agency, or EMA, of the benefits and risks of ICLUSIG to better understand the nature, frequency and severity of events obstructing the arteries or veins, the potential mechanism that leads to these side effects and whether there needed to be a revision in the dosing recommendation, patient monitoring and a risk management plan for ICLUSIG. This review was completed in January 2015, with additional warnings in the product information but without any change in the approved indications. The EMA could take additional actions in the future that reduce the commercial potential of ICLUSIG.</w:t>
      </w:r>
    </w:p>
    <w:p>
      <w:pPr>
        <w:spacing w:after="0" w:line="1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Failure to comply with the laws and regulations administered by the FDA or other agencies could result in:</w:t>
      </w:r>
    </w:p>
    <w:p>
      <w:pPr>
        <w:spacing w:after="0" w:line="225" w:lineRule="exact"/>
        <w:rPr>
          <w:sz w:val="20"/>
          <w:szCs w:val="20"/>
          <w:color w:val="auto"/>
        </w:rPr>
      </w:pPr>
    </w:p>
    <w:p>
      <w:pPr>
        <w:ind w:left="1000" w:hanging="323"/>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and judicial sanctions, including warning letters;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and other civil penalties;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 to market or manufacture our products;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production;</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 or seizure;</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66" w:name="page67"/>
    <w:bookmarkEnd w:id="6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0" w:hanging="323"/>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and</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occurrence of any such event may have a material adverse effect on our business.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use of our products harms patients, or is perceived to harm patients even when such harm is unrelated to our products, our regulatory approvals could be revoked or otherwise negatively impacted or we could be subject to costly and damaging product liability claims.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testing of JAKAFI and ICLUSIG, the manufacturing, marketing and sale of JAKAFI and the marketing and sale of ICLUSIG expose us to product liability and other risks. Side effects and other problems experienced by patients from the use of our products could:</w:t>
      </w:r>
    </w:p>
    <w:p>
      <w:pPr>
        <w:spacing w:after="0" w:line="176" w:lineRule="exact"/>
        <w:rPr>
          <w:sz w:val="20"/>
          <w:szCs w:val="20"/>
          <w:color w:val="auto"/>
        </w:rPr>
      </w:pPr>
    </w:p>
    <w:p>
      <w:pPr>
        <w:ind w:left="1000" w:hanging="323"/>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lessen the frequency with which physicians decide to prescribe our products;</w:t>
      </w:r>
    </w:p>
    <w:p>
      <w:pPr>
        <w:spacing w:after="0" w:line="225" w:lineRule="exact"/>
        <w:rPr>
          <w:rFonts w:ascii="Times New Roman" w:cs="Times New Roman" w:eastAsia="Times New Roman" w:hAnsi="Times New Roman"/>
          <w:sz w:val="18"/>
          <w:szCs w:val="18"/>
          <w:color w:val="auto"/>
        </w:rPr>
      </w:pPr>
    </w:p>
    <w:p>
      <w:pPr>
        <w:ind w:left="1000" w:hanging="323"/>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physicians to stop prescribing our products to their patients who previously had been prescribed our products;</w:t>
      </w:r>
    </w:p>
    <w:p>
      <w:pPr>
        <w:spacing w:after="0" w:line="161"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serious harm to patients that may give rise to product liability claims against us; and</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our need to withdraw or recall our products from the marketplace.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our products are used by a wide patient population, new risks and side effects may be discovered, the rate of known risks or side effects may increase, and risks previously viewed as less significant could be determined to be significant.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Previously unknown risks and adverse effects of our products may also be discovered in connection with unapproved, or off-label, uses of our products. We are prohibited by law from promoting or in any way supporting or encouraging the promotion of our products for off-label uses, but physicians are permitted to use products for off-label purposes. In addition, we are studying and expect to continue to study JAKAFI in diseases for potential additional indications in controlled clinical settings, and independent investigators are doing so as well. In the event of any new risks or adverse effects discovered as new patients are treated for intermediate or high-risk myelofibrosis or uncontrolled polycythemia vera and as JAKAFI is studied in or used by patients for off-label indications, regulatory authorities may delay or revoke their approvals, we may be required to conduct additional clinical trials, make changes in labeling of JAKAFI, reformulate JAKAFI or make changes and obtain new approvals. We may also experience a significant drop in the sales of JAKAFI, experience harm to our reputation and the reputation of JAKAFI in the marketplace or become subject to lawsuits, including class actions. Any of these results could decrease or prevent sales of JAKAFI or substantially increase the costs and expenses of commercializing JAKAFI. Similar results could occur with respect to our commercialization of ICLUSIG.</w:t>
      </w:r>
    </w:p>
    <w:p>
      <w:pPr>
        <w:spacing w:after="0" w:line="19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Patients who have been enrolled in our clinical trials or who may use our products in the future often have severe and advanced stages of disease and known as well as unknown significant pre-existing and potentially life-threatening health risks. During the course of treatment, patients may suffer adverse events, including death, for reasons that may or may not be related to our products.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 consuming or inconclusive. These investigations may interrupt our sales efforts, impact and limit the type of regulatory approvals our products receive or maintain, or delay the regulatory approval process in other countries.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Factors similar to those listed above also apply to our collaboration partner Novartis and to ICLUSIG for jurisdictions outside the United States.</w:t>
      </w:r>
    </w:p>
    <w:p>
      <w:pPr>
        <w:sectPr>
          <w:pgSz w:w="11900" w:h="16838" w:orient="portrait"/>
          <w:cols w:equalWidth="0" w:num="1">
            <w:col w:w="9060"/>
          </w:cols>
          <w:pgMar w:left="1420" w:top="513" w:right="141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67" w:name="page68"/>
    <w:bookmarkEnd w:id="6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market our products in a manner that violates various laws and regulations, we may be subject to civil or criminal penalties.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knowingly and willfully offering, paying, soliciting or receiving remuneration to induce, or in return for purchasing, leasing, ordering or arranging for the purchase, lease or order of any health care item or service reimbursable under Medicare, Medicaid, or other federally- or state-financed health care programs. 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Although physicians are permitted, based on their medical judgment, to prescribe products for indications other than those approved by the FDA, manufacturers are prohibited from promoting their products for such off-label uses. We market JAKAFI for intermediate or high-risk myelofibrosis and uncontrolled polycythemia vera and provide promotional materials to physicians regarding the use of JAKAFI for these indications. Although we believe that our promotional materials for physicians do not constitute off-label promotion of JAKAFI, the FDA or other agencies may disagree. If the FDA or another agency determines that our promotional materials or other activities constitute off-label promotion of JAKAFI, it could request that we modify our promotional materials or other activities or subject us to regulatory enforcement actions, including the issuance of a warning letter, injunction, seizure, civil fine and criminal penalties. It is also possible that other federal, state or foreign enforcement authorities might take action if they believe that the alleged improper promotion led to the submission and payment of claims for an unapproved use, which could result in significant fines or penalties under other statutory authorities, such as laws prohibiting false claims for reimbursement. Even if it is later determined we are not in violation of these laws, we may be faced with negative publicity, incur significant expenses defending our position and have to divert significant management resources from other matters.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European Union and member countries, as well as governmental authorities in other countries, impose similar strict restrictions on the promotion and marketing of drug products. The off-label promotion of medicinal products is prohibited in the EU and in other territories. The promotion of medicinal products that are not subject to a marketing authorization is also prohibited in the EU. Violations of the rules governing the promotion of medicinal products in the EU and in other territories could be penalized by administrative measures, fines and imprisonment.</w:t>
      </w:r>
    </w:p>
    <w:p>
      <w:pPr>
        <w:spacing w:after="0" w:line="18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majority of states also have statutes or regulations similar to the federal anti-kickback law and false claims laws, which apply to items and services reimbursed under Medicaid and other state programs, or, in several states, apply regardless of the payor. In recent years, several states and localities, including California, Connecticut, the District of Columbia, Massachusetts, Minnesota, Nevada, New Mexico, Texas, Vermont, and West Virginia, have enacted legislation requiring pharmaceutical companies to establish marketing compliance programs, file periodic reports with the state or make periodic public disclosures on sales, marketing, pricing, clinical trials, and other activities. Similar legislation is being considered in other states. Additionally, as part of the Patient Protection and Affordable Care Act, the federal government has enacted the Physician Payment Sunshine provisions. The Sunshine provisions and similar laws and regulations in other jurisdictions where we do business require manufacturers to publicly report certain payments or other transfers of value made to physicians and teaching hospitals. Many of these requirements are new and uncertain, and the penalties for failure to comply with these requirements are unclear. Nonetheless, if we are found not to be in full compliance with these laws, we could face enforcement action and fines and other penalties, and could receive adverse publicity. See also “—Other Risks Relating to our Business—If we fail to comply with the extensive legal and regulatory requirements affecting the health care industry, we could face increased costs, penalties and a loss of business” below.</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for our products could harm our business and result in a decrease in our revenue.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Present and potential competitors for JAKAFI could include major pharmaceutical and biotechnology companies, as well as specialty pharmaceutical firms. For example, in January 2019, Celgene Corporation announced that it had submitted an NDA for fedratinib, a drug candidate for the treatment of myelofibrosis, and expected FDA approval by year-end 2019. See “—Other Risks Relating to our Business— We face significant competition for our drug discovery and</w:t>
      </w:r>
    </w:p>
    <w:p>
      <w:pPr>
        <w:sectPr>
          <w:pgSz w:w="11900" w:h="16838" w:orient="portrait"/>
          <w:cols w:equalWidth="0" w:num="1">
            <w:col w:w="9060"/>
          </w:cols>
          <w:pgMar w:left="1420" w:top="513" w:right="141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68" w:name="page69"/>
    <w:bookmarkEnd w:id="6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development efforts, and if we do not compete effectively, our commercial opportunities will be reduced or eliminated” for a description of risks relating to this type of competition. In addition, JAKAFI could face competition from generic products. As a result of the Drug Price Competition and Patent Term Restoration Act of 1984, commonly known as the Hatch-Waxman Act, in the United States, generic manufacturers may seek approval of a generic version of an innovative pharmaceutical by filing with the FDA an Abbreviated New Drug Application, or ANDA. The Hatch-Waxman Act provides significant incentives to generic manufacturers to challenge U.S. patents on successful innovative pharmaceutical products. In February 2016, we received a notice letter regarding an ANDA that requested approval to market a generic version of JAKAFI and purported to challenge patents covering ruxolitinib phosphate and its use that expire in 2028. The notice letter does not challenge the ruxolitinib composition of matter patent, which expires in December 2027. To date, to our knowledge, the FDA has taken no action with respect to this ANDA. Separately, in January 2018 the Patent Trial and Appeal Board of United States Patent and Trademark Office denied a petition challenging our patent covering deuterated ruxolitinib analogs, although the challenging party retains the right to challenge the validity of the patent in federal court. There can be no assurance that our patents will be upheld or that any litigation in which we might engage with any such generic manufacturer would be successful in protecting JAKAFI’s exclusivity. The entry of a generic version of JAKAFI could result in a decrease in JAKAFI sales and materially harm our business, operating results and financial condition.</w:t>
      </w:r>
    </w:p>
    <w:p>
      <w:pPr>
        <w:spacing w:after="0" w:line="19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ICLUSIG currently competes with existing therapies that are approved for the treatment of patients with chronic myeloid leukemia, or CML, who are resistant or intolerant to prior tyrosine kinase inhibitor, or TKI, therapies, on the basis of, among other things, efficacy, cost, breadth of approved use and the safety and side-effect profile. In addition, a generic version of imatinib was launched in the United States in February 2016, and generic versions are expected to be launched in other markets. Although we currently believe that generic versions of imatinib will not materially impact our commercialization of ICLUSIG, given ICLUSIG’s various indication statements globally that are currently focused on resistant or intolerant CML, we cannot be certain how physicians, payors, patients, regulatory authorities and other market participants will respond to the availability of generic versions of imatinib.</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RISKS RELATING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unsuccessful in our efforts to discover and develop drug candidates and commercialize drug products.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None of our drug candidates, other than JAKAFI/JAKAVI, has received regulatory approval. Our ability to discover and develop drug candidates and to commercialize additional drug products will depend on our ability to:</w:t>
      </w:r>
    </w:p>
    <w:p>
      <w:pPr>
        <w:spacing w:after="0" w:line="162" w:lineRule="exact"/>
        <w:rPr>
          <w:sz w:val="20"/>
          <w:szCs w:val="20"/>
          <w:color w:val="auto"/>
        </w:rPr>
      </w:pPr>
    </w:p>
    <w:p>
      <w:pPr>
        <w:ind w:left="1000" w:hanging="323"/>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key employees;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high quality therapeutic targets;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potential drug candidates;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products internally or license drug candidates from others;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enroll suitable human subjects, either in the United States or abroad, for our clinical trials;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laboratory testing;</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conduct and complete safe and effective clinical trials on humans;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necessary intellectual property rights to our products;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necessary regulatory approvals for our products, both in the United States and abroad;</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arrangements with third parties to provide services or to manufacture our products on our behalf;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0" w:hanging="323"/>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 sales and marketing resources effectively or enter into arrangements with third parties to provide these functions in compliance with all applicable laws;</w:t>
      </w:r>
    </w:p>
    <w:p>
      <w:pPr>
        <w:spacing w:after="0" w:line="161" w:lineRule="exact"/>
        <w:rPr>
          <w:rFonts w:ascii="Times New Roman" w:cs="Times New Roman" w:eastAsia="Times New Roman" w:hAnsi="Times New Roman"/>
          <w:sz w:val="18"/>
          <w:szCs w:val="18"/>
          <w:color w:val="auto"/>
        </w:rPr>
      </w:pPr>
    </w:p>
    <w:p>
      <w:pPr>
        <w:ind w:left="1000" w:hanging="323"/>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appropriate coverage and reimbursement levels for the cost of our products from governmental authorities, private health insurers and other third-party payors;</w:t>
      </w:r>
    </w:p>
    <w:p>
      <w:pPr>
        <w:spacing w:after="0" w:line="161"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facilities at reasonable rates to support our growth; and</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arrangements with third parties to license and commercialize our products.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limited experience with many of the activities listed above and may not be successful in discovering, developing, or commercializing additional drug products. Discovery and development of drug candidates are expensive, uncertain and time-consuming, and we do not know if our efforts will lead to discovery of any drug candidates that can be successfully developed and marketed. Of the compounds or biologics that we identify as potential drug products or that we may in-license from other companies, including potential products for which we are conducting clinical trials, only a few, if any, are likely to lead to successful drug development programs and commercialized drug products.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the success of our most advanced drug candidates. We might not be able to commercialize any of our drug candidates successfully, and we may spend significant time and money attempting to do so.</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invested significant resources in the development of our most advanced drug candidates. Ruxolitinib is in Phase III clinical trials for the treatment of patients with steroid-refractory graft-versus-host disease and is in other clinical trials. Itacitinib is in a Phase III clinical trial for the treatment of patients with acute graft-versus-host disease. Further, we have a number of drug candidates in Phase I and Phase II clinical trials. Our ability to generate product revenues will depend on the successful development and eventual commercialization of our most advanced drug candidates. We, or our collaborators or licensees, may decide to discontinue development of any or all of our drug candidates at any time for commercial, scientific or other reasons. For example: in early 2016, we decided to discontinue the clinical trials of ruxolitinib in pancreatic cancer and solid tumors and itacitinib in pancreatic cancer; and, in April 2018, we along with Merck stopped the ECHO-301 study with epacadostat, and we also significantly downsized the epacadostat development program. If a product is developed but not approved or marketed, we may have spent significant amounts of time and money on it, which could adversely affect our operating results and financial condition as well as our business plans.</w:t>
      </w:r>
    </w:p>
    <w:p>
      <w:pPr>
        <w:spacing w:after="0" w:line="1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are unable to obtain regulatory approval for our drug candidates in the United States and foreign jurisdictions, we or our collaborators will not be permitted to commercialize products resulting from our research.</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order to commercialize drug products in the United States, drug candidates will have to obtain regulatory approval from the FDA. Satisfaction of regulatory requirements typically takes many years. To obtain regulatory approval, we or our collaborators, as the case may be, must first show that our drug candidates are safe and effective for target indications through preclinical testing (animal testing) and clinical trials (human testing). Preclinical testing and clinical development are long, expensive and uncertain processes, and we do not know whether the FDA will allow us or our collaborators to undertake clinical trials of any drug candidates in addition to our compounds currently in clinical trials. If regulatory approval of a product is granted, this approval will be limited to those disease states and conditions for which the product is demonstrated through clinical trials to be safe and effective.</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Completion of clinical trials may take several years and failure may occur at any stage of testing. The length of time required varies substantially according to the type, complexity, novelty and intended use of the drug candidate. Interim results of a preclinical test or clinical trial do not necessarily predict final results, and acceptable results in early clinical trials may not be repeated in later clinical trials. For example, a drug candidate that is successful at the preclinical level may cause harmful or dangerous side effects when tested at the clinical level. Our rate of commencement and completion of clinical trials may be delayed, and existing clinical trials with our drug candidates may be stopped, due to many potential factors, including:</w:t>
      </w:r>
    </w:p>
    <w:p>
      <w:pPr>
        <w:spacing w:after="0" w:line="189" w:lineRule="exact"/>
        <w:rPr>
          <w:sz w:val="20"/>
          <w:szCs w:val="20"/>
          <w:color w:val="auto"/>
        </w:rPr>
      </w:pPr>
    </w:p>
    <w:p>
      <w:pPr>
        <w:ind w:left="1000" w:hanging="32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 degree of risk and uncertainty associated with drug development;</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70" w:name="page71"/>
    <w:bookmarkEnd w:id="7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0" w:hanging="32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formulate or manufacture sufficient quantities of materials for use in clinical trials;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the number and types of patients available for each study;</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maintaining contact with patients after treatment, resulting in incomplete data;</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or side effects;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or unanticipated effectiveness of drug candidates during the clinical trials; or</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or regulatory delays.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Data obtained from clinical trials are susceptible to varying interpretation, which may delay, limit or prevent regulatory approval. Many companies in the pharmaceutical and biopharmaceutical industry, including our company, have suffered significant setbacks in advanced clinical trials, even after achieving promising results in earlier clinical trials. In addition, regulatory authorities may refuse or delay approval as a result of other factors, such as changes in regulatory policy during the period of product development and regulatory agency review. For example, the FDA has in the past required, and could in the future require, that we or our collaborators conduct additional trials of any of our drug candidates, which would result in delays. In April 2017, we and our collaborator Lilly announced that the FDA had issued a complete response letter for the New Drug Application, or NDA, of OLUMIANT as a once-daily oral medication for the treatment of moderate-to-severe rheumatoid arthritis. The letter indicated that additional clinical data were needed to determine the most appropriate doses and to further characterize safety concerns across treatment arms. In June 2018, after a resubmission of the NDA, the FDA approved the 2mg dose of OLUMIANT for the treatment of adults with moderately-to-severely active rheumatoid arthritis who have had an inadequate response to one or more tumor necrosis factor inhibitor therapies. The FDA did not at that time approve any higher dose of OLUMIANT and required a warning label in connection with its approval.</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Compounds or biologics developed by us or with or by our collaborators and licensees may not prove to be safe and effective in clinical trials and may not meet all of the applicable regulatory requirements needed to receive marketing approval. For example, in January 2016, a Phase II trial that was evaluating ruxolitinib in combination with regorafenib in patients with relapsed or refractory metastatic colorectal cancer and high C-reactive protein was stopped early after a planned analysis of interim efficacy data determined that the likelihood of the trial meeting its efficacy endpoint was insufficient. In addition, in February 2016, we made a decision to discontinue our JANUS 1 study, our JANUS 2 study, our other studies of ruxolitinib in colorectal, breast and lung cancer, and our study of INCB39110 in pancreatic cancer after a planned analysis of interim efficacy data of JANUS 1 demonstrated that ruxolitinib plus capecitabine did not show a sufficient level of efficacy to warrant continuation. Also, in April 2018, we along with Merck announced that the ECHO-301 study had been stopped and we also significantly downsized the epacadostat development program. If clinical trials of any of our compounds or biologics are stopped for safety, efficacy or other reasons or fail to meet their respective endpoints, our overall development plans, business, prospects, expected operating results and financial condition could be materially harmed and the value of our company could be negatively affected.</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Outside the United States, our and our collaborators’ ability to market a product is contingent upon receiving a marketing authorization from the appropriate regulatory authorities. This foreign regulatory approval process typically includes all of the risks associated with the FDA approval process described above and may also include additional risks. The requirements governing the conduct of clinical trials, product licensing, pricing and reimbursement vary greatly from country to country and may require us to perform additional testing and expend additional resources. Approval by the FDA does not ensure approval by regulatory authorities in other countries, and approval by one foreign regulatory authority does not ensure approval by regulatory authorities in other countries or by the FDA.</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Health care reform measures could impact the pricing and profitability of pharmaceuticals, and adversely affect the commercial viability of our products and drug candidates. Our ability to generate revenues will be diminished if we are unable to obtain an adequate level of reimbursement from private insurers, government insurance programs or other third-party payors of health care costs, which could be affected by current and potential healthcare reform legislation.</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ability to commercialize our current and any future approved products successfully will depend in part on the prices we are able to charge for our approved products and the extent to which adequate reimbursement levels for the cost of our products and related treatment are obtained from third-party payors, such as private insurers, government insurance programs, including Medicare and Medicaid, health maintenance organizations (HMOs) and other health care related organizations.</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recent years, through legislative and regulatory actions, the federal government has made substantial changes to various payment systems under the Medicare and other federal health care programs. Comprehensive reforms to the U.S. healthcare system were enacted, including changes to the methods for, and amounts of, Medicare reimbursement. While there is currently significant uncertainty regarding the implementation of some of these reforms or the scope of amended or additional reforms, the implementation of reforms could significantly reduce payments from Medicare and Medicaid. Reforms or other changes to these payment systems, may change the availability, methods and rates of reimbursements from Medicare, private insurers and other third-party payors for our current and any future approved products. Some of these changes and proposed changes could result in reduced reimbursement rates or in eliminating dual sources of payment, which could reduce the price that we or any of our collaborators or licensees receive for any products in the future, and which would adversely affect our business strategy, operations and financial results.</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there has been an increasing legislative and enforcement interest in the United States with respect to drug pricing practices. This has resulted in several recent federal and state proposals to regulate prices of pharmaceutical products and other health care reforms, any of which could limit the prices that we can charge for our products and may further limit the commercial viability of our products and drug candidates. Specifically, there have been several federal congressional inquiries and proposed and enacted federal and state legislation designed to, among other things, bring more transparency to drug pricing, reduce the cost of prescription drugs under Medicare and reform government program reimbursement methodologies for prescription drugs. In certain foreign markets, pricing or profitability of prescription pharmaceuticals is subject to government control. We expect that the health care reform measures that have been adopted in the United States and in foreign markets, and further reforms that may be adopted in the future, could result in more rigorous coverage criteria and additional downward pressure on the prices that we may receive for our approved products. If reimbursement for our products is unavailable or limited in scope or amount, or if pricing is set at unsatisfactory levels, our business could be materially harmed. There may be future changes that result in reductions in current coverage and reimbursement levels for our current or any future approved products, and we cannot predict the scope of any future changes or the impact that those changes would have on our operations.</w:t>
      </w:r>
    </w:p>
    <w:p>
      <w:pPr>
        <w:spacing w:after="0" w:line="19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 if we become the subject of any governmental or other regulatory hearing or investigation with respect to the pricing of our products or other business practices, we could incur significant expenses and could be distracted from the operation of our business and execution of our business strategy. Any such hearing or investigation could also result in significant negative publicity and harm to our reputation, reduced market acceptance and demand, which could adversely affect our financial results and growth prospects.</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Third-party payors are increasingly challenging the prices charged for medical products and services. Also, the trend toward managed health care in the United States, the organizations for which could control or significantly influence the purchase of health care services and products, as well as legislative and regulatory proposals to reform health care or reduce government insurance programs, may all result in lower prices for or rejection of our products. Adoption of our products by the medical community may be limited without adequate reimbursement for those products. Cost control initiatives may decrease coverage and payment levels for our products and, in turn, the price that we will be able to charge for any product. Our products may not be considered cost-effective, and coverage and reimbursement may not be available or sufficient to allow us to sell our products on a profitable basis. We are unable to predict all changes to the coverage or reimbursement methodologies that will be applied by private or government payors to our current and any future approved products.</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72" w:name="page73"/>
    <w:bookmarkEnd w:id="7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continuing efforts of legislatures, health agencies and third-party payors to contain or reduce the costs of health care, any denial of private or government payor coverage or inadequate reimbursement for our drug candidates could materially and adversely affect our business strategy, operations, future revenues and profitability, and the future revenues and profitability of our potential customers, suppliers, collaborators and licensees and the availability of capital. The same risks apply to our compounds developed and marketed by our collaborators, and our future potential milestone and royalty revenues could be affected in a similar manner.</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have licensed to Novartis rights to ruxolitinib outside of the United States and worldwide rights to our MET inhibitor compounds and licensed to Lilly worldwide rights to baricitinib. In addition, we have licensed to Innovent certain Asian rights to three of our clinical stage compounds. Under the terms of our agreements with these collaborators, we have no or limited control over the further clinical development of these drug candidates in the relevant territories and any revenues we may receive if these drug candidates receive regulatory approval and are commercialized in the relevant territories will depend primarily on the development and commercialization efforts of others. While OLUMIANT was approved by the European Commission in February 2017 for the treatment of moderate-to-severe rheumatoid arthritis in adult patients and by Japan’s Ministry of Health, Labor and Welfare in July 2017 for the treatment of rheumatoid arthritis in patients with inadequate response to standard-of-care therapies, the NDA for OLUMIANT for the treatment of moderate-to-severe rheumatoid arthritis was approved in June 2018, and only in the lower dosage tablet and with a warning label. Delays in any marketing approval by the FDA, European or other regulatory authorities, or any label modifications or restrictions in connection with any such approval, or the existence of other risks relating to approved drug products, including those described under “Risks Relating to Commercialization of Our Products,” could delay the receipt of and reduce resulting potential royalty and milestone revenue from baricitinib or any of our other out-licensed drug candidates.</w:t>
      </w:r>
    </w:p>
    <w:p>
      <w:pPr>
        <w:spacing w:after="0" w:line="19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Conflicts may arise with our collaborators and licensees if they pursue alternative technologies or develop alternative products either on their own or in collaboration with others as a means for developing treatments for the diseases that we have targeted. Competing products and product opportunities may lead our collaborators and licensees to withdraw their support for our drug candidates. Any failure of our collaborators and licensees to perform their obligations under our agreements with them or otherwise to support our drug candidates could negatively impact the development of our drug candidates, lead to our loss of potential revenues from product sales and milestones and delay our achievement, if any, of profitability. Additionally, conflicts may arise if, among other things, there is a dispute about the achievement and payment of a milestone amount or the ownership of intellectual property that is developed during the course of a collaborative relationship.</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existing collaborative and license agreements can be terminated by our collaborators and licensees for convenience, among other circumstances. If any of our collaborators or licensees terminates its agreement with us, or terminates its rights with respect to certain indications or drug candidates, we may not be able to find a new collaborator for them, and our business could be adversely affected. Should an agreement be terminated before we have realized the benefits of the collaboration or license, our reputation could be harmed, we may not obtain revenues that we anticipated receiving, and our business could be adversely affected.</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drug discovery and development efforts may depend on our ability to find suitable collaborators to fully exploit our capabilities. If we are unable to establish collaborations or if these future collaborations are unsuccessful in the development and commercialization of our drug candidates, our research, development and commercialization efforts may be unsuccessful, which could adversely affect our results of operations and financial condition.</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 element of our business strategy is to enter into collaborative or license arrangements with other parties, under which we license our drug candidates to those parties for development and commercialization or under which we study our drug candidates in combination with other parties’ compounds or biologics. For example, in addition to our Novartis, Lilly and Innovent collaborations, we have entered into clinical study relationships with respect to several of our programs, including epacadostat, and are evaluating strategic relationships with respect to several of our other programs. However,</w:t>
      </w:r>
    </w:p>
    <w:p>
      <w:pPr>
        <w:sectPr>
          <w:pgSz w:w="11900" w:h="16838" w:orient="portrait"/>
          <w:cols w:equalWidth="0" w:num="1">
            <w:col w:w="9060"/>
          </w:cols>
          <w:pgMar w:left="1420" w:top="513" w:right="141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73" w:name="page74"/>
    <w:bookmarkEnd w:id="7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because collaboration and license arrangements are complex to negotiate, we may not be successful in our attempts to establish these arrangements. Also, we may not have drug candidates that are desirable to other parties, or we may be unwilling to license a drug candidate to a particular party because such party interested in it is a competitor or for other reasons. The terms of any such arrangements that we establish may not be favorable to us. Alternatively, potential collaborators may decide against entering into an agreement with us because of our financial, regulatory or intellectual property position or for scientific, commercial or other reasons. If we are not able to establish collaboration or license arrangements, we may not be able to develop and commercialize a drug product, which could adversely affect our business and our revenues.</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will likely not be able to control the amount and timing of resources that our collaborators or licensees devote to our programs or drug candidates. If our collaborators or licensees prove difficult to work with, are less skilled than we originally expected, do not devote adequate resources to the program, are unable to obtain regulatory approval of our drug candidates, pursue alternative technologies or develop alternative products, or do not agree with our approach to development or manufacturing of the drug candidate, the relationship could be unsuccessful. Our collaborations with respect to epacadostat involved the study of our collaborators’ drugs used in combination with epacadostat on a number of indications or tumor types, many of which were the same across multiple collaborations. We cannot assure you that potential conflicts will not arise or be alleged among these collaborations. If a business combination involving a collaborator or licensee and a third-party were to occur, the effect could be to terminate or cause delays in development of a drug candidate.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enter into additional licensing agreements or if these arrangements are unsuccessful, our business and operations might be adversely affected.</w:t>
      </w:r>
    </w:p>
    <w:p>
      <w:pPr>
        <w:spacing w:after="0" w:line="159"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7"/>
          <w:szCs w:val="17"/>
          <w:color w:val="auto"/>
        </w:rPr>
        <w:t>In addition to establishing collaborative or license arrangements under which other parties license our drug candidates for development and commercialization or under which we study our drug candidates in combination with such parties’ compounds or biologics, we may explore opportunities to develop our clinical pipeline by in-licensing drug candidates or therapeutics targets that fit within our focus on oncology, such as our collaborations with Agenus Inc., Calithera Biosciences, Inc., Innovent Biologics, Inc., MacroGenics, Inc., Merus N.V., and Syros Pharmaceuticals, Inc., or explore additional opportunities to further develop and commercialize existing drug candidates in specific jurisdictions, such as our June 2016 acquisition of the development and commercialization rights to ICLUSIG in certain countries. We may be unable to enter into any additional in-licensing agreements because suitable drug candidates that are within our expertise may not be available to us on terms that are acceptable to us or because competitors with greater resources seek to in-license the same drug candidates. Drug candidates that we would like to develop or commercialize may not be available to us because they are controlled by competitors who are unwilling to license the rights to the drug candidate to us. In addition, we may enter into license agreements that are unsuccessful and our business and operations might be adversely affected if we are unable to realize the expected economic benefits of a collaboration or other licensing arrangement, by the termination of a drug candidate and termination and winding down of the related license agreement, or due to other business or regulatory issues, including financial difficulties, that may adversely affect a licensor’s ability to continue to perform its obligations under an in-license agreement. As discussed above under “We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conflicts or other issues may arise with our licensors. Those conflicts could result in delays in our plans to develop drug candidates or result in the expenditure of additional funds to resolve those conflicts that could have an adverse effect on our results of operations. We may also need to license drug delivery or other technology in order to continue to develop our drug candidates. If we are unable to enter into additional agreements to license drug candidates, drug delivery technology or other technology or if these arrangements are unsuccessful, our research and development efforts could be adversely affected.</w:t>
      </w:r>
    </w:p>
    <w:p>
      <w:pPr>
        <w:spacing w:after="0" w:line="3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 drug candidate that we develop receives regulatory approval, we may decide not to commercialize it if we determine that commercialization of that product would require more money and time than we are willing to invest.</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Even if any of our drug candidates receives regulatory approval, it could be subject to post-regulatory surveillance, and may have to be withdrawn from the market or subject to restrictions if previously unknown problems occur. Regulatory agencies may also require additional clinical trials or testing, and the drug product may be recalled or may be subject to</w:t>
      </w:r>
    </w:p>
    <w:p>
      <w:pPr>
        <w:sectPr>
          <w:pgSz w:w="11900" w:h="16838" w:orient="portrait"/>
          <w:cols w:equalWidth="0" w:num="1">
            <w:col w:w="9060"/>
          </w:cols>
          <w:pgMar w:left="1420" w:top="513" w:right="141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74" w:name="page75"/>
    <w:bookmarkEnd w:id="7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reformulation, additional studies, changes in labeling, warnings to the public and negative publicity. As a result, we may not continue to commercialize a product even though it has obtained regulatory approval. Further, we may decide not to continue to commercialize a product if the market does not accept the product because it is too expensive or because third parties such as insurance companies or Medicare, have not approved it for substantial reimbursement. In addition, we may decide not to continue to commercialize a product if competitors develop and commercialize similar or superior products or have proprietary rights that preclude us from ultimately marketing our products.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approved drug product that we bring to the market may not gain market acceptance by physicians, patients, healthcare payors and others in the medical community.</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Even if we are successful in gaining regulatory approval of any of our drug candidates in addition to JAKAFI or acquire rights to approved drug products in addition to ICLUSIG, we may not generate significant product revenues and we may not become profitable if these drug products do not achieve an adequate level of acceptance. Physicians may not recommend our drug products until longer-term clinical data or other factors demonstrate the safety and efficacy of our drug products as compared to other alternative treatments. Even if the clinical safety and efficacy of our drug products is established, physicians may elect not to prescribe these drug products for a variety of reasons, including the reimbursement policies of government and other third-party payors and the effectiveness of our competitors in marketing their products.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Market acceptance of our drug products, if approved for commercial sale, will depend on a number of factors, including:</w:t>
      </w:r>
    </w:p>
    <w:p>
      <w:pPr>
        <w:spacing w:after="0" w:line="162" w:lineRule="exact"/>
        <w:rPr>
          <w:sz w:val="20"/>
          <w:szCs w:val="20"/>
          <w:color w:val="auto"/>
        </w:rPr>
      </w:pPr>
    </w:p>
    <w:p>
      <w:pPr>
        <w:ind w:left="1000" w:hanging="323"/>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and ability of patients and the healthcare community to use our drug products;</w:t>
      </w:r>
    </w:p>
    <w:p>
      <w:pPr>
        <w:spacing w:after="0" w:line="225" w:lineRule="exact"/>
        <w:rPr>
          <w:rFonts w:ascii="Times New Roman" w:cs="Times New Roman" w:eastAsia="Times New Roman" w:hAnsi="Times New Roman"/>
          <w:sz w:val="18"/>
          <w:szCs w:val="18"/>
          <w:color w:val="auto"/>
        </w:rPr>
      </w:pPr>
    </w:p>
    <w:p>
      <w:pPr>
        <w:ind w:left="1000" w:hanging="323"/>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manufacture our drug products in sufficient quantities that meet all applicable quality standards and to offer our drug products for sale at competitive prices;</w:t>
      </w:r>
    </w:p>
    <w:p>
      <w:pPr>
        <w:spacing w:after="0" w:line="161" w:lineRule="exact"/>
        <w:rPr>
          <w:rFonts w:ascii="Times New Roman" w:cs="Times New Roman" w:eastAsia="Times New Roman" w:hAnsi="Times New Roman"/>
          <w:sz w:val="18"/>
          <w:szCs w:val="18"/>
          <w:color w:val="auto"/>
        </w:rPr>
      </w:pPr>
    </w:p>
    <w:p>
      <w:pPr>
        <w:ind w:left="1000" w:hanging="323"/>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patients and the healthcare community, including third-party payors, regarding the safety, efficacy and benefits of our drug products compared to those of competing products or therapies;</w:t>
      </w:r>
    </w:p>
    <w:p>
      <w:pPr>
        <w:spacing w:after="0" w:line="161"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label and promotional claims allowed by the FDA;</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drug products relative to existing treatments; and</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distribution support for our drug products.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capacity to conduct preclinical testing and clinical trials, and our resulting dependence on other parties could result in delays in and additional costs for our drug development efforts.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limited internal resources and capacity to perform preclinical testing and clinical trials. As part of our development strategy, we often hire clinical research organizations, or CROs, to perform preclinical testing and clinical trials for drug candidates. If the CROs that we hire to perform our preclinical testing and clinical trials do not meet deadlines, do not follow proper procedures, or a conflict arises between us and our CROs, our preclinical testing and clinical trials may take longer than expected, may cost more, may be delayed or may be terminated. If we were forced to find a replacement entity to perform any of our preclinical testing or clinical trials, we may not be able to find a suitable entity on favorable terms, or at all. Even if we were able to find another company to perform a preclinical test or clinical trial, the delay in the test or trial may result in significant additional expenditures. Events such as these may result in delays in our obtaining regulatory approval for our drug candidates or our ability to commercialize our products and could result in increased expenditures that would adversely affect our operating results.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for our drug discovery and development efforts, and if we do not compete effectively, our commercial opportunities will be reduced or eliminated.</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biotechnology and pharmaceutical industries are intensely competitive and subject to rapid and significant technological change. Our drug discovery and development efforts may target diseases and conditions that are already subject to existing therapies or that are being developed by our competitors, many of which have substantially greater resources, larger research and development staffs and facilities, more experience in completing preclinical testing and clinical trials, and formulation, marketing and manufacturing capabilities. As a result of these resources, our competitors may develop drug products that render our products obsolete or noncompetitive by developing more effective drugs, developing their products more efficiently or pricing their products more competitively. Our ability to develop competitive products would be limited if our competitors succeeded in obtaining regulatory approvals for drug candidates more rapidly than we were able to or in obtaining patent protection or other intellectual property rights that limited our drug development efforts. Any drug products resulting from our research and development efforts, or from our joint efforts with collaborators or licensees, might not be able to compete successfully with our competitors’ existing and future products, or obtain regulatory approval in the United States or elsewhere. The development of products or processes by our competitors with significant advantages over those that we are developing could harm our future revenues and profitability.</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reliance on other parties to manufacture our drug products and drug candidates could result in a short supply of the drugs, delays in clinical trials or drug development, increased costs, and withdrawal or denial of a regulatory authority’s approval.</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do not currently operate manufacturing facilities for clinical or commercial production of JAKAFI and our other drug candidates or for ICLUSIG. We currently hire third parties to manufacture the raw materials, active pharmaceutical ingredient, or API, and finished drug product of JAKAFI, ICLUSIG and our other drug candidates for clinical trials. In addition, we expect to continue to rely on third parties for the manufacture of commercial supplies of raw materials, API and finished drug product for any drugs that we successfully develop. We also hire third parties to package and label the finished product. The FDA requires that the raw materials, API and finished product for JAKAFI and our other drug candidates be manufactured according to its current Good Manufacturing Practices regulations and regulatory authorities in other countries have similar requirements. There are only a limited number of manufacturers that comply with these requirements. Failure to comply with current Good Manufacturing Practices and the applicable regulatory requirements of other countries in the manufacture of our drug candidates and products could result in the FDA or a foreign regulatory authority halting our clinical trials, withdrawing or denying regulatory approval of our drug product, enforcing product recalls or other enforcement actions, which could have a material adverse effect on our business.</w:t>
      </w:r>
    </w:p>
    <w:p>
      <w:pPr>
        <w:spacing w:after="0" w:line="19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may not be able to obtain sufficient quantities of our drug candidates or any drug products we may develop if our designated manufacturers do not have the capacity or capability to manufacture them according to our schedule and specifications. Manufacturers of pharmaceutical products often encounter difficulties in production, especially in scaling up initial production. These problems include difficulties with production costs and yields, quality control and assurance and shortages of qualified personnel. In addition, we may not be able to arrange for our drug candidates or any drug products that we may develop to be manufactured by one of these parties on reasonable terms, if at all. We generally have a single source or a limited number of suppliers that are qualified to supply each of the API and finished product of JAKAFI, ICLUSIG and our other drug candidates and, in the case of JAKAFI, we only have a single source for its raw materials. If any of these suppliers were to become unable or unwilling to supply us with raw materials, API or finished product that complies with applicable regulatory requirements, we could incur significant delays in our clinical trials or interruption of commercial supply that could have a material adverse effect on our business. If we have promised delivery of a drug candidate or drug product and are unable to meet the delivery requirement due to manufacturing difficulties, our development programs could be delayed, we may have to expend additional sums in order to ensure that manufacturing capacity is available when we need it even if we do not use all of the manufacturing capacity, and our business and operating results could be harmed.</w:t>
      </w:r>
    </w:p>
    <w:p>
      <w:pPr>
        <w:spacing w:after="0" w:line="19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not be able to adequately manage and oversee the manufacturers we choose, they may not perform as agreed or they may terminate their agreements with us. Foreign manufacturing approval processes typically include all of the risks associated with the FDA approval process for manufacturing and may also include additional risks.</w:t>
      </w:r>
    </w:p>
    <w:p>
      <w:pPr>
        <w:sectPr>
          <w:pgSz w:w="11900" w:h="16838" w:orient="portrait"/>
          <w:cols w:equalWidth="0" w:num="1">
            <w:col w:w="9060"/>
          </w:cols>
          <w:pgMar w:left="1420" w:top="513" w:right="141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76" w:name="page77"/>
    <w:bookmarkEnd w:id="7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number of our collaborations involve the manufacture of antibodies. Either we or our collaborators have primary responsibility for manufacturing activities, and we are currently using third-party contract manufacturing organizations. Manufacturing antibodies and products containing antibodies is a more complex process than manufacturing small molecule drugs and subject to additional risks. The process of manufacturing antibodies and products containing antibodies is highly susceptible to product loss due to contamination, equipment failure or improper installation or operation of equipment, vendor or operator error, inconsistency in yields, variability in product characteristics, and difficulties in scaling up the production process.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extensive legal and regulatory requirements affecting the health care industry, we could face increased costs, penalties and a loss of business.</w:t>
      </w:r>
    </w:p>
    <w:p>
      <w:pPr>
        <w:spacing w:after="0" w:line="15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Our activities, and the activities of our collaborators, partners and third-party providers, are subject to extensive government regulation and oversight both in the United States and in foreign jurisdictions. The FDA and comparable agencies in other jurisdictions directly regulate many of our most critical business activities, including the conduct of preclinical and clinical studies, product manufacturing, advertising and promotion, product distribution, adverse event reporting and product risk management. States increasingly have been placing greater restrictions on the marketing practices of healthcare companies. In addition, pharmaceutical and biotechnology companies have been the target of lawsuits and investigations alleging violations of government regulations, including claims asserting submission of incorrect pricing information, impermissible off-label promotion of pharmaceutical products, payments intended to influence the referral of federal or state healthcare business, submission of false claims for government reimbursement, antitrust violations, violations of the U.S. Foreign Corrupt Practices Act, the U.K. Bribery Act and similar anti-bribery or anti-corruption laws, or violations related to environmental matters. There is also enhanced scrutiny of company-sponsored patient assistance programs, including insurance premium and co-pay assistance programs and donations to third-party charities that provide such assistance. In December 2018, we received a civil investigative demand from the U.S. Department of Justice for documents and information relating to our speaker programs and patient assistance programs, including our support of non-profit organizations that provide financial assistance to eligible patients. Violations of governmental regulation by us, our vendors or donation recipients may be punishable by criminal and civil sanctions, including damages, fines and penalties and exclusion from participation in government programs, including Medicare and Medicaid. In addition to damages, fines and penalties for violation of laws and regulations, we could be required to repay amounts we received from government payors, or pay additional rebates and interest if we are found to have miscalculated the pricing information we have submitted to the government. Actions taken by federal or local governments, legislative bodies and enforcement agencies with respect to these legal and regulatory compliance matters could also result in reduced demand for our products, reduced coverage of our products by health care payors, or both. We cannot ensure that our compliance controls, policies, and procedures will in every instance protect us from acts committed by our employees, collaborators, partners or third-party providers that would violate the laws or regulations of the jurisdictions in which we operate. Whether or not we have complied with the law, an investigation into alleged unlawful conduct could increase our expenses, damage our reputation, divert management time and attention and adversely affect our business. Risks relating to compliance with laws and regulations may be heightened as we continue to expand our global operations and enter new therapeutic areas with different patient populations, which due to different product distribution methods, marketing programs or patient assistance programs may result in additional regulatory burdens and obligations.</w:t>
      </w:r>
    </w:p>
    <w:p>
      <w:pPr>
        <w:spacing w:after="0" w:line="20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our drug discovery and development operations are conducted at our headquarters in Wilmington, Delaware, the loss of access to this facility would negatively impact our business.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facility in Wilmington, Delaware is our headquarters and is also where we conduct all of our drug discovery, research, development and marketing activities. In addition, natural disasters or actions of activists opposed to aspects of pharmaceutical research may disrupt our experiments or our ability to access or use our facility. The loss of access to or use of our Wilmington, Delaware facility, either on a temporary or permanent basis would result in an interruption of our business and, consequently, would adversely affect our overall business.</w:t>
      </w:r>
    </w:p>
    <w:p>
      <w:pPr>
        <w:sectPr>
          <w:pgSz w:w="11900" w:h="16838" w:orient="portrait"/>
          <w:cols w:equalWidth="0" w:num="1">
            <w:col w:w="9060"/>
          </w:cols>
          <w:pgMar w:left="1420" w:top="513" w:right="141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77" w:name="page78"/>
    <w:bookmarkEnd w:id="7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key employees in a competitive market for skilled personnel, and the loss of the services of any of our key employees or our inability to attract and retain additional personnel would affect our ability to expand our drug discovery and development programs and achieve our objectives.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highly dependent on the members of our executive management team and principal members of our commercial, development, medical, operations and scientific staff. We experience intense competition for qualified personnel. Our future success also depends in part on the continued service of our executive management team and key personnel and our ability to recruit, train and retain essential personnel for our drug discovery and development programs, and for our medical affairs and commercialization activities. If we lose the services of any of these people or if we are unable to recruit sufficient qualified personnel, our research and product development goals, and our commercialization efforts could be delayed or curtailed. We do not maintain “key person” insurance on any of our employees.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our ability to develop and commercialize products could suffer.</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expect that if our drug discovery efforts continue to generate drug candidates, our clinical drug candidates continue to progress in development, and we continue to build our development, medical and commercial organizations, we will require significant additional investment in personnel, management and resources. Our ability to achieve our research, development and commercialization objectives depends on our ability to respond effectively to these demands and expand our internal organization, systems, controls and facilities to accommodate additional anticipated growth. If we are unable to manage our growth effectively, our business could be harmed and our ability to execute our business strategy could suffer.</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businesses or assets, form joint ventures or make investments in other companies that may be unsuccessful, divert our management’s attention and harm our operating results and prospects.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part of our business strategy, we may pursue additional acquisitions of what we believe to be complementary businesses or assets or seek to enter into joint ventures. We also may pursue strategic alliances in an effort to leverage our existing infrastructure and industry experience to expand our product offerings or distribution, or make investments in other companies. For example, in June 2016, we completed the acquisition of the European operations of ARIAD and obtained the exclusive license to develop and commercialize ICLUSIG in Europe and other countries. The success of our acquisitions, joint ventures, strategic alliances and investments will depend on our ability to identify, negotiate, complete and, in the case of acquisitions, integrate those transactions and, if necessary, obtain satisfactory debt or equity financing to fund those transactions. We may not realize the anticipated benefits of any acquisition, joint venture, strategic alliance or investment. We may not be able to integrate acquisitions successfully into our existing business, achieve planned synergies or cost savings, maintain the key business relationships of businesses we acquire, or retain key personnel of an acquired business, and we could assume unknown or contingent liabilities or incur unanticipated expenses. Integration of acquired companies or businesses also may require management resources that otherwise would be available for ongoing development of our existing business. Any acquisitions or investments made by us also could result in significant write-offs or the incurrence of debt and contingent liabilities, any of which could harm our operating results. For example, in the year ended December 31, 2018, we recorded unrealized losses related to our investments in Agenus Inc., Calithera Biosciences, Inc., Merus N.V. and Syros Pharmaceuticals, Inc., and we may in the future experience additional losses related to our investments. In addition, if we choose to issue shares of our stock as consideration for any acquisition, dilution to our stockholders could result.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the expansion of our operations outside of the United States could adversely affect our business.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acquisition of ARIAD’s European operations significantly expanded our operations in Europe, and we plan to continue to expand our operations and conduct certain development activities outside of the United States, including our recent expansion in Japan. We have limited experience with conducting activities outside of the United States. International operations and business expansion plans are subject to numerous additional risks, including:</w:t>
      </w:r>
    </w:p>
    <w:p>
      <w:pPr>
        <w:spacing w:after="0" w:line="180" w:lineRule="exact"/>
        <w:rPr>
          <w:sz w:val="20"/>
          <w:szCs w:val="20"/>
          <w:color w:val="auto"/>
        </w:rPr>
      </w:pPr>
    </w:p>
    <w:p>
      <w:pPr>
        <w:jc w:val="both"/>
        <w:ind w:left="1000" w:hanging="323"/>
        <w:spacing w:after="0" w:line="266"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tax laws, privacy regulations, tariffs, export and import restrictions, employment, immigration and labor laws, regulatory requirements, and other governmental approvals, permits and licenses;</w:t>
      </w:r>
    </w:p>
    <w:p>
      <w:pPr>
        <w:sectPr>
          <w:pgSz w:w="11900" w:h="16838" w:orient="portrait"/>
          <w:cols w:equalWidth="0" w:num="1">
            <w:col w:w="9060"/>
          </w:cols>
          <w:pgMar w:left="1420" w:top="513" w:right="141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78" w:name="page79"/>
    <w:bookmarkEnd w:id="7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0" w:hanging="323"/>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 and difficulties in connection with assimilating and integrating any operations and personnel we might acquire into our company;</w:t>
      </w:r>
    </w:p>
    <w:p>
      <w:pPr>
        <w:spacing w:after="0" w:line="161" w:lineRule="exact"/>
        <w:rPr>
          <w:rFonts w:ascii="Times New Roman" w:cs="Times New Roman" w:eastAsia="Times New Roman" w:hAnsi="Times New Roman"/>
          <w:sz w:val="18"/>
          <w:szCs w:val="18"/>
          <w:color w:val="auto"/>
        </w:rPr>
      </w:pPr>
    </w:p>
    <w:p>
      <w:pPr>
        <w:ind w:left="1000" w:hanging="323"/>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obtaining and maintaining, or the failure to obtain or maintain, regulatory approvals for the sale or use of our products in various countries;</w:t>
      </w:r>
    </w:p>
    <w:p>
      <w:pPr>
        <w:spacing w:after="0" w:line="161" w:lineRule="exact"/>
        <w:rPr>
          <w:rFonts w:ascii="Times New Roman" w:cs="Times New Roman" w:eastAsia="Times New Roman" w:hAnsi="Times New Roman"/>
          <w:sz w:val="18"/>
          <w:szCs w:val="18"/>
          <w:color w:val="auto"/>
        </w:rPr>
      </w:pPr>
    </w:p>
    <w:p>
      <w:pPr>
        <w:ind w:left="1000" w:hanging="323"/>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government payor systems, multiple payor-reimbursement regimes or patient self-pay systems;</w:t>
      </w:r>
    </w:p>
    <w:p>
      <w:pPr>
        <w:spacing w:after="0" w:line="161" w:lineRule="exact"/>
        <w:rPr>
          <w:rFonts w:ascii="Times New Roman" w:cs="Times New Roman" w:eastAsia="Times New Roman" w:hAnsi="Times New Roman"/>
          <w:sz w:val="18"/>
          <w:szCs w:val="18"/>
          <w:color w:val="auto"/>
        </w:rPr>
      </w:pPr>
    </w:p>
    <w:p>
      <w:pPr>
        <w:jc w:val="both"/>
        <w:ind w:left="1000" w:hanging="323"/>
        <w:spacing w:after="0" w:line="266"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obtaining financing in foreign markets, difficulty enforcing contracts and intellectual property rights, difficulty collecting accounts receivable and exposure to foreign currency exchange rate fluctuations;</w:t>
      </w:r>
    </w:p>
    <w:p>
      <w:pPr>
        <w:spacing w:after="0" w:line="176" w:lineRule="exact"/>
        <w:rPr>
          <w:rFonts w:ascii="Times New Roman" w:cs="Times New Roman" w:eastAsia="Times New Roman" w:hAnsi="Times New Roman"/>
          <w:sz w:val="18"/>
          <w:szCs w:val="18"/>
          <w:color w:val="auto"/>
        </w:rPr>
      </w:pPr>
    </w:p>
    <w:p>
      <w:pPr>
        <w:jc w:val="both"/>
        <w:ind w:left="1000" w:hanging="323"/>
        <w:spacing w:after="0" w:line="266"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and economic conditions in the countries in which we operate, including terrorism and political unrest, curtailment of trade and other business restrictions, and uncertainties associated with the future relationship between the United Kingdom and the European Union; and</w:t>
      </w:r>
    </w:p>
    <w:p>
      <w:pPr>
        <w:spacing w:after="0" w:line="176" w:lineRule="exact"/>
        <w:rPr>
          <w:rFonts w:ascii="Times New Roman" w:cs="Times New Roman" w:eastAsia="Times New Roman" w:hAnsi="Times New Roman"/>
          <w:sz w:val="18"/>
          <w:szCs w:val="18"/>
          <w:color w:val="auto"/>
        </w:rPr>
      </w:pPr>
    </w:p>
    <w:p>
      <w:pPr>
        <w:jc w:val="both"/>
        <w:ind w:left="1000" w:hanging="323"/>
        <w:spacing w:after="0" w:line="261"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activities that may fall within the purview of the U.S. Foreign Corrupt Practices Act, its books and records provisions or its anti-bribery provisions, or similar anti-bribery or anti-corruption laws and regulations, such as the U.K. Anti-Bribery Act and the U.K. Criminal Finances Act.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of the risks described above, if encountered, could significantly increase our costs of operating internationally, prevent us from operating in certain jurisdictions, or otherwise significantly harm our future international expansion and operations, which could have a material adverse effect on our business, financial condition and results of operations.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could face substantial liabilities and may be required to limit commercialization of our products and our results of operations could be harmed.</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the risks described above under “—Risks Relating to Commercialization of Our Products—If the use of our products harms patients, or is perceived to harm patients even when such harm is unrelated to our products, our regulatory approvals could be revoked or otherwise negatively impacted or we could be subject to costly and damaging product liability claims,” the conduct of clinical trials of medical products that are intended for human use entails an inherent risk of product liability. If any product that we or any of our collaborators or licensees develops causes or is alleged to cause injury during clinical trials or commercialization, we may be held liable. If we cannot successfully defend ourselves against product liability claims, we may incur substantial liabilities, including substantial damages to be paid to the plaintiffs and legal costs, or we may be required to limit further development and commercialization of our products. Additionally, any product liability lawsuit could cause injury to our reputation, participants and investigators to withdraw from clinical trials, and potential collaborators or licensees to seek other partners, any of which could impact our results of operations.</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product liability insurance policy may not fully cover our potential liabilities. In addition, we may determine that we should increase our coverage, and this insurance may be prohibitively expensive to us or our collaborators or licensees and may not fully cover our potential liabilities. Since December 30, 2017, we elected to self-insure a portion of our exposure to product liability risks through our wholly-owned captive insurance subsidiary, in tandem with third-party insurance policies. Our inability to obtain sufficient product liability insurance at an acceptable cost to protect against potential product liability claims could prevent or inhibit the development or commercialization of our drug candidates and products, and if our liabilities from any such claims exceed our third-party insurance limits and self-insurance reserves, our results of operations, cash flows and financial condition could be adversely impacted.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activities involve the use of hazardous materials, we may be subject to claims relating to improper handling, storage or disposal of these materials that could be time consuming and costly.</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subject to various environmental, health and safety laws and regulations governing, among other things, the use, handling, storage and disposal of regulated substances and the health and safety of our employees. Our research and development processes involve the controlled use of hazardous and radioactive materials and biological waste resulting in the production of hazardous waste products. We cannot completely eliminate the risk of accidental contamination or discharge and any resultant injury from these materials. If any injury or contamination results from our use or the use by our collaborators or licensees of these materials, we may be sued and our liability may exceed our insurance coverage and our total assets. Further, we may be required to indemnify our collaborators or licensees against all damages and other liabilities arising out of our development activities or products produced in connection with these collaborations or licenses. Compliance with the applicable environmental and workplace laws and regulations is expensive. Future changes to environmental, health, workplace and safety laws could cause us to incur additional expense or may restrict our operations or impair our research, development and production efforts.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OUR FINANCIAL RESULTS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losses in the future, and we expect to continue to incur significant expenses to discover and develop drugs, which may make it difficult for us to achieve sustained profitability on a quarterly or annual basis in the future.</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Due to historical net losses, we had an accumulated deficit of $1.7 billion as of June 30, 2019. We intend to continue to spend significant amounts on our efforts to discover and develop drugs. As a result, we may incur losses in future periods as well. Our revenues, expenses and net income (loss) may fluctuate, even significantly, due to the risks described in these “Risk Factors” and factors discussed in “Management’s Discussion and Analysis of Financial Condition and Results of Operations” as well as the timing of charges and expenses that we may take, including those relating to transactions such as acquisitions and the entry into collaborative agreements.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anticipate that our drug discovery and development efforts and related expenditures will increase as we focus on the studies, including preclinical tests and clinical trials prior to seeking regulatory approval, that are required before we can sell a drug product.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development of drug products will require us to spend significant funds on research, development, testing, obtaining regulatory approvals, manufacturing and marketing. To date, we do not have any drug products that have generated significant revenues other than from sales of JAKAFI and we cannot assure you that we will generate significant revenues from the drug candidates that we license or develop, including ICLUSIG, for several years, if ever.</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cannot be certain whether or when we will achieve sustained or increased profitability on a quarterly or annual basis because of the factors discussed above and the significant uncertainties relating to our ability to generate commercially successful drug products. Even if we are successful in obtaining regulatory approvals for manufacturing and commercializing drug products in addition to JAKAFI and ICLUSIG, we may incur losses if our drug products do not generate significant revenues.</w:t>
      </w:r>
    </w:p>
    <w:p>
      <w:pPr>
        <w:spacing w:after="0" w:line="1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capital in the future. If we are unable to generate sufficient funds from operations, the capital markets may not permit us to raise additional capital at the time that we require it, which could result in limitations on our research and development or commercialization efforts or the loss of certain of our rights in our technologies or drug candidates.</w:t>
      </w:r>
    </w:p>
    <w:p>
      <w:pPr>
        <w:spacing w:after="0" w:line="1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future funding requirements will depend on many factors and we anticipate that we may need to raise additional capital to fund our business plan and research and development efforts going-forward.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factors that may affect our future funding requirements include:</w:t>
      </w:r>
    </w:p>
    <w:p>
      <w:pPr>
        <w:spacing w:after="0" w:line="225" w:lineRule="exact"/>
        <w:rPr>
          <w:sz w:val="20"/>
          <w:szCs w:val="20"/>
          <w:color w:val="auto"/>
        </w:rPr>
      </w:pPr>
    </w:p>
    <w:p>
      <w:pPr>
        <w:ind w:left="1000" w:hanging="323"/>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revenues generated from our business activities;</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80" w:name="page81"/>
    <w:bookmarkEnd w:id="8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0" w:hanging="323"/>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the breadth of our research and development programs;</w:t>
      </w:r>
    </w:p>
    <w:p>
      <w:pPr>
        <w:spacing w:after="0" w:line="225" w:lineRule="exact"/>
        <w:rPr>
          <w:rFonts w:ascii="Times New Roman" w:cs="Times New Roman" w:eastAsia="Times New Roman" w:hAnsi="Times New Roman"/>
          <w:sz w:val="18"/>
          <w:szCs w:val="18"/>
          <w:color w:val="auto"/>
        </w:rPr>
      </w:pPr>
    </w:p>
    <w:p>
      <w:pPr>
        <w:ind w:left="1000" w:hanging="323"/>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research and development, preclinical testing and clinical trials conducted by us or our current or future collaborators or licensees, if any;</w:t>
      </w:r>
    </w:p>
    <w:p>
      <w:pPr>
        <w:spacing w:after="0" w:line="161"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exercise of any co-development options with collaborators that may require us to fund future development;</w:t>
      </w:r>
    </w:p>
    <w:p>
      <w:pPr>
        <w:spacing w:after="0" w:line="225" w:lineRule="exact"/>
        <w:rPr>
          <w:rFonts w:ascii="Times New Roman" w:cs="Times New Roman" w:eastAsia="Times New Roman" w:hAnsi="Times New Roman"/>
          <w:sz w:val="18"/>
          <w:szCs w:val="18"/>
          <w:color w:val="auto"/>
        </w:rPr>
      </w:pPr>
    </w:p>
    <w:p>
      <w:pPr>
        <w:ind w:left="1000" w:hanging="323"/>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businesses, technologies, or drug candidates, or the licensing of technologies or drug candidates, if any;</w:t>
      </w:r>
    </w:p>
    <w:p>
      <w:pPr>
        <w:spacing w:after="0" w:line="161"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future facility requirements;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establish new corporate relationships and research collaborations;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technological and market developments;</w:t>
      </w:r>
    </w:p>
    <w:p>
      <w:pPr>
        <w:spacing w:after="0" w:line="225" w:lineRule="exact"/>
        <w:rPr>
          <w:rFonts w:ascii="Times New Roman" w:cs="Times New Roman" w:eastAsia="Times New Roman" w:hAnsi="Times New Roman"/>
          <w:sz w:val="18"/>
          <w:szCs w:val="18"/>
          <w:color w:val="auto"/>
        </w:rPr>
      </w:pPr>
    </w:p>
    <w:p>
      <w:pPr>
        <w:ind w:left="1000" w:hanging="323"/>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filing, prosecuting, defending and enforcing patent and intellectual property claims;</w:t>
      </w:r>
    </w:p>
    <w:p>
      <w:pPr>
        <w:spacing w:after="0" w:line="161" w:lineRule="exact"/>
        <w:rPr>
          <w:rFonts w:ascii="Times New Roman" w:cs="Times New Roman" w:eastAsia="Times New Roman" w:hAnsi="Times New Roman"/>
          <w:sz w:val="18"/>
          <w:szCs w:val="18"/>
          <w:color w:val="auto"/>
        </w:rPr>
      </w:pPr>
    </w:p>
    <w:p>
      <w:pPr>
        <w:ind w:left="1000" w:hanging="323"/>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contingent licensing or milestone fees or royalties on product sales from our current or future collaborative and license arrangements, if established; and</w:t>
      </w:r>
    </w:p>
    <w:p>
      <w:pPr>
        <w:spacing w:after="0" w:line="161"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regulatory approvals, if any.</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we require additional capital at a time when investment in companies such as ours, or in the marketplace generally, is limited due to the then prevailing market or other conditions, we may have to scale back our operations, eliminate one or more of our research or development programs, or attempt to obtain funds by entering into an agreement with a collaborator or licensee that would result in terms that are not favorable to us or relinquishing our rights in certain of our proprietary technologies or drug candidates. If we are unable to raise funds at the time that we desire or at any time thereafter on acceptable terms, we may not be able to continue to develop our drug candidates. The sale of equity or additional convertible debt securities in the future may be dilutive to our stockholders and may provide for rights, preferences or privileges senior to those of our holders of common stock, and debt financing arrangements may require us to pledge certain assets or enter into covenants that could restrict our operations or our ability to incur further indebtedness.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marketable securities and long term investments are subject to risks that could adversely affect our overall financial position.</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invest our cash in accordance with an established internal policy and customarily in instruments, corporate bonds and money market funds which historically have been highly liquid and carried relatively low risk. In recent periods, similar types of investments and money market funds have experienced losses in value or liquidity issues that differ from their historical pattern.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Should a portion of our cash or marketable securities lose value or have their liquidity impaired, it could adversely affect our overall financial position by imperiling our ability to fund our operations and forcing us to seek additional financing sooner than we would otherwise. Such financing, if available, may not be available on commercially attractive terms.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discussed under “Other Risks Relating to Our Business— We may acquire businesses or assets, form joint ventures or make investments in other companies that may be unsuccessful, divert our management’s attention and harm our operating results and prospects,” any investments that we may make in companies with which we have strategic alliances, such as Agenus and Merus, could result in our recognition of losses on those investments. In addition, to the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extent we may seek to sell or otherwise monetize those investments, we may not be able to do so at our desired price or valuation levels, or at all, due to the limited liquidity of some or all of those investments.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loss in value of our long term investments could adversely affect our financial position on the consolidated balance sheets and consolidated statements of operations.</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current revenues are derived from JAKAFI and ICLUSIG product sales, JAKAVI and OLUMIANT product royalties, collaborations and from licensing our intellectual property. If we are unable to achieve milestones, develop products or renew or enter into new collaborations, our revenues may decrease, and future milestone and royalty payments may not contribute significantly to revenues for several years, and may never result in revenues.</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derived substantially all of our revenues for the six months ended June 30, 2019 from JAKAFI and ICLUSIG product revenues, JAKAVI and OLUMIANT product royalties and our collaborations and licensing our intellectual property to others. Future revenues from research and development collaborations depend upon continuation of the collaborations, the achievement of milestones and royalties we earn from any future products developed from our research. If we are unable to successfully achieve milestones or our collaborators fail to develop successful products, we will not earn the future revenues contemplated under our collaborative agreements. For example, delays in or other limitations with respect to the approval of baricitinib in the United States for the treatment of moderate-to-severe rheumatoid arthritis, or the failure to obtain such approval, as discussed under “—We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would affect potential future royalty and milestone and contract revenue. In addition, our revenues are subject to foreign currency exchange rate fluctuations due to the global nature of our operations. To the extent that our non-U.S. source revenues represent a more significant portion of our total revenues, these fluctuations could materially affect our operating results.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INTELLECTUAL PROPERTY AND LEGAL MATTERS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subject to arbitration, litigation and infringement claims, they could be costly and disrupt our drug discovery and development efforts.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technology that we use to make and develop our drug products, the technology that we incorporate in our products, and the products we are developing may be subject to claims that they infringe the patents or proprietary rights of others. The success of our drug discovery and development efforts will also depend on our ability to develop new compounds, drugs and technologies without infringing or misappropriating the proprietary rights of others. We are aware of patents and patent applications filed in certain countries claiming intellectual property relating to some of our drug discovery targets and drug candidates. While the validity of issued patents, patentability of pending patent applications and applicability of any of them to our programs are uncertain, if any of these patents are asserted against us or if we choose to license any of these patents, our ability to commercialize our products could be harmed or the potential return to us from any product that may be successfully commercialized could be diminished.</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time to time we have received, and we may in the future receive, notices from third parties offering licenses to technology or alleging patent, trademark, or copyright infringement, claims regarding trade secrets or other contract claims. Receipt of these notices could result in significant costs as a result of the diversion of the attention of management from our drug discovery and development efforts. Parties sending these notices may have brought and in the future may bring litigation against us or seek arbitration relating to contract claims.</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be involved in future lawsuits or other legal proceedings alleging patent infringement or other intellectual property rights or contract violations. In addition, litigation or other legal proceedings may be necessary to:</w:t>
      </w:r>
    </w:p>
    <w:p>
      <w:pPr>
        <w:spacing w:after="0" w:line="162" w:lineRule="exact"/>
        <w:rPr>
          <w:sz w:val="20"/>
          <w:szCs w:val="20"/>
          <w:color w:val="auto"/>
        </w:rPr>
      </w:pPr>
    </w:p>
    <w:p>
      <w:pPr>
        <w:ind w:left="1000" w:hanging="323"/>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 claims of infringement;</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our patents or trademarks;</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82" w:name="page83"/>
    <w:bookmarkEnd w:id="8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0" w:hanging="323"/>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our trade secrets or know-how; or</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enforceability, scope and validity of the proprietary rights of others.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be unsuccessful in defending or pursuing these lawsuits, claims or other legal proceedings. Regardless of the outcome, litigation or other legal proceedings can be very costly and can divert management’s efforts. An adverse determination may subject us to significant liabilities or require us or our collaborators or licensees to seek licenses to other parties’ patents or proprietary rights. We or our collaborators or licensees may also be restricted or prevented from manufacturing or selling a drug or other product that we or they develop. Further, we or our future collaborators or licensees may not be able to obtain any necessary licenses on acceptable terms, if at all. If we are unable to develop non-infringing technology or license technology on a timely basis or on reasonable terms, our business could be harmed.</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protect or enforce our proprietary information, which may result in its unauthorized use, a loss of revenue under a collaboration agreement or loss of sales to generic versions of our products or otherwise reduce our ability to compete in developing and commercializing products.</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business and competitive position depends in significant part upon our ability to protect our proprietary technology, including any drug products that we create. Despite our efforts to protect this information, unauthorized parties may attempt to obtain and use information that we regard as proprietary. For example, one of our collaborators may disclose proprietary information pertaining to our drug discovery efforts. In addition, while we have filed numerous patent applications with respect to ruxolitinib and our drug candidates in the United States and in foreign countries, our patent applications may fail to result in issued patents. In addition, because patent applications can take several years to issue as patents, there may be pending patent applications of others that may later issue as patents that cover some aspect of ruxolitinib and our drug candidates. Our existing patents and any future patents we may obtain may not be broad enough to protect our products or all of the potential uses of our products, or otherwise prevent others from developing competing products or technologies. In addition, our patents may be challenged and invalidated or may fail to provide us with any competitive advantages if, for example, others were first to invent or first to file a patent application for the technologies and products covered by our patents. As noted above under “—Risks Relating to Commercialization of Our Products— Competition for our products could potentially harm our business and result in a decrease in our revenue,” a potential generic drug company competitor has challenged certain patents relating to JAKAFI.</w:t>
      </w:r>
    </w:p>
    <w:p>
      <w:pPr>
        <w:spacing w:after="0" w:line="19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Additionally, when we do not control the prosecution, maintenance and enforcement of certain important intellectual property, such as a drug candidate in-licensed to us or subject to a collaboration with a third-party, the protection of the intellectual property rights may not be in our hands. If we do not control the intellectual property rights in-licensed to us with respect to a drug candidate and the entity that controls the intellectual property rights does not adequately protect those rights, our rights may be impaired, which may impact our ability to develop, market and commercialize the in-licensed drug candidate.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means of protecting our proprietary rights may not be adequate, and our competitors may:</w:t>
      </w:r>
    </w:p>
    <w:p>
      <w:pPr>
        <w:spacing w:after="0" w:line="225" w:lineRule="exact"/>
        <w:rPr>
          <w:sz w:val="20"/>
          <w:szCs w:val="20"/>
          <w:color w:val="auto"/>
        </w:rPr>
      </w:pPr>
    </w:p>
    <w:p>
      <w:pPr>
        <w:ind w:left="1000" w:hanging="323"/>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independently develop substantially equivalent proprietary information, products and techniques;</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gain access to our proprietary information; or</w:t>
      </w:r>
    </w:p>
    <w:p>
      <w:pPr>
        <w:spacing w:after="0" w:line="225"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around patents issued to us or our other intellectual property.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pursue a policy of having our employees, consultants and advisors execute proprietary information and invention agreements when they begin working for us. However, these agreements may not provide meaningful protection for our trade secrets or other proprietary information in the event of unauthorized use or disclosure. If we fail to maintain trade secret and patent protection, our potential future revenues may be decreased.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effective term of our patents is decreased due to changes in the United States patent laws or if we need to refile some of our patent applications, the value of our patent portfolio and the revenues we derive from it may be decreased.</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value of our patents depends, in part, on their duration. A shorter period of patent protection could lessen the value of our rights under any patents that we obtain and may decrease the revenues we derive from our patents. The United States patent laws were amended in 1995 to change the term of patent protection from 17 years from patent issuance to 20 years from the earliest effective filing date of the application. Because the time from filing to issuance of biotechnology applications may be more than three years depending on the subject matter, a 20-year patent term from the filing date may result in substantially shorter patent protection.</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Additionally, United States patent laws were amended in 2011 with the enactment of the America Invents Act and third parties are now able to challenge the validity of issued U.S. patents through various review proceedings; thus rendering the validity of U.S. patents more uncertain. We may be obligated to participate in review proceedings to determine the validity of our U.S. patents. We cannot predict the ultimate outcome of these proceedings, the conduct of which could result in substantial costs and diversion of our efforts and resources. If we are unsuccessful in these proceedings some or all of our claims in the patents may be narrowed or invalidated and the patent protection for our products and drug candidates in the United States could be substantially shortened. Further, if all of the patents covering one of our products are invalidated, the FDA could approve requests to manufacture a generic version of that product prior to the expiration date of those patents.</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Other changes in the United States patent laws or changes in the interpretation of patent laws could diminish the value of our patents or narrow the scope of our patent protection. For example, the Supreme Court of the United States recently ruled that isolated DNA sequences cannot be patented. Although we no longer receive significant revenues generated from our former information products business, the majority of our gene patent portfolio from that business consists of patents on isolated DNA sequences, and this ruling limits our ability to derive additional revenues from our gene patent portfolio. Additionally, the Supreme Court resolved a split among the circuit courts of appeals regarding antitrust challenges to settlements of patent infringement lawsuits under the Hatch-Waxman Act between brand-name drug companies and generic drug companies. The Court rejected the “scope of the patent” test and ruled that settlements involving “reverse payments” from brand-name drug companies to generic drug companies should be analyzed under the rule of reason. This ruling may create uncertainty and make it more difficult to settle patent litigation if a company seeking to manufacture a generic version of one of our products challenges the patents covering that product prior to the expiration date of those patents.</w:t>
      </w:r>
    </w:p>
    <w:p>
      <w:pPr>
        <w:spacing w:after="0" w:line="1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International patent protection is particularly uncertain and costly, and our involvement in opposition proceedings in foreign countries may result in the expenditure of substantial sums and management resources.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Biotechnology and pharmaceutical patent law outside the United States is even more uncertain and costly than in the United States and is currently undergoing review and revision in many countries. Further, the laws of some foreign countries may not protect our intellectual property rights to the same extent as United States laws. For example, certain countries do not grant patent claims that are directed to the treatment of humans. We have participated, and may in the future participate, in opposition proceedings to determine the validity of our foreign patents or our competitors’ foreign patents, which could result in substantial costs and diversion of our efforts. For example, there is a patent opposition proceeding in India against our Indian patent that covers the composition of matter and use of certain Janus Kinase inhibitors, including ruxolitinib phosphate, for the treatment of myeloid proliferative disorders, cancer, immune-related diseases, skin disorders, and other diseases. Successful challenges to our patent or other intellectual property rights through these proceedings could result in a loss of rights in the relevant jurisdiction and allow third parties to use our proprietary technologies without a license from us or our collaborators, which may also result in loss of future royalty payments. In addition, successful challenges may jeopardize or delay our ability to enter into new collaborations or commercialize potential products, which could harm our business and results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84" w:name="page85"/>
    <w:bookmarkEnd w:id="8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INFORMATION TECHNOLOGY AND DATA PRIVACY</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Significant disruptions of information technology systems, breaches of data security, or unauthorized disclosures of sensitive data or personally identifiable information or individually identifiable health information could adversely affect our business, and could subject us to liability or reputational damage.</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business is increasingly dependent on critical, complex, and interdependent information technology (IT) systems, including Internet-based systems, some of which are managed or hosted by third parties, to support business processes as well as internal and external communications. The size and complexity of our IT systems make us potentially vulnerable to IT system breakdowns, malicious intrusion, and computer viruses, which may result in the impairment of our ability to operate our business effectively.</w:t>
      </w:r>
    </w:p>
    <w:p>
      <w:pPr>
        <w:spacing w:after="0" w:line="18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continuously evaluating and, where appropriate, enhancing our IT systems to address our planned growth, including to support our planned manufacturing operations. There are inherent costs and risks associated with implementing the enhancements to our IT systems, including potential delays in access to, or errors in, critical business and financial information, substantial capital expenditures, additional administrative time and operating expenses, retention of sufficiently skilled personnel to implement and operate the enhanced systems, demands on management time, and costs of delays or difficulties in transitioning to the enhanced systems, any of which could harm our business and results of operations. In addition, the implementation of enhancements to our IT systems may not result in productivity improvements at a level that outweighs the costs of implementation, or at all. In addition, our systems and the systems of our third-party providers and collaborators are potentially vulnerable to data security breaches which may expose sensitive data to unauthorized persons or to the public. Such data security breaches could lead to the loss of confidential information, trade secrets or other intellectual property, could lead to the public exposure of personal information (including personally identifiable information or individually identifiable health information) of our employees, clinical trial patients, customers, business partners, and others, could lead to potential identity theft, or could lead to reputational harm. Data security breaches could also result in loss of clinical trial data or damage to the integrity of that data. In addition, the increased use of social media by our employees and contractors could result in inadvertent disclosure of sensitive data or personal information, including but not limited to, confidential information, trade secrets and other intellectual property.</w:t>
      </w:r>
    </w:p>
    <w:p>
      <w:pPr>
        <w:spacing w:after="0" w:line="19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such disruption or security breach, as well as any action by us or our employees or contractors that might be inconsistent with the rapidly evolving data privacy and security laws and regulations applicable within the United States and elsewhere where we conduct business, could result in enforcement actions by U.S. states, the U.S. Federal government or foreign governments, liability or sanctions under data privacy laws, including healthcare laws such as HIPAA, that protect certain types of sensitive information, regulatory penalties, other legal proceedings such as but not limited to private litigation, the incurrence of significant remediation costs, disruptions to our development programs, business operations and collaborations, diversion of management efforts and damage to our reputation, which could harm our business and operations. Because of the rapidly moving nature of technology and the increasing sophistication of cybersecurity threats, our measures to prevent, respond to and minimize such risks may be unsuccessful.</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the European Parliament and the Council of the European Union adopted a comprehensive general data privacy regulation, known as the GDPR, which took effect in May 2018 and governs the collection and use of personal data in the European Union.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 party processors in connection with the processing of the personal data. The GDPR also imposes strict rules on the transfer of personal data out of the European Union to the United States, provides an enforcement authority and imposes large penalties for noncompliance, including the potential for fines of up to €20 million or 4% of the annual global revenues of the infringer, whichever is greater. The GDPR and other changes in laws or regulations associated with the enhanced protection of certain types of sensitive data, including healthcare data or other personal information, may increase our costs of doing business, and the differing requirements of these laws and regulations can complicate our compliance efforts.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use of social media could give rise to liability, breaches of data security, or reputational damage.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and our employees are increasingly utilizing social media tools as a means of communication both internally and externally. Despite our efforts to monitor evolving social media communication guidelines and comply with applicable rules, there is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customers, and others. Furthermore, negative posts or comments about us or our products in social media could seriously damage our reputation, brand image, and 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86" w:name="page87"/>
    <w:bookmarkEnd w:id="8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8480" w:type="dxa"/>
            <w:vAlign w:val="bottom"/>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53"/>
        </w:trPr>
        <w:tc>
          <w:tcPr>
            <w:tcW w:w="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980" w:type="dxa"/>
            <w:vAlign w:val="bottom"/>
            <w:gridSpan w:val="3"/>
            <w:vMerge w:val="restart"/>
          </w:tcPr>
          <w:p>
            <w:pPr>
              <w:ind w:left="128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98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Form of Restricted Stock Unit Award Agreement for Outside Directors under the Amended and Restated</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89">
              <w:r>
                <w:rPr>
                  <w:rFonts w:ascii="Times New Roman" w:cs="Times New Roman" w:eastAsia="Times New Roman" w:hAnsi="Times New Roman"/>
                  <w:sz w:val="18"/>
                  <w:szCs w:val="18"/>
                  <w:color w:val="0000EE"/>
                  <w:w w:val="99"/>
                </w:rPr>
                <w:t>2010 Stock Incentive Plan</w:t>
              </w:r>
            </w:hyperlink>
          </w:p>
        </w:tc>
        <w:tc>
          <w:tcPr>
            <w:tcW w:w="59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80" w:type="dxa"/>
            <w:vAlign w:val="bottom"/>
            <w:gridSpan w:val="5"/>
          </w:tcPr>
          <w:p>
            <w:pPr>
              <w:spacing w:after="0"/>
              <w:rPr>
                <w:rFonts w:ascii="Times New Roman" w:cs="Times New Roman" w:eastAsia="Times New Roman" w:hAnsi="Times New Roman"/>
                <w:sz w:val="18"/>
                <w:szCs w:val="18"/>
                <w:color w:val="0000EE"/>
              </w:rPr>
            </w:pPr>
            <w:hyperlink w:anchor="page93">
              <w:r>
                <w:rPr>
                  <w:rFonts w:ascii="Times New Roman" w:cs="Times New Roman" w:eastAsia="Times New Roman" w:hAnsi="Times New Roman"/>
                  <w:sz w:val="18"/>
                  <w:szCs w:val="18"/>
                  <w:color w:val="0000EE"/>
                </w:rPr>
                <w:t>Rule 13a-14(a) Certification of Chief Executive Officer</w:t>
              </w:r>
            </w:hyperlink>
          </w:p>
        </w:tc>
        <w:tc>
          <w:tcPr>
            <w:tcW w:w="0" w:type="dxa"/>
            <w:vAlign w:val="bottom"/>
          </w:tcPr>
          <w:p>
            <w:pPr>
              <w:spacing w:after="0"/>
              <w:rPr>
                <w:sz w:val="1"/>
                <w:szCs w:val="1"/>
                <w:color w:val="auto"/>
              </w:rPr>
            </w:pPr>
          </w:p>
        </w:tc>
      </w:tr>
      <w:tr>
        <w:trPr>
          <w:trHeight w:val="41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6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94">
              <w:r>
                <w:rPr>
                  <w:rFonts w:ascii="Times New Roman" w:cs="Times New Roman" w:eastAsia="Times New Roman" w:hAnsi="Times New Roman"/>
                  <w:sz w:val="18"/>
                  <w:szCs w:val="18"/>
                  <w:color w:val="0000EE"/>
                  <w:w w:val="99"/>
                </w:rPr>
                <w:t>Rule 13a-14(a) Certification of Chief Financial Officer</w:t>
              </w:r>
            </w:hyperlink>
          </w:p>
        </w:tc>
        <w:tc>
          <w:tcPr>
            <w:tcW w:w="40" w:type="dxa"/>
            <w:vAlign w:val="bottom"/>
            <w:tcBorders>
              <w:top w:val="single" w:sz="8" w:color="0000EE"/>
            </w:tcBorders>
          </w:tcPr>
          <w:p>
            <w:pPr>
              <w:spacing w:after="0"/>
              <w:rPr>
                <w:sz w:val="24"/>
                <w:szCs w:val="24"/>
                <w:color w:val="auto"/>
              </w:rPr>
            </w:pP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Statement of the Chief Executive Officer under Section 906 of the Sarbanes-Oxley Act of 2002 (18 U.S.C.</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80" w:type="dxa"/>
            <w:vAlign w:val="bottom"/>
            <w:gridSpan w:val="5"/>
          </w:tcPr>
          <w:p>
            <w:pPr>
              <w:spacing w:after="0" w:line="196" w:lineRule="exact"/>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Section 1350)</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8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rPr>
            </w:pPr>
            <w:hyperlink w:anchor="page96">
              <w:r>
                <w:rPr>
                  <w:rFonts w:ascii="Times New Roman" w:cs="Times New Roman" w:eastAsia="Times New Roman" w:hAnsi="Times New Roman"/>
                  <w:sz w:val="18"/>
                  <w:szCs w:val="18"/>
                  <w:color w:val="0000EE"/>
                </w:rPr>
                <w:t>Statement of the Chief Financial Officer under Section 906 of the Sarbanes-Oxley Act of 2002 (18 U.S.C.</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80" w:type="dxa"/>
            <w:vAlign w:val="bottom"/>
            <w:gridSpan w:val="5"/>
          </w:tcPr>
          <w:p>
            <w:pPr>
              <w:spacing w:after="0" w:line="196" w:lineRule="exact"/>
              <w:rPr>
                <w:rFonts w:ascii="Times New Roman" w:cs="Times New Roman" w:eastAsia="Times New Roman" w:hAnsi="Times New Roman"/>
                <w:sz w:val="18"/>
                <w:szCs w:val="18"/>
                <w:color w:val="0000EE"/>
              </w:rPr>
            </w:pPr>
            <w:hyperlink w:anchor="page96">
              <w:r>
                <w:rPr>
                  <w:rFonts w:ascii="Times New Roman" w:cs="Times New Roman" w:eastAsia="Times New Roman" w:hAnsi="Times New Roman"/>
                  <w:sz w:val="18"/>
                  <w:szCs w:val="18"/>
                  <w:color w:val="0000EE"/>
                </w:rPr>
                <w:t>Section 1350)</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1180" w:hanging="1177"/>
        <w:spacing w:after="0" w:line="282" w:lineRule="auto"/>
        <w:tabs>
          <w:tab w:leader="none" w:pos="11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XBRL Instance - the instance document does not appear in the Interactive Data File because its XBRL tags are embedded within the Inline XBRL document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XBRL Taxonomy Definition Linkbase Document</w:t>
            </w:r>
          </w:p>
        </w:tc>
      </w:tr>
      <w:tr>
        <w:trPr>
          <w:trHeight w:val="324"/>
        </w:trPr>
        <w:tc>
          <w:tcPr>
            <w:tcW w:w="9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6780" w:type="dxa"/>
            <w:vAlign w:val="bottom"/>
          </w:tcPr>
          <w:p>
            <w:pPr>
              <w:spacing w:after="0"/>
              <w:rPr>
                <w:sz w:val="24"/>
                <w:szCs w:val="24"/>
                <w:color w:val="auto"/>
              </w:rPr>
            </w:pPr>
          </w:p>
        </w:tc>
      </w:tr>
      <w:tr>
        <w:trPr>
          <w:trHeight w:val="31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4"/>
                <w:szCs w:val="24"/>
                <w:color w:val="auto"/>
              </w:rPr>
            </w:pPr>
          </w:p>
        </w:tc>
        <w:tc>
          <w:tcPr>
            <w:tcW w:w="678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4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4"/>
                <w:szCs w:val="24"/>
                <w:color w:val="auto"/>
              </w:rPr>
            </w:pPr>
          </w:p>
        </w:tc>
        <w:tc>
          <w:tcPr>
            <w:tcW w:w="678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In accordance with Item 601(b)(32)(ii) of Regulation S-K and</w:t>
            </w:r>
          </w:p>
        </w:tc>
      </w:tr>
      <w:tr>
        <w:trPr>
          <w:trHeight w:val="216"/>
        </w:trPr>
        <w:tc>
          <w:tcPr>
            <w:tcW w:w="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78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SEC Release No. 34-47986, the certifications furnished in</w:t>
            </w:r>
          </w:p>
        </w:tc>
      </w:tr>
      <w:tr>
        <w:trPr>
          <w:trHeight w:val="216"/>
        </w:trPr>
        <w:tc>
          <w:tcPr>
            <w:tcW w:w="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78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Exhibits 32.1 and 32.2 hereto are deemed to accompany this</w:t>
            </w:r>
          </w:p>
        </w:tc>
      </w:tr>
      <w:tr>
        <w:trPr>
          <w:trHeight w:val="216"/>
        </w:trPr>
        <w:tc>
          <w:tcPr>
            <w:tcW w:w="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78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Form 10-Q and will not be deemed “filed” for purposes of</w:t>
            </w:r>
          </w:p>
        </w:tc>
      </w:tr>
      <w:tr>
        <w:trPr>
          <w:trHeight w:val="216"/>
        </w:trPr>
        <w:tc>
          <w:tcPr>
            <w:tcW w:w="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78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Section 18 of the Exchange Act. Such certifications will not be</w:t>
            </w:r>
          </w:p>
        </w:tc>
      </w:tr>
      <w:tr>
        <w:trPr>
          <w:trHeight w:val="216"/>
        </w:trPr>
        <w:tc>
          <w:tcPr>
            <w:tcW w:w="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78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deemed to be incorporated by reference into any filing under</w:t>
            </w:r>
          </w:p>
        </w:tc>
      </w:tr>
      <w:tr>
        <w:trPr>
          <w:trHeight w:val="234"/>
        </w:trPr>
        <w:tc>
          <w:tcPr>
            <w:tcW w:w="9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78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the Securities Act or the Exchange Act.</w:t>
            </w:r>
          </w:p>
        </w:tc>
      </w:tr>
    </w:tbl>
    <w:p>
      <w:pPr>
        <w:spacing w:after="0" w:line="198" w:lineRule="exact"/>
        <w:rPr>
          <w:sz w:val="20"/>
          <w:szCs w:val="20"/>
          <w:color w:val="auto"/>
        </w:rPr>
      </w:pPr>
    </w:p>
    <w:p>
      <w:pPr>
        <w:ind w:left="260" w:hanging="258"/>
        <w:spacing w:after="0"/>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2" w:lineRule="exact"/>
        <w:rPr>
          <w:rFonts w:ascii="Times New Roman" w:cs="Times New Roman" w:eastAsia="Times New Roman" w:hAnsi="Times New Roman"/>
          <w:sz w:val="18"/>
          <w:szCs w:val="18"/>
          <w:color w:val="auto"/>
        </w:rPr>
      </w:pPr>
    </w:p>
    <w:p>
      <w:pPr>
        <w:ind w:left="4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87" w:name="page88"/>
    <w:bookmarkEnd w:id="8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604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INCYTE CORPORATION</w:t>
            </w:r>
          </w:p>
        </w:tc>
      </w:tr>
      <w:tr>
        <w:trPr>
          <w:trHeight w:val="432"/>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Dated: July 30, 2019</w:t>
            </w:r>
          </w:p>
        </w:tc>
        <w:tc>
          <w:tcPr>
            <w:tcW w:w="604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By:  /s/ HERVÉ HOPPENOT</w:t>
            </w:r>
          </w:p>
        </w:tc>
      </w:tr>
      <w:tr>
        <w:trPr>
          <w:trHeight w:val="191"/>
        </w:trPr>
        <w:tc>
          <w:tcPr>
            <w:tcW w:w="30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1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Hervé Hoppenot</w:t>
            </w:r>
          </w:p>
        </w:tc>
      </w:tr>
      <w:tr>
        <w:trPr>
          <w:trHeight w:val="216"/>
        </w:trPr>
        <w:tc>
          <w:tcPr>
            <w:tcW w:w="30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30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Dated: July 30, 2019</w:t>
            </w:r>
          </w:p>
        </w:tc>
        <w:tc>
          <w:tcPr>
            <w:tcW w:w="604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By:  /s/ CHRISTIANA STAMOULIS</w:t>
            </w:r>
          </w:p>
        </w:tc>
      </w:tr>
      <w:tr>
        <w:trPr>
          <w:trHeight w:val="191"/>
        </w:trPr>
        <w:tc>
          <w:tcPr>
            <w:tcW w:w="30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1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Christiana Stamoulis</w:t>
            </w:r>
          </w:p>
        </w:tc>
      </w:tr>
      <w:tr>
        <w:trPr>
          <w:trHeight w:val="216"/>
        </w:trPr>
        <w:tc>
          <w:tcPr>
            <w:tcW w:w="30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0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88" w:name="page89"/>
    <w:bookmarkEnd w:id="88"/>
    <w:p>
      <w:pPr>
        <w:jc w:val="right"/>
        <w:ind w:right="139"/>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INCYTE CORPORATION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AMENDED AND RESTATED 2010 STOCK INCENTIVE PLAN</w:t>
      </w:r>
    </w:p>
    <w:p>
      <w:pPr>
        <w:spacing w:after="0" w:line="1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NOTICE OF RESTRICTED STOCK UNIT AWARD</w:t>
      </w:r>
    </w:p>
    <w:p>
      <w:pPr>
        <w:spacing w:after="0" w:line="291" w:lineRule="exact"/>
        <w:rPr>
          <w:sz w:val="20"/>
          <w:szCs w:val="20"/>
          <w:color w:val="auto"/>
        </w:rPr>
      </w:pPr>
    </w:p>
    <w:p>
      <w:pPr>
        <w:ind w:left="160" w:right="199" w:firstLine="648"/>
        <w:spacing w:after="0" w:line="226" w:lineRule="auto"/>
        <w:rPr>
          <w:sz w:val="20"/>
          <w:szCs w:val="20"/>
          <w:color w:val="auto"/>
        </w:rPr>
      </w:pPr>
      <w:r>
        <w:rPr>
          <w:rFonts w:ascii="Times New Roman" w:cs="Times New Roman" w:eastAsia="Times New Roman" w:hAnsi="Times New Roman"/>
          <w:sz w:val="22"/>
          <w:szCs w:val="22"/>
          <w:color w:val="auto"/>
        </w:rPr>
        <w:t>You have been granted the following units representing shares of common stock of INCYTE CORPORATION (“Incyte”) under the Incyte Corporation Amended and Restated 2010 Stock Incentive Plan, as amended (the “Plan”):</w:t>
      </w:r>
    </w:p>
    <w:p>
      <w:pPr>
        <w:spacing w:after="0" w:line="146" w:lineRule="exact"/>
        <w:rPr>
          <w:sz w:val="20"/>
          <w:szCs w:val="20"/>
          <w:color w:val="auto"/>
        </w:rPr>
      </w:pPr>
    </w:p>
    <w:tbl>
      <w:tblPr>
        <w:tblLayout w:type="fixed"/>
        <w:tblInd w:w="160" w:type="dxa"/>
        <w:tblCellMar>
          <w:top w:w="0" w:type="dxa"/>
          <w:left w:w="0" w:type="dxa"/>
          <w:bottom w:w="0" w:type="dxa"/>
          <w:right w:w="0" w:type="dxa"/>
        </w:tblCellMar>
      </w:tblPr>
      <w:tr>
        <w:trPr>
          <w:trHeight w:val="287"/>
        </w:trPr>
        <w:tc>
          <w:tcPr>
            <w:tcW w:w="292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Date of Grant:</w:t>
            </w:r>
          </w:p>
        </w:tc>
        <w:tc>
          <w:tcPr>
            <w:tcW w:w="57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[Date of Grant]</w:t>
            </w:r>
          </w:p>
        </w:tc>
        <w:tc>
          <w:tcPr>
            <w:tcW w:w="0" w:type="dxa"/>
            <w:vAlign w:val="bottom"/>
          </w:tcPr>
          <w:p>
            <w:pPr>
              <w:spacing w:after="0"/>
              <w:rPr>
                <w:sz w:val="1"/>
                <w:szCs w:val="1"/>
                <w:color w:val="auto"/>
              </w:rPr>
            </w:pPr>
          </w:p>
        </w:tc>
      </w:tr>
      <w:tr>
        <w:trPr>
          <w:trHeight w:val="432"/>
        </w:trPr>
        <w:tc>
          <w:tcPr>
            <w:tcW w:w="292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Name of Recipient:</w:t>
            </w:r>
          </w:p>
        </w:tc>
        <w:tc>
          <w:tcPr>
            <w:tcW w:w="57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[Name of Recipient]</w:t>
            </w:r>
          </w:p>
        </w:tc>
        <w:tc>
          <w:tcPr>
            <w:tcW w:w="0" w:type="dxa"/>
            <w:vAlign w:val="bottom"/>
          </w:tcPr>
          <w:p>
            <w:pPr>
              <w:spacing w:after="0"/>
              <w:rPr>
                <w:sz w:val="1"/>
                <w:szCs w:val="1"/>
                <w:color w:val="auto"/>
              </w:rPr>
            </w:pPr>
          </w:p>
        </w:tc>
      </w:tr>
      <w:tr>
        <w:trPr>
          <w:trHeight w:val="366"/>
        </w:trPr>
        <w:tc>
          <w:tcPr>
            <w:tcW w:w="292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Total Number of</w:t>
            </w:r>
          </w:p>
        </w:tc>
        <w:tc>
          <w:tcPr>
            <w:tcW w:w="572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[___________]</w:t>
            </w:r>
          </w:p>
        </w:tc>
        <w:tc>
          <w:tcPr>
            <w:tcW w:w="0" w:type="dxa"/>
            <w:vAlign w:val="bottom"/>
          </w:tcPr>
          <w:p>
            <w:pPr>
              <w:spacing w:after="0"/>
              <w:rPr>
                <w:sz w:val="1"/>
                <w:szCs w:val="1"/>
                <w:color w:val="auto"/>
              </w:rPr>
            </w:pPr>
          </w:p>
        </w:tc>
      </w:tr>
      <w:tr>
        <w:trPr>
          <w:trHeight w:val="287"/>
        </w:trPr>
        <w:tc>
          <w:tcPr>
            <w:tcW w:w="292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Units Granted:</w:t>
            </w:r>
          </w:p>
        </w:tc>
        <w:tc>
          <w:tcPr>
            <w:tcW w:w="5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292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Vesting Commencement Date:</w:t>
            </w:r>
          </w:p>
        </w:tc>
        <w:tc>
          <w:tcPr>
            <w:tcW w:w="57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[Date of Grant]</w:t>
            </w:r>
          </w:p>
        </w:tc>
        <w:tc>
          <w:tcPr>
            <w:tcW w:w="0" w:type="dxa"/>
            <w:vAlign w:val="bottom"/>
          </w:tcPr>
          <w:p>
            <w:pPr>
              <w:spacing w:after="0"/>
              <w:rPr>
                <w:sz w:val="1"/>
                <w:szCs w:val="1"/>
                <w:color w:val="auto"/>
              </w:rPr>
            </w:pPr>
          </w:p>
        </w:tc>
      </w:tr>
      <w:tr>
        <w:trPr>
          <w:trHeight w:val="366"/>
        </w:trPr>
        <w:tc>
          <w:tcPr>
            <w:tcW w:w="292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Vesting Schedule:</w:t>
            </w:r>
          </w:p>
        </w:tc>
        <w:tc>
          <w:tcPr>
            <w:tcW w:w="57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The units will vest in full on the first anniversary of the Date</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5720" w:type="dxa"/>
            <w:vAlign w:val="bottom"/>
          </w:tcPr>
          <w:p>
            <w:pPr>
              <w:ind w:left="380"/>
              <w:spacing w:after="0" w:line="216" w:lineRule="exact"/>
              <w:rPr>
                <w:sz w:val="20"/>
                <w:szCs w:val="20"/>
                <w:color w:val="auto"/>
              </w:rPr>
            </w:pPr>
            <w:r>
              <w:rPr>
                <w:rFonts w:ascii="Times New Roman" w:cs="Times New Roman" w:eastAsia="Times New Roman" w:hAnsi="Times New Roman"/>
                <w:sz w:val="22"/>
                <w:szCs w:val="22"/>
                <w:color w:val="auto"/>
              </w:rPr>
              <w:t>of Grant or, if earlier, immediately prior to the next regular</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5720" w:type="dxa"/>
            <w:vAlign w:val="bottom"/>
          </w:tcPr>
          <w:p>
            <w:pPr>
              <w:ind w:left="380"/>
              <w:spacing w:after="0" w:line="216" w:lineRule="exact"/>
              <w:rPr>
                <w:sz w:val="20"/>
                <w:szCs w:val="20"/>
                <w:color w:val="auto"/>
              </w:rPr>
            </w:pPr>
            <w:r>
              <w:rPr>
                <w:rFonts w:ascii="Times New Roman" w:cs="Times New Roman" w:eastAsia="Times New Roman" w:hAnsi="Times New Roman"/>
                <w:sz w:val="22"/>
                <w:szCs w:val="22"/>
                <w:color w:val="auto"/>
                <w:w w:val="97"/>
              </w:rPr>
              <w:t>annual meeting of Incyte’s stockholders following the Date of</w:t>
            </w:r>
          </w:p>
        </w:tc>
        <w:tc>
          <w:tcPr>
            <w:tcW w:w="0" w:type="dxa"/>
            <w:vAlign w:val="bottom"/>
          </w:tcPr>
          <w:p>
            <w:pPr>
              <w:spacing w:after="0"/>
              <w:rPr>
                <w:sz w:val="1"/>
                <w:szCs w:val="1"/>
                <w:color w:val="auto"/>
              </w:rPr>
            </w:pPr>
          </w:p>
        </w:tc>
      </w:tr>
      <w:tr>
        <w:trPr>
          <w:trHeight w:val="283"/>
        </w:trPr>
        <w:tc>
          <w:tcPr>
            <w:tcW w:w="2920" w:type="dxa"/>
            <w:vAlign w:val="bottom"/>
          </w:tcPr>
          <w:p>
            <w:pPr>
              <w:spacing w:after="0"/>
              <w:rPr>
                <w:sz w:val="24"/>
                <w:szCs w:val="24"/>
                <w:color w:val="auto"/>
              </w:rPr>
            </w:pPr>
          </w:p>
        </w:tc>
        <w:tc>
          <w:tcPr>
            <w:tcW w:w="57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Grant.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7" w:lineRule="exact"/>
        <w:rPr>
          <w:sz w:val="20"/>
          <w:szCs w:val="20"/>
          <w:color w:val="auto"/>
        </w:rPr>
      </w:pPr>
    </w:p>
    <w:p>
      <w:pPr>
        <w:ind w:left="160" w:right="139"/>
        <w:spacing w:after="0" w:line="221" w:lineRule="auto"/>
        <w:rPr>
          <w:sz w:val="20"/>
          <w:szCs w:val="20"/>
          <w:color w:val="auto"/>
        </w:rPr>
      </w:pPr>
      <w:r>
        <w:rPr>
          <w:rFonts w:ascii="Times New Roman" w:cs="Times New Roman" w:eastAsia="Times New Roman" w:hAnsi="Times New Roman"/>
          <w:sz w:val="22"/>
          <w:szCs w:val="22"/>
          <w:b w:val="1"/>
          <w:bCs w:val="1"/>
          <w:color w:val="auto"/>
        </w:rPr>
        <w:t>You and Incyte agree that these units are granted under and governed by the terms and conditions of the Plan and the Restricted Stock Unit Award Agreement (the “Agreement”) that can be reviewed by clicking on the link provided above. By accepting this Notice, you are agreeing to all of those terms and conditions.</w:t>
      </w:r>
    </w:p>
    <w:p>
      <w:pPr>
        <w:spacing w:after="0" w:line="149" w:lineRule="exact"/>
        <w:rPr>
          <w:sz w:val="20"/>
          <w:szCs w:val="20"/>
          <w:color w:val="auto"/>
        </w:rPr>
      </w:pPr>
    </w:p>
    <w:p>
      <w:pPr>
        <w:ind w:left="160" w:right="359"/>
        <w:spacing w:after="0" w:line="232" w:lineRule="auto"/>
        <w:rPr>
          <w:sz w:val="20"/>
          <w:szCs w:val="20"/>
          <w:color w:val="auto"/>
        </w:rPr>
      </w:pPr>
      <w:r>
        <w:rPr>
          <w:rFonts w:ascii="Times New Roman" w:cs="Times New Roman" w:eastAsia="Times New Roman" w:hAnsi="Times New Roman"/>
          <w:sz w:val="21"/>
          <w:szCs w:val="21"/>
          <w:b w:val="1"/>
          <w:bCs w:val="1"/>
          <w:color w:val="auto"/>
        </w:rPr>
        <w:t>By accepting this Notice, you further agree that Incyte may deliver by e-mail all documents related to the Plan or this award. You also agree that Incyte may deliver these documents by posting them on a website maintained by Incyte or by a third party under contract with Incyte. If Incyte posts these documents on a website, it will notify you by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696595</wp:posOffset>
            </wp:positionV>
            <wp:extent cx="554863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94" w:right="1440"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22"/>
          <w:szCs w:val="22"/>
          <w:b w:val="1"/>
          <w:bCs w:val="1"/>
          <w:color w:val="auto"/>
        </w:rPr>
        <w:t>INCYTE CORPORATION</w:t>
      </w:r>
    </w:p>
    <w:p>
      <w:pPr>
        <w:jc w:val="center"/>
        <w:spacing w:after="0" w:line="214" w:lineRule="auto"/>
        <w:rPr>
          <w:sz w:val="20"/>
          <w:szCs w:val="20"/>
          <w:color w:val="auto"/>
        </w:rPr>
      </w:pPr>
      <w:r>
        <w:rPr>
          <w:rFonts w:ascii="Times New Roman" w:cs="Times New Roman" w:eastAsia="Times New Roman" w:hAnsi="Times New Roman"/>
          <w:sz w:val="21"/>
          <w:szCs w:val="21"/>
          <w:b w:val="1"/>
          <w:bCs w:val="1"/>
          <w:color w:val="auto"/>
        </w:rPr>
        <w:t>AMENDED AND RESTATED 2010 STOCK INCENTIVE PLAN: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w:t>
      </w:r>
    </w:p>
    <w:p>
      <w:pPr>
        <w:sectPr>
          <w:pgSz w:w="11900" w:h="16838" w:orient="portrait"/>
          <w:cols w:equalWidth="0" w:num="1">
            <w:col w:w="9019"/>
          </w:cols>
          <w:pgMar w:left="1440" w:top="86" w:right="1440" w:bottom="1440" w:gutter="0" w:footer="0" w:header="0"/>
        </w:sectPr>
      </w:pPr>
    </w:p>
    <w:p>
      <w:pPr>
        <w:spacing w:after="0" w:line="16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right="259"/>
        <w:spacing w:after="0" w:line="255" w:lineRule="auto"/>
        <w:rPr>
          <w:sz w:val="20"/>
          <w:szCs w:val="20"/>
          <w:color w:val="auto"/>
        </w:rPr>
      </w:pPr>
      <w:r>
        <w:rPr>
          <w:rFonts w:ascii="Times New Roman" w:cs="Times New Roman" w:eastAsia="Times New Roman" w:hAnsi="Times New Roman"/>
          <w:sz w:val="21"/>
          <w:szCs w:val="21"/>
          <w:color w:val="auto"/>
        </w:rPr>
        <w:t>No cash payment is required for the units you receive, or for the issuance of shares of Incyte common stock on settlement of the units.</w:t>
      </w:r>
    </w:p>
    <w:p>
      <w:pPr>
        <w:spacing w:after="0" w:line="64" w:lineRule="exact"/>
        <w:rPr>
          <w:sz w:val="20"/>
          <w:szCs w:val="20"/>
          <w:color w:val="auto"/>
        </w:rPr>
      </w:pPr>
    </w:p>
    <w:p>
      <w:pPr>
        <w:sectPr>
          <w:pgSz w:w="11900" w:h="16838" w:orient="portrait"/>
          <w:cols w:equalWidth="0" w:num="2">
            <w:col w:w="2040" w:space="720"/>
            <w:col w:w="6259"/>
          </w:cols>
          <w:pgMar w:left="1440" w:top="86" w:right="1440" w:bottom="1440" w:gutter="0" w:footer="0" w:header="0"/>
          <w:type w:val="continuous"/>
        </w:sectPr>
      </w:pPr>
    </w:p>
    <w:p>
      <w:pPr>
        <w:ind w:left="260"/>
        <w:spacing w:after="0"/>
        <w:rPr>
          <w:sz w:val="20"/>
          <w:szCs w:val="20"/>
          <w:color w:val="auto"/>
        </w:rPr>
      </w:pPr>
      <w:r>
        <w:rPr>
          <w:rFonts w:ascii="Times New Roman" w:cs="Times New Roman" w:eastAsia="Times New Roman" w:hAnsi="Times New Roman"/>
          <w:sz w:val="21"/>
          <w:szCs w:val="21"/>
          <w:b w:val="1"/>
          <w:bCs w:val="1"/>
          <w:color w:val="auto"/>
        </w:rPr>
        <w:t>Vesting</w:t>
      </w:r>
    </w:p>
    <w:p>
      <w:pPr>
        <w:spacing w:after="0" w:line="20" w:lineRule="exact"/>
        <w:rPr>
          <w:sz w:val="20"/>
          <w:szCs w:val="20"/>
          <w:color w:val="auto"/>
        </w:rPr>
      </w:pPr>
      <w:r>
        <w:rPr>
          <w:sz w:val="20"/>
          <w:szCs w:val="20"/>
          <w:color w:val="auto"/>
        </w:rPr>
        <w:br w:type="column"/>
      </w:r>
    </w:p>
    <w:p>
      <w:pPr>
        <w:ind w:right="259"/>
        <w:spacing w:after="0" w:line="236" w:lineRule="auto"/>
        <w:rPr>
          <w:sz w:val="20"/>
          <w:szCs w:val="20"/>
          <w:color w:val="auto"/>
        </w:rPr>
      </w:pPr>
      <w:r>
        <w:rPr>
          <w:rFonts w:ascii="Times New Roman" w:cs="Times New Roman" w:eastAsia="Times New Roman" w:hAnsi="Times New Roman"/>
          <w:sz w:val="22"/>
          <w:szCs w:val="22"/>
          <w:color w:val="auto"/>
        </w:rPr>
        <w:t>The units vest as shown in the Notice of Restricted Stock Unit Award (the “award notice”).</w:t>
      </w:r>
    </w:p>
    <w:p>
      <w:pPr>
        <w:spacing w:after="0" w:line="83" w:lineRule="exact"/>
        <w:rPr>
          <w:sz w:val="20"/>
          <w:szCs w:val="20"/>
          <w:color w:val="auto"/>
        </w:rPr>
      </w:pPr>
    </w:p>
    <w:p>
      <w:pPr>
        <w:sectPr>
          <w:pgSz w:w="11900" w:h="16838" w:orient="portrait"/>
          <w:cols w:equalWidth="0" w:num="2">
            <w:col w:w="2040" w:space="720"/>
            <w:col w:w="6259"/>
          </w:cols>
          <w:pgMar w:left="1440" w:top="86" w:right="1440" w:bottom="1440" w:gutter="0" w:footer="0" w:header="0"/>
          <w:type w:val="continuous"/>
        </w:sectPr>
      </w:pPr>
    </w:p>
    <w:p>
      <w:pPr>
        <w:ind w:left="2760" w:right="379"/>
        <w:spacing w:after="0" w:line="226" w:lineRule="auto"/>
        <w:rPr>
          <w:sz w:val="20"/>
          <w:szCs w:val="20"/>
          <w:color w:val="auto"/>
        </w:rPr>
      </w:pPr>
      <w:r>
        <w:rPr>
          <w:rFonts w:ascii="Times New Roman" w:cs="Times New Roman" w:eastAsia="Times New Roman" w:hAnsi="Times New Roman"/>
          <w:sz w:val="22"/>
          <w:szCs w:val="22"/>
          <w:color w:val="auto"/>
        </w:rPr>
        <w:t>No additional units will vest after your service with Incyte has terminated for any reason, except as provided below under “Change in Control.”</w:t>
      </w:r>
    </w:p>
    <w:p>
      <w:pPr>
        <w:sectPr>
          <w:pgSz w:w="11900" w:h="16838" w:orient="portrait"/>
          <w:cols w:equalWidth="0" w:num="1">
            <w:col w:w="9019"/>
          </w:cols>
          <w:pgMar w:left="1440" w:top="86" w:right="1440" w:bottom="1440" w:gutter="0" w:footer="0" w:header="0"/>
          <w:type w:val="continuous"/>
        </w:sectPr>
      </w:pPr>
    </w:p>
    <w:p>
      <w:pPr>
        <w:spacing w:after="0" w:line="6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1"/>
          <w:szCs w:val="21"/>
          <w:b w:val="1"/>
          <w:bCs w:val="1"/>
          <w:color w:val="auto"/>
        </w:rPr>
        <w:t>Forfeiture</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right="319"/>
        <w:spacing w:after="0" w:line="217" w:lineRule="auto"/>
        <w:rPr>
          <w:sz w:val="20"/>
          <w:szCs w:val="20"/>
          <w:color w:val="auto"/>
        </w:rPr>
      </w:pPr>
      <w:r>
        <w:rPr>
          <w:rFonts w:ascii="Times New Roman" w:cs="Times New Roman" w:eastAsia="Times New Roman" w:hAnsi="Times New Roman"/>
          <w:sz w:val="22"/>
          <w:szCs w:val="22"/>
          <w:color w:val="auto"/>
        </w:rPr>
        <w:t>If your service with Incyte terminates for any reason, then your units will be forfeited to the extent that they have not vested before the termination date and do not vest as a result of the termination. This means that the units will immediately be cancelled. You receive no payment for units that are forfeited.</w:t>
      </w:r>
    </w:p>
    <w:p>
      <w:pPr>
        <w:spacing w:after="0" w:line="85" w:lineRule="exact"/>
        <w:rPr>
          <w:sz w:val="20"/>
          <w:szCs w:val="20"/>
          <w:color w:val="auto"/>
        </w:rPr>
      </w:pPr>
    </w:p>
    <w:p>
      <w:pPr>
        <w:sectPr>
          <w:pgSz w:w="11900" w:h="16838" w:orient="portrait"/>
          <w:cols w:equalWidth="0" w:num="2">
            <w:col w:w="2040" w:space="720"/>
            <w:col w:w="6259"/>
          </w:cols>
          <w:pgMar w:left="1440" w:top="86" w:right="1440" w:bottom="1440" w:gutter="0" w:footer="0" w:header="0"/>
          <w:type w:val="continuous"/>
        </w:sectPr>
      </w:pPr>
    </w:p>
    <w:p>
      <w:pPr>
        <w:ind w:left="2760"/>
        <w:spacing w:after="0"/>
        <w:rPr>
          <w:sz w:val="20"/>
          <w:szCs w:val="20"/>
          <w:color w:val="auto"/>
        </w:rPr>
      </w:pPr>
      <w:r>
        <w:rPr>
          <w:rFonts w:ascii="Times New Roman" w:cs="Times New Roman" w:eastAsia="Times New Roman" w:hAnsi="Times New Roman"/>
          <w:sz w:val="21"/>
          <w:szCs w:val="21"/>
          <w:color w:val="auto"/>
        </w:rPr>
        <w:t>Incyte determines when your service terminates for this purpose.</w:t>
      </w:r>
    </w:p>
    <w:p>
      <w:pPr>
        <w:sectPr>
          <w:pgSz w:w="11900" w:h="16838" w:orient="portrait"/>
          <w:cols w:equalWidth="0" w:num="1">
            <w:col w:w="9019"/>
          </w:cols>
          <w:pgMar w:left="1440" w:top="86" w:right="1440" w:bottom="1440" w:gutter="0" w:footer="0" w:header="0"/>
          <w:type w:val="continuous"/>
        </w:sectPr>
      </w:pPr>
    </w:p>
    <w:p>
      <w:pPr>
        <w:spacing w:after="0" w:line="1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1"/>
          <w:szCs w:val="21"/>
          <w:b w:val="1"/>
          <w:bCs w:val="1"/>
          <w:color w:val="auto"/>
        </w:rPr>
        <w:t>Leaves of Absence</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ind w:right="279"/>
        <w:spacing w:after="0" w:line="215" w:lineRule="auto"/>
        <w:rPr>
          <w:sz w:val="20"/>
          <w:szCs w:val="20"/>
          <w:color w:val="auto"/>
        </w:rPr>
      </w:pPr>
      <w:r>
        <w:rPr>
          <w:rFonts w:ascii="Times New Roman" w:cs="Times New Roman" w:eastAsia="Times New Roman" w:hAnsi="Times New Roman"/>
          <w:sz w:val="22"/>
          <w:szCs w:val="22"/>
          <w:color w:val="auto"/>
        </w:rPr>
        <w:t xml:space="preserve">For purposes of this award, your service does not terminate when you go on a military leave, a sick leave or another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leave of absence, if the leave was approved by Incyte in writing and the terms of the leave or applicable law requires continued service crediting. But your service terminates when the approved leave ends, unless you immediately return to active work.</w:t>
      </w:r>
    </w:p>
    <w:p>
      <w:pPr>
        <w:spacing w:after="0" w:line="81" w:lineRule="exact"/>
        <w:rPr>
          <w:sz w:val="20"/>
          <w:szCs w:val="20"/>
          <w:color w:val="auto"/>
        </w:rPr>
      </w:pPr>
    </w:p>
    <w:p>
      <w:pPr>
        <w:sectPr>
          <w:pgSz w:w="11900" w:h="16838" w:orient="portrait"/>
          <w:cols w:equalWidth="0" w:num="2">
            <w:col w:w="2040" w:space="720"/>
            <w:col w:w="6259"/>
          </w:cols>
          <w:pgMar w:left="1440" w:top="86" w:right="1440" w:bottom="1440" w:gutter="0" w:footer="0" w:header="0"/>
          <w:type w:val="continuous"/>
        </w:sectPr>
      </w:pPr>
    </w:p>
    <w:p>
      <w:pPr>
        <w:ind w:left="260"/>
        <w:spacing w:after="0"/>
        <w:rPr>
          <w:sz w:val="20"/>
          <w:szCs w:val="20"/>
          <w:color w:val="auto"/>
        </w:rPr>
      </w:pPr>
      <w:r>
        <w:rPr>
          <w:rFonts w:ascii="Times New Roman" w:cs="Times New Roman" w:eastAsia="Times New Roman" w:hAnsi="Times New Roman"/>
          <w:sz w:val="21"/>
          <w:szCs w:val="21"/>
          <w:b w:val="1"/>
          <w:bCs w:val="1"/>
          <w:color w:val="auto"/>
        </w:rPr>
        <w:t>Nature of Units</w:t>
      </w:r>
    </w:p>
    <w:p>
      <w:pPr>
        <w:spacing w:after="0" w:line="20" w:lineRule="exact"/>
        <w:rPr>
          <w:sz w:val="20"/>
          <w:szCs w:val="20"/>
          <w:color w:val="auto"/>
        </w:rPr>
      </w:pPr>
      <w:r>
        <w:rPr>
          <w:sz w:val="20"/>
          <w:szCs w:val="20"/>
          <w:color w:val="auto"/>
        </w:rPr>
        <w:br w:type="column"/>
      </w:r>
    </w:p>
    <w:p>
      <w:pPr>
        <w:ind w:right="539"/>
        <w:spacing w:after="0" w:line="231" w:lineRule="auto"/>
        <w:rPr>
          <w:sz w:val="20"/>
          <w:szCs w:val="20"/>
          <w:color w:val="auto"/>
        </w:rPr>
      </w:pPr>
      <w:r>
        <w:rPr>
          <w:rFonts w:ascii="Times New Roman" w:cs="Times New Roman" w:eastAsia="Times New Roman" w:hAnsi="Times New Roman"/>
          <w:sz w:val="21"/>
          <w:szCs w:val="21"/>
          <w:color w:val="auto"/>
        </w:rPr>
        <w:t>Your units are mere bookkeeping entries. They represent only Incyte’s unfunded and unsecured promise to issue shares of Incyte common stock on a future date. As a holder of units, you have no rights other than the rights of a general creditor of Incyte.</w:t>
      </w:r>
    </w:p>
    <w:p>
      <w:pPr>
        <w:spacing w:after="0" w:line="79" w:lineRule="exact"/>
        <w:rPr>
          <w:sz w:val="20"/>
          <w:szCs w:val="20"/>
          <w:color w:val="auto"/>
        </w:rPr>
      </w:pPr>
    </w:p>
    <w:p>
      <w:pPr>
        <w:sectPr>
          <w:pgSz w:w="11900" w:h="16838" w:orient="portrait"/>
          <w:cols w:equalWidth="0" w:num="2">
            <w:col w:w="2040" w:space="720"/>
            <w:col w:w="6259"/>
          </w:cols>
          <w:pgMar w:left="1440" w:top="86" w:right="1440" w:bottom="1440" w:gutter="0" w:footer="0" w:header="0"/>
          <w:type w:val="continuous"/>
        </w:sectPr>
      </w:pPr>
    </w:p>
    <w:p>
      <w:pPr>
        <w:ind w:left="260"/>
        <w:spacing w:after="0" w:line="238" w:lineRule="auto"/>
        <w:rPr>
          <w:sz w:val="20"/>
          <w:szCs w:val="20"/>
          <w:color w:val="auto"/>
        </w:rPr>
      </w:pPr>
      <w:r>
        <w:rPr>
          <w:rFonts w:ascii="Times New Roman" w:cs="Times New Roman" w:eastAsia="Times New Roman" w:hAnsi="Times New Roman"/>
          <w:sz w:val="22"/>
          <w:szCs w:val="22"/>
          <w:b w:val="1"/>
          <w:bCs w:val="1"/>
          <w:color w:val="auto"/>
        </w:rPr>
        <w:t>No Voting Rights or Dividends</w:t>
      </w:r>
    </w:p>
    <w:p>
      <w:pPr>
        <w:spacing w:after="0" w:line="20" w:lineRule="exact"/>
        <w:rPr>
          <w:sz w:val="20"/>
          <w:szCs w:val="20"/>
          <w:color w:val="auto"/>
        </w:rPr>
      </w:pPr>
      <w:r>
        <w:rPr>
          <w:sz w:val="20"/>
          <w:szCs w:val="20"/>
          <w:color w:val="auto"/>
        </w:rPr>
        <w:br w:type="column"/>
      </w:r>
    </w:p>
    <w:p>
      <w:pPr>
        <w:ind w:right="319"/>
        <w:spacing w:after="0" w:line="236" w:lineRule="auto"/>
        <w:rPr>
          <w:sz w:val="20"/>
          <w:szCs w:val="20"/>
          <w:color w:val="auto"/>
        </w:rPr>
      </w:pPr>
      <w:r>
        <w:rPr>
          <w:rFonts w:ascii="Times New Roman" w:cs="Times New Roman" w:eastAsia="Times New Roman" w:hAnsi="Times New Roman"/>
          <w:sz w:val="21"/>
          <w:szCs w:val="21"/>
          <w:color w:val="auto"/>
        </w:rPr>
        <w:t>Your units carry neither voting rights nor rights to dividends. You, or your estate or heirs, have no rights as a stockholder of Incyte unless and until your units are settled by issuing shares of Incyte’s common</w:t>
      </w:r>
    </w:p>
    <w:p>
      <w:pPr>
        <w:spacing w:after="0" w:line="2" w:lineRule="exact"/>
        <w:rPr>
          <w:sz w:val="20"/>
          <w:szCs w:val="20"/>
          <w:color w:val="auto"/>
        </w:rPr>
      </w:pPr>
    </w:p>
    <w:p>
      <w:pPr>
        <w:sectPr>
          <w:pgSz w:w="11900" w:h="16838" w:orient="portrait"/>
          <w:cols w:equalWidth="0" w:num="2">
            <w:col w:w="2100" w:space="660"/>
            <w:col w:w="6259"/>
          </w:cols>
          <w:pgMar w:left="1440" w:top="86" w:right="1440" w:bottom="1440" w:gutter="0" w:footer="0" w:header="0"/>
          <w:type w:val="continuous"/>
        </w:sectPr>
      </w:pPr>
    </w:p>
    <w:p>
      <w:pPr>
        <w:ind w:left="2760" w:right="339"/>
        <w:spacing w:after="0" w:line="214" w:lineRule="auto"/>
        <w:rPr>
          <w:sz w:val="20"/>
          <w:szCs w:val="20"/>
          <w:color w:val="auto"/>
        </w:rPr>
      </w:pPr>
      <w:r>
        <w:rPr>
          <w:rFonts w:ascii="Times New Roman" w:cs="Times New Roman" w:eastAsia="Times New Roman" w:hAnsi="Times New Roman"/>
          <w:sz w:val="21"/>
          <w:szCs w:val="21"/>
          <w:color w:val="auto"/>
        </w:rPr>
        <w:t>stock. No dividend equivalents will be provided and no adjustments will be made for dividends or other rights if the applicable record date occurs before your stock certificate is issued, except that in the case of a dividend payable in the form of additional shares of Incyte common stock, the number of units granted under this Agreement will be adjusted proportionately by multiplying that number by the number of shares of Incyte common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340360</wp:posOffset>
            </wp:positionV>
            <wp:extent cx="554863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86" w:right="1440" w:bottom="1440" w:gutter="0" w:footer="0" w:header="0"/>
          <w:type w:val="continuous"/>
        </w:sectPr>
      </w:pPr>
    </w:p>
    <w:bookmarkStart w:id="90" w:name="page91"/>
    <w:bookmarkEnd w:id="90"/>
    <w:tbl>
      <w:tblPr>
        <w:tblLayout w:type="fixed"/>
        <w:tblInd w:w="140" w:type="dxa"/>
        <w:tblCellMar>
          <w:top w:w="0" w:type="dxa"/>
          <w:left w:w="0" w:type="dxa"/>
          <w:bottom w:w="0" w:type="dxa"/>
          <w:right w:w="0" w:type="dxa"/>
        </w:tblCellMar>
      </w:tblPr>
      <w:tr>
        <w:trPr>
          <w:trHeight w:val="253"/>
        </w:trPr>
        <w:tc>
          <w:tcPr>
            <w:tcW w:w="2480" w:type="dxa"/>
            <w:vAlign w:val="bottom"/>
          </w:tcPr>
          <w:p>
            <w:pPr>
              <w:spacing w:after="0"/>
              <w:rPr>
                <w:sz w:val="22"/>
                <w:szCs w:val="22"/>
                <w:color w:val="auto"/>
              </w:rPr>
            </w:pPr>
          </w:p>
        </w:tc>
        <w:tc>
          <w:tcPr>
            <w:tcW w:w="62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stock that a holder of one share of Incyte common stock before the</w:t>
            </w:r>
          </w:p>
        </w:tc>
      </w:tr>
      <w:tr>
        <w:trPr>
          <w:trHeight w:val="283"/>
        </w:trPr>
        <w:tc>
          <w:tcPr>
            <w:tcW w:w="2480" w:type="dxa"/>
            <w:vAlign w:val="bottom"/>
          </w:tcPr>
          <w:p>
            <w:pPr>
              <w:spacing w:after="0"/>
              <w:rPr>
                <w:sz w:val="24"/>
                <w:szCs w:val="24"/>
                <w:color w:val="auto"/>
              </w:rPr>
            </w:pPr>
          </w:p>
        </w:tc>
        <w:tc>
          <w:tcPr>
            <w:tcW w:w="62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dividend payment date would hold after the dividend payment date.</w:t>
            </w:r>
          </w:p>
        </w:tc>
      </w:tr>
      <w:tr>
        <w:trPr>
          <w:trHeight w:val="298"/>
        </w:trPr>
        <w:tc>
          <w:tcPr>
            <w:tcW w:w="248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Settlement of Units</w:t>
            </w:r>
          </w:p>
        </w:tc>
        <w:tc>
          <w:tcPr>
            <w:tcW w:w="62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Each of your units will be settled as soon as practicable after, but no</w:t>
            </w:r>
          </w:p>
        </w:tc>
      </w:tr>
      <w:tr>
        <w:trPr>
          <w:trHeight w:val="283"/>
        </w:trPr>
        <w:tc>
          <w:tcPr>
            <w:tcW w:w="2480" w:type="dxa"/>
            <w:vAlign w:val="bottom"/>
          </w:tcPr>
          <w:p>
            <w:pPr>
              <w:spacing w:after="0"/>
              <w:rPr>
                <w:sz w:val="24"/>
                <w:szCs w:val="24"/>
                <w:color w:val="auto"/>
              </w:rPr>
            </w:pPr>
          </w:p>
        </w:tc>
        <w:tc>
          <w:tcPr>
            <w:tcW w:w="62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later than 30 days after, the date the units vest.</w:t>
            </w:r>
          </w:p>
        </w:tc>
      </w:tr>
      <w:tr>
        <w:trPr>
          <w:trHeight w:val="298"/>
        </w:trPr>
        <w:tc>
          <w:tcPr>
            <w:tcW w:w="2480" w:type="dxa"/>
            <w:vAlign w:val="bottom"/>
          </w:tcPr>
          <w:p>
            <w:pPr>
              <w:spacing w:after="0"/>
              <w:rPr>
                <w:sz w:val="24"/>
                <w:szCs w:val="24"/>
                <w:color w:val="auto"/>
              </w:rPr>
            </w:pPr>
          </w:p>
        </w:tc>
        <w:tc>
          <w:tcPr>
            <w:tcW w:w="62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At the time of settlement, you will receive one share of Incyte</w:t>
            </w:r>
          </w:p>
        </w:tc>
      </w:tr>
      <w:tr>
        <w:trPr>
          <w:trHeight w:val="283"/>
        </w:trPr>
        <w:tc>
          <w:tcPr>
            <w:tcW w:w="2480" w:type="dxa"/>
            <w:vAlign w:val="bottom"/>
          </w:tcPr>
          <w:p>
            <w:pPr>
              <w:spacing w:after="0"/>
              <w:rPr>
                <w:sz w:val="24"/>
                <w:szCs w:val="24"/>
                <w:color w:val="auto"/>
              </w:rPr>
            </w:pPr>
          </w:p>
        </w:tc>
        <w:tc>
          <w:tcPr>
            <w:tcW w:w="62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common stock for each vested unit.</w:t>
            </w:r>
          </w:p>
        </w:tc>
      </w:tr>
      <w:tr>
        <w:trPr>
          <w:trHeight w:val="285"/>
        </w:trPr>
        <w:tc>
          <w:tcPr>
            <w:tcW w:w="248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Change in Control</w:t>
            </w:r>
          </w:p>
        </w:tc>
        <w:tc>
          <w:tcPr>
            <w:tcW w:w="62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 the event a Change in Control (as defined in the Plan) occurs</w:t>
            </w:r>
          </w:p>
        </w:tc>
      </w:tr>
      <w:tr>
        <w:trPr>
          <w:trHeight w:val="216"/>
        </w:trPr>
        <w:tc>
          <w:tcPr>
            <w:tcW w:w="2480" w:type="dxa"/>
            <w:vAlign w:val="bottom"/>
          </w:tcPr>
          <w:p>
            <w:pPr>
              <w:spacing w:after="0"/>
              <w:rPr>
                <w:sz w:val="18"/>
                <w:szCs w:val="18"/>
                <w:color w:val="auto"/>
              </w:rPr>
            </w:pPr>
          </w:p>
        </w:tc>
        <w:tc>
          <w:tcPr>
            <w:tcW w:w="6260" w:type="dxa"/>
            <w:vAlign w:val="bottom"/>
          </w:tcPr>
          <w:p>
            <w:pPr>
              <w:ind w:left="140"/>
              <w:spacing w:after="0" w:line="216" w:lineRule="exact"/>
              <w:rPr>
                <w:sz w:val="20"/>
                <w:szCs w:val="20"/>
                <w:color w:val="auto"/>
              </w:rPr>
            </w:pPr>
            <w:r>
              <w:rPr>
                <w:rFonts w:ascii="Times New Roman" w:cs="Times New Roman" w:eastAsia="Times New Roman" w:hAnsi="Times New Roman"/>
                <w:sz w:val="22"/>
                <w:szCs w:val="22"/>
                <w:color w:val="auto"/>
              </w:rPr>
              <w:t>while the units granted under this Agreement are outstanding, the</w:t>
            </w:r>
          </w:p>
        </w:tc>
      </w:tr>
      <w:tr>
        <w:trPr>
          <w:trHeight w:val="283"/>
        </w:trPr>
        <w:tc>
          <w:tcPr>
            <w:tcW w:w="2480" w:type="dxa"/>
            <w:vAlign w:val="bottom"/>
          </w:tcPr>
          <w:p>
            <w:pPr>
              <w:spacing w:after="0"/>
              <w:rPr>
                <w:sz w:val="24"/>
                <w:szCs w:val="24"/>
                <w:color w:val="auto"/>
              </w:rPr>
            </w:pPr>
          </w:p>
        </w:tc>
        <w:tc>
          <w:tcPr>
            <w:tcW w:w="62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units will vest in full upon the Change in Control.</w:t>
            </w:r>
          </w:p>
        </w:tc>
      </w:tr>
      <w:tr>
        <w:trPr>
          <w:trHeight w:val="298"/>
        </w:trPr>
        <w:tc>
          <w:tcPr>
            <w:tcW w:w="248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Units Nontransferable</w:t>
            </w:r>
          </w:p>
        </w:tc>
        <w:tc>
          <w:tcPr>
            <w:tcW w:w="62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9"/>
              </w:rPr>
              <w:t>You may not sell, transfer, assign, pledge or otherwise dispose of any</w:t>
            </w:r>
          </w:p>
        </w:tc>
      </w:tr>
      <w:tr>
        <w:trPr>
          <w:trHeight w:val="216"/>
        </w:trPr>
        <w:tc>
          <w:tcPr>
            <w:tcW w:w="2480" w:type="dxa"/>
            <w:vAlign w:val="bottom"/>
          </w:tcPr>
          <w:p>
            <w:pPr>
              <w:spacing w:after="0"/>
              <w:rPr>
                <w:sz w:val="18"/>
                <w:szCs w:val="18"/>
                <w:color w:val="auto"/>
              </w:rPr>
            </w:pPr>
          </w:p>
        </w:tc>
        <w:tc>
          <w:tcPr>
            <w:tcW w:w="6260" w:type="dxa"/>
            <w:vAlign w:val="bottom"/>
          </w:tcPr>
          <w:p>
            <w:pPr>
              <w:ind w:left="140"/>
              <w:spacing w:after="0" w:line="216" w:lineRule="exact"/>
              <w:rPr>
                <w:sz w:val="20"/>
                <w:szCs w:val="20"/>
                <w:color w:val="auto"/>
              </w:rPr>
            </w:pPr>
            <w:r>
              <w:rPr>
                <w:rFonts w:ascii="Times New Roman" w:cs="Times New Roman" w:eastAsia="Times New Roman" w:hAnsi="Times New Roman"/>
                <w:sz w:val="22"/>
                <w:szCs w:val="22"/>
                <w:color w:val="auto"/>
              </w:rPr>
              <w:t>of your units. For instance, you may not use your units as security</w:t>
            </w:r>
          </w:p>
        </w:tc>
      </w:tr>
      <w:tr>
        <w:trPr>
          <w:trHeight w:val="216"/>
        </w:trPr>
        <w:tc>
          <w:tcPr>
            <w:tcW w:w="2480" w:type="dxa"/>
            <w:vAlign w:val="bottom"/>
          </w:tcPr>
          <w:p>
            <w:pPr>
              <w:spacing w:after="0"/>
              <w:rPr>
                <w:sz w:val="18"/>
                <w:szCs w:val="18"/>
                <w:color w:val="auto"/>
              </w:rPr>
            </w:pPr>
          </w:p>
        </w:tc>
        <w:tc>
          <w:tcPr>
            <w:tcW w:w="6260" w:type="dxa"/>
            <w:vAlign w:val="bottom"/>
          </w:tcPr>
          <w:p>
            <w:pPr>
              <w:ind w:left="140"/>
              <w:spacing w:after="0" w:line="216" w:lineRule="exact"/>
              <w:rPr>
                <w:sz w:val="20"/>
                <w:szCs w:val="20"/>
                <w:color w:val="auto"/>
              </w:rPr>
            </w:pPr>
            <w:r>
              <w:rPr>
                <w:rFonts w:ascii="Times New Roman" w:cs="Times New Roman" w:eastAsia="Times New Roman" w:hAnsi="Times New Roman"/>
                <w:sz w:val="22"/>
                <w:szCs w:val="22"/>
                <w:color w:val="auto"/>
              </w:rPr>
              <w:t>for a loan. If you attempt to do any of these things, your units will</w:t>
            </w:r>
          </w:p>
        </w:tc>
      </w:tr>
      <w:tr>
        <w:trPr>
          <w:trHeight w:val="216"/>
        </w:trPr>
        <w:tc>
          <w:tcPr>
            <w:tcW w:w="2480" w:type="dxa"/>
            <w:vAlign w:val="bottom"/>
          </w:tcPr>
          <w:p>
            <w:pPr>
              <w:spacing w:after="0"/>
              <w:rPr>
                <w:sz w:val="18"/>
                <w:szCs w:val="18"/>
                <w:color w:val="auto"/>
              </w:rPr>
            </w:pPr>
          </w:p>
        </w:tc>
        <w:tc>
          <w:tcPr>
            <w:tcW w:w="6260" w:type="dxa"/>
            <w:vAlign w:val="bottom"/>
          </w:tcPr>
          <w:p>
            <w:pPr>
              <w:ind w:left="140"/>
              <w:spacing w:after="0" w:line="216" w:lineRule="exact"/>
              <w:rPr>
                <w:sz w:val="20"/>
                <w:szCs w:val="20"/>
                <w:color w:val="auto"/>
              </w:rPr>
            </w:pPr>
            <w:r>
              <w:rPr>
                <w:rFonts w:ascii="Times New Roman" w:cs="Times New Roman" w:eastAsia="Times New Roman" w:hAnsi="Times New Roman"/>
                <w:sz w:val="22"/>
                <w:szCs w:val="22"/>
                <w:color w:val="auto"/>
              </w:rPr>
              <w:t>immediately become invalid. You may, however, dispose of any</w:t>
            </w:r>
          </w:p>
        </w:tc>
      </w:tr>
      <w:tr>
        <w:trPr>
          <w:trHeight w:val="283"/>
        </w:trPr>
        <w:tc>
          <w:tcPr>
            <w:tcW w:w="2480" w:type="dxa"/>
            <w:vAlign w:val="bottom"/>
          </w:tcPr>
          <w:p>
            <w:pPr>
              <w:spacing w:after="0"/>
              <w:rPr>
                <w:sz w:val="24"/>
                <w:szCs w:val="24"/>
                <w:color w:val="auto"/>
              </w:rPr>
            </w:pPr>
          </w:p>
        </w:tc>
        <w:tc>
          <w:tcPr>
            <w:tcW w:w="62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vested but unsettled units in your will.</w:t>
            </w:r>
          </w:p>
        </w:tc>
      </w:tr>
      <w:tr>
        <w:trPr>
          <w:trHeight w:val="298"/>
        </w:trPr>
        <w:tc>
          <w:tcPr>
            <w:tcW w:w="2480" w:type="dxa"/>
            <w:vAlign w:val="bottom"/>
          </w:tcPr>
          <w:p>
            <w:pPr>
              <w:spacing w:after="0"/>
              <w:rPr>
                <w:sz w:val="24"/>
                <w:szCs w:val="24"/>
                <w:color w:val="auto"/>
              </w:rPr>
            </w:pPr>
          </w:p>
        </w:tc>
        <w:tc>
          <w:tcPr>
            <w:tcW w:w="62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Regardless of any marital property settlement agreement, Incyte is</w:t>
            </w:r>
          </w:p>
        </w:tc>
      </w:tr>
      <w:tr>
        <w:trPr>
          <w:trHeight w:val="216"/>
        </w:trPr>
        <w:tc>
          <w:tcPr>
            <w:tcW w:w="2480" w:type="dxa"/>
            <w:vAlign w:val="bottom"/>
          </w:tcPr>
          <w:p>
            <w:pPr>
              <w:spacing w:after="0"/>
              <w:rPr>
                <w:sz w:val="18"/>
                <w:szCs w:val="18"/>
                <w:color w:val="auto"/>
              </w:rPr>
            </w:pPr>
          </w:p>
        </w:tc>
        <w:tc>
          <w:tcPr>
            <w:tcW w:w="6260" w:type="dxa"/>
            <w:vAlign w:val="bottom"/>
          </w:tcPr>
          <w:p>
            <w:pPr>
              <w:ind w:left="140"/>
              <w:spacing w:after="0" w:line="216" w:lineRule="exact"/>
              <w:rPr>
                <w:sz w:val="20"/>
                <w:szCs w:val="20"/>
                <w:color w:val="auto"/>
              </w:rPr>
            </w:pPr>
            <w:r>
              <w:rPr>
                <w:rFonts w:ascii="Times New Roman" w:cs="Times New Roman" w:eastAsia="Times New Roman" w:hAnsi="Times New Roman"/>
                <w:sz w:val="22"/>
                <w:szCs w:val="22"/>
                <w:color w:val="auto"/>
              </w:rPr>
              <w:t>not obligated to recognize your former spouse’s interest in your units</w:t>
            </w:r>
          </w:p>
        </w:tc>
      </w:tr>
      <w:tr>
        <w:trPr>
          <w:trHeight w:val="283"/>
        </w:trPr>
        <w:tc>
          <w:tcPr>
            <w:tcW w:w="2480" w:type="dxa"/>
            <w:vAlign w:val="bottom"/>
          </w:tcPr>
          <w:p>
            <w:pPr>
              <w:spacing w:after="0"/>
              <w:rPr>
                <w:sz w:val="24"/>
                <w:szCs w:val="24"/>
                <w:color w:val="auto"/>
              </w:rPr>
            </w:pPr>
          </w:p>
        </w:tc>
        <w:tc>
          <w:tcPr>
            <w:tcW w:w="62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 any way.</w:t>
            </w:r>
          </w:p>
        </w:tc>
      </w:tr>
      <w:tr>
        <w:trPr>
          <w:trHeight w:val="285"/>
        </w:trPr>
        <w:tc>
          <w:tcPr>
            <w:tcW w:w="248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Beneficiary Designation</w:t>
            </w:r>
          </w:p>
        </w:tc>
        <w:tc>
          <w:tcPr>
            <w:tcW w:w="62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You may designate a beneficiary in writing to receive your vested</w:t>
            </w:r>
          </w:p>
        </w:tc>
      </w:tr>
      <w:tr>
        <w:trPr>
          <w:trHeight w:val="216"/>
        </w:trPr>
        <w:tc>
          <w:tcPr>
            <w:tcW w:w="2480" w:type="dxa"/>
            <w:vAlign w:val="bottom"/>
          </w:tcPr>
          <w:p>
            <w:pPr>
              <w:spacing w:after="0"/>
              <w:rPr>
                <w:sz w:val="18"/>
                <w:szCs w:val="18"/>
                <w:color w:val="auto"/>
              </w:rPr>
            </w:pPr>
          </w:p>
        </w:tc>
        <w:tc>
          <w:tcPr>
            <w:tcW w:w="6260" w:type="dxa"/>
            <w:vAlign w:val="bottom"/>
          </w:tcPr>
          <w:p>
            <w:pPr>
              <w:ind w:left="140"/>
              <w:spacing w:after="0" w:line="216" w:lineRule="exact"/>
              <w:rPr>
                <w:sz w:val="20"/>
                <w:szCs w:val="20"/>
                <w:color w:val="auto"/>
              </w:rPr>
            </w:pPr>
            <w:r>
              <w:rPr>
                <w:rFonts w:ascii="Times New Roman" w:cs="Times New Roman" w:eastAsia="Times New Roman" w:hAnsi="Times New Roman"/>
                <w:sz w:val="22"/>
                <w:szCs w:val="22"/>
                <w:color w:val="auto"/>
              </w:rPr>
              <w:t>units in the event you die before settlement of the units. A</w:t>
            </w:r>
          </w:p>
        </w:tc>
      </w:tr>
      <w:tr>
        <w:trPr>
          <w:trHeight w:val="216"/>
        </w:trPr>
        <w:tc>
          <w:tcPr>
            <w:tcW w:w="2480" w:type="dxa"/>
            <w:vAlign w:val="bottom"/>
          </w:tcPr>
          <w:p>
            <w:pPr>
              <w:spacing w:after="0"/>
              <w:rPr>
                <w:sz w:val="18"/>
                <w:szCs w:val="18"/>
                <w:color w:val="auto"/>
              </w:rPr>
            </w:pPr>
          </w:p>
        </w:tc>
        <w:tc>
          <w:tcPr>
            <w:tcW w:w="6260" w:type="dxa"/>
            <w:vAlign w:val="bottom"/>
          </w:tcPr>
          <w:p>
            <w:pPr>
              <w:ind w:left="140"/>
              <w:spacing w:after="0" w:line="216" w:lineRule="exact"/>
              <w:rPr>
                <w:sz w:val="20"/>
                <w:szCs w:val="20"/>
                <w:color w:val="auto"/>
              </w:rPr>
            </w:pPr>
            <w:r>
              <w:rPr>
                <w:rFonts w:ascii="Times New Roman" w:cs="Times New Roman" w:eastAsia="Times New Roman" w:hAnsi="Times New Roman"/>
                <w:sz w:val="22"/>
                <w:szCs w:val="22"/>
                <w:color w:val="auto"/>
              </w:rPr>
              <w:t>beneficiary designation must be filed with Incyte on the proper form,</w:t>
            </w:r>
          </w:p>
        </w:tc>
      </w:tr>
      <w:tr>
        <w:trPr>
          <w:trHeight w:val="216"/>
        </w:trPr>
        <w:tc>
          <w:tcPr>
            <w:tcW w:w="2480" w:type="dxa"/>
            <w:vAlign w:val="bottom"/>
          </w:tcPr>
          <w:p>
            <w:pPr>
              <w:spacing w:after="0"/>
              <w:rPr>
                <w:sz w:val="18"/>
                <w:szCs w:val="18"/>
                <w:color w:val="auto"/>
              </w:rPr>
            </w:pPr>
          </w:p>
        </w:tc>
        <w:tc>
          <w:tcPr>
            <w:tcW w:w="6260" w:type="dxa"/>
            <w:vAlign w:val="bottom"/>
          </w:tcPr>
          <w:p>
            <w:pPr>
              <w:ind w:left="140"/>
              <w:spacing w:after="0" w:line="216" w:lineRule="exact"/>
              <w:rPr>
                <w:sz w:val="20"/>
                <w:szCs w:val="20"/>
                <w:color w:val="auto"/>
              </w:rPr>
            </w:pPr>
            <w:r>
              <w:rPr>
                <w:rFonts w:ascii="Times New Roman" w:cs="Times New Roman" w:eastAsia="Times New Roman" w:hAnsi="Times New Roman"/>
                <w:sz w:val="22"/>
                <w:szCs w:val="22"/>
                <w:color w:val="auto"/>
              </w:rPr>
              <w:t>and it will be recognized only if it has been received at Incyte’s</w:t>
            </w:r>
          </w:p>
        </w:tc>
      </w:tr>
      <w:tr>
        <w:trPr>
          <w:trHeight w:val="216"/>
        </w:trPr>
        <w:tc>
          <w:tcPr>
            <w:tcW w:w="2480" w:type="dxa"/>
            <w:vAlign w:val="bottom"/>
          </w:tcPr>
          <w:p>
            <w:pPr>
              <w:spacing w:after="0"/>
              <w:rPr>
                <w:sz w:val="18"/>
                <w:szCs w:val="18"/>
                <w:color w:val="auto"/>
              </w:rPr>
            </w:pPr>
          </w:p>
        </w:tc>
        <w:tc>
          <w:tcPr>
            <w:tcW w:w="6260" w:type="dxa"/>
            <w:vAlign w:val="bottom"/>
          </w:tcPr>
          <w:p>
            <w:pPr>
              <w:ind w:left="140"/>
              <w:spacing w:after="0" w:line="216" w:lineRule="exact"/>
              <w:rPr>
                <w:sz w:val="20"/>
                <w:szCs w:val="20"/>
                <w:color w:val="auto"/>
              </w:rPr>
            </w:pPr>
            <w:r>
              <w:rPr>
                <w:rFonts w:ascii="Times New Roman" w:cs="Times New Roman" w:eastAsia="Times New Roman" w:hAnsi="Times New Roman"/>
                <w:sz w:val="22"/>
                <w:szCs w:val="22"/>
                <w:color w:val="auto"/>
                <w:w w:val="99"/>
              </w:rPr>
              <w:t>headquarters before your death. If you file no beneficiary designation</w:t>
            </w:r>
          </w:p>
        </w:tc>
      </w:tr>
      <w:tr>
        <w:trPr>
          <w:trHeight w:val="216"/>
        </w:trPr>
        <w:tc>
          <w:tcPr>
            <w:tcW w:w="2480" w:type="dxa"/>
            <w:vAlign w:val="bottom"/>
          </w:tcPr>
          <w:p>
            <w:pPr>
              <w:spacing w:after="0"/>
              <w:rPr>
                <w:sz w:val="18"/>
                <w:szCs w:val="18"/>
                <w:color w:val="auto"/>
              </w:rPr>
            </w:pPr>
          </w:p>
        </w:tc>
        <w:tc>
          <w:tcPr>
            <w:tcW w:w="6260" w:type="dxa"/>
            <w:vAlign w:val="bottom"/>
          </w:tcPr>
          <w:p>
            <w:pPr>
              <w:ind w:left="140"/>
              <w:spacing w:after="0" w:line="216" w:lineRule="exact"/>
              <w:rPr>
                <w:sz w:val="20"/>
                <w:szCs w:val="20"/>
                <w:color w:val="auto"/>
              </w:rPr>
            </w:pPr>
            <w:r>
              <w:rPr>
                <w:rFonts w:ascii="Times New Roman" w:cs="Times New Roman" w:eastAsia="Times New Roman" w:hAnsi="Times New Roman"/>
                <w:sz w:val="22"/>
                <w:szCs w:val="22"/>
                <w:color w:val="auto"/>
              </w:rPr>
              <w:t>or if none of your designated beneficiaries survives you, then your</w:t>
            </w:r>
          </w:p>
        </w:tc>
      </w:tr>
      <w:tr>
        <w:trPr>
          <w:trHeight w:val="216"/>
        </w:trPr>
        <w:tc>
          <w:tcPr>
            <w:tcW w:w="2480" w:type="dxa"/>
            <w:vAlign w:val="bottom"/>
          </w:tcPr>
          <w:p>
            <w:pPr>
              <w:spacing w:after="0"/>
              <w:rPr>
                <w:sz w:val="18"/>
                <w:szCs w:val="18"/>
                <w:color w:val="auto"/>
              </w:rPr>
            </w:pPr>
          </w:p>
        </w:tc>
        <w:tc>
          <w:tcPr>
            <w:tcW w:w="6260" w:type="dxa"/>
            <w:vAlign w:val="bottom"/>
          </w:tcPr>
          <w:p>
            <w:pPr>
              <w:ind w:left="140"/>
              <w:spacing w:after="0" w:line="216" w:lineRule="exact"/>
              <w:rPr>
                <w:sz w:val="20"/>
                <w:szCs w:val="20"/>
                <w:color w:val="auto"/>
              </w:rPr>
            </w:pPr>
            <w:r>
              <w:rPr>
                <w:rFonts w:ascii="Times New Roman" w:cs="Times New Roman" w:eastAsia="Times New Roman" w:hAnsi="Times New Roman"/>
                <w:sz w:val="22"/>
                <w:szCs w:val="22"/>
                <w:color w:val="auto"/>
              </w:rPr>
              <w:t>estate will receive any vested units that you hold at the time of your</w:t>
            </w:r>
          </w:p>
        </w:tc>
      </w:tr>
      <w:tr>
        <w:trPr>
          <w:trHeight w:val="283"/>
        </w:trPr>
        <w:tc>
          <w:tcPr>
            <w:tcW w:w="2480" w:type="dxa"/>
            <w:vAlign w:val="bottom"/>
          </w:tcPr>
          <w:p>
            <w:pPr>
              <w:spacing w:after="0"/>
              <w:rPr>
                <w:sz w:val="24"/>
                <w:szCs w:val="24"/>
                <w:color w:val="auto"/>
              </w:rPr>
            </w:pPr>
          </w:p>
        </w:tc>
        <w:tc>
          <w:tcPr>
            <w:tcW w:w="62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death.</w:t>
            </w:r>
          </w:p>
        </w:tc>
      </w:tr>
      <w:tr>
        <w:trPr>
          <w:trHeight w:val="298"/>
        </w:trPr>
        <w:tc>
          <w:tcPr>
            <w:tcW w:w="248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Restrictions on Resale</w:t>
            </w:r>
          </w:p>
        </w:tc>
        <w:tc>
          <w:tcPr>
            <w:tcW w:w="62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By accepting the award notice, you agree not to sell any shares of</w:t>
            </w:r>
          </w:p>
        </w:tc>
      </w:tr>
      <w:tr>
        <w:trPr>
          <w:trHeight w:val="216"/>
        </w:trPr>
        <w:tc>
          <w:tcPr>
            <w:tcW w:w="2480" w:type="dxa"/>
            <w:vAlign w:val="bottom"/>
          </w:tcPr>
          <w:p>
            <w:pPr>
              <w:spacing w:after="0"/>
              <w:rPr>
                <w:sz w:val="18"/>
                <w:szCs w:val="18"/>
                <w:color w:val="auto"/>
              </w:rPr>
            </w:pPr>
          </w:p>
        </w:tc>
        <w:tc>
          <w:tcPr>
            <w:tcW w:w="6260" w:type="dxa"/>
            <w:vAlign w:val="bottom"/>
          </w:tcPr>
          <w:p>
            <w:pPr>
              <w:ind w:left="140"/>
              <w:spacing w:after="0" w:line="216" w:lineRule="exact"/>
              <w:rPr>
                <w:sz w:val="20"/>
                <w:szCs w:val="20"/>
                <w:color w:val="auto"/>
              </w:rPr>
            </w:pPr>
            <w:r>
              <w:rPr>
                <w:rFonts w:ascii="Times New Roman" w:cs="Times New Roman" w:eastAsia="Times New Roman" w:hAnsi="Times New Roman"/>
                <w:sz w:val="22"/>
                <w:szCs w:val="22"/>
                <w:color w:val="auto"/>
              </w:rPr>
              <w:t>Incyte common stock issued upon settlement of the units at a time</w:t>
            </w:r>
          </w:p>
        </w:tc>
      </w:tr>
      <w:tr>
        <w:trPr>
          <w:trHeight w:val="216"/>
        </w:trPr>
        <w:tc>
          <w:tcPr>
            <w:tcW w:w="2480" w:type="dxa"/>
            <w:vAlign w:val="bottom"/>
          </w:tcPr>
          <w:p>
            <w:pPr>
              <w:spacing w:after="0"/>
              <w:rPr>
                <w:sz w:val="18"/>
                <w:szCs w:val="18"/>
                <w:color w:val="auto"/>
              </w:rPr>
            </w:pPr>
          </w:p>
        </w:tc>
        <w:tc>
          <w:tcPr>
            <w:tcW w:w="6260" w:type="dxa"/>
            <w:vAlign w:val="bottom"/>
          </w:tcPr>
          <w:p>
            <w:pPr>
              <w:ind w:left="140"/>
              <w:spacing w:after="0" w:line="216" w:lineRule="exact"/>
              <w:rPr>
                <w:sz w:val="20"/>
                <w:szCs w:val="20"/>
                <w:color w:val="auto"/>
              </w:rPr>
            </w:pPr>
            <w:r>
              <w:rPr>
                <w:rFonts w:ascii="Times New Roman" w:cs="Times New Roman" w:eastAsia="Times New Roman" w:hAnsi="Times New Roman"/>
                <w:sz w:val="22"/>
                <w:szCs w:val="22"/>
                <w:color w:val="auto"/>
              </w:rPr>
              <w:t>when applicable laws or Incyte policies prohibit a sale. This</w:t>
            </w:r>
          </w:p>
        </w:tc>
      </w:tr>
      <w:tr>
        <w:trPr>
          <w:trHeight w:val="283"/>
        </w:trPr>
        <w:tc>
          <w:tcPr>
            <w:tcW w:w="2480" w:type="dxa"/>
            <w:vAlign w:val="bottom"/>
          </w:tcPr>
          <w:p>
            <w:pPr>
              <w:spacing w:after="0"/>
              <w:rPr>
                <w:sz w:val="24"/>
                <w:szCs w:val="24"/>
                <w:color w:val="auto"/>
              </w:rPr>
            </w:pPr>
          </w:p>
        </w:tc>
        <w:tc>
          <w:tcPr>
            <w:tcW w:w="62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restriction will apply as long as you are a director of Incyte.</w:t>
            </w:r>
          </w:p>
        </w:tc>
      </w:tr>
      <w:tr>
        <w:trPr>
          <w:trHeight w:val="298"/>
        </w:trPr>
        <w:tc>
          <w:tcPr>
            <w:tcW w:w="248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Retention Rights</w:t>
            </w:r>
          </w:p>
        </w:tc>
        <w:tc>
          <w:tcPr>
            <w:tcW w:w="62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Neither your award nor this Agreement gives you the right to be</w:t>
            </w:r>
          </w:p>
        </w:tc>
      </w:tr>
      <w:tr>
        <w:trPr>
          <w:trHeight w:val="216"/>
        </w:trPr>
        <w:tc>
          <w:tcPr>
            <w:tcW w:w="2480" w:type="dxa"/>
            <w:vAlign w:val="bottom"/>
          </w:tcPr>
          <w:p>
            <w:pPr>
              <w:spacing w:after="0"/>
              <w:rPr>
                <w:sz w:val="18"/>
                <w:szCs w:val="18"/>
                <w:color w:val="auto"/>
              </w:rPr>
            </w:pPr>
          </w:p>
        </w:tc>
        <w:tc>
          <w:tcPr>
            <w:tcW w:w="6260" w:type="dxa"/>
            <w:vAlign w:val="bottom"/>
          </w:tcPr>
          <w:p>
            <w:pPr>
              <w:ind w:left="140"/>
              <w:spacing w:after="0" w:line="216" w:lineRule="exact"/>
              <w:rPr>
                <w:sz w:val="20"/>
                <w:szCs w:val="20"/>
                <w:color w:val="auto"/>
              </w:rPr>
            </w:pPr>
            <w:r>
              <w:rPr>
                <w:rFonts w:ascii="Times New Roman" w:cs="Times New Roman" w:eastAsia="Times New Roman" w:hAnsi="Times New Roman"/>
                <w:sz w:val="22"/>
                <w:szCs w:val="22"/>
                <w:color w:val="auto"/>
              </w:rPr>
              <w:t>elected as, or to be nominated for election as, a director of Incyte or</w:t>
            </w:r>
          </w:p>
        </w:tc>
      </w:tr>
      <w:tr>
        <w:trPr>
          <w:trHeight w:val="283"/>
        </w:trPr>
        <w:tc>
          <w:tcPr>
            <w:tcW w:w="2480" w:type="dxa"/>
            <w:vAlign w:val="bottom"/>
          </w:tcPr>
          <w:p>
            <w:pPr>
              <w:spacing w:after="0"/>
              <w:rPr>
                <w:sz w:val="24"/>
                <w:szCs w:val="24"/>
                <w:color w:val="auto"/>
              </w:rPr>
            </w:pPr>
          </w:p>
        </w:tc>
        <w:tc>
          <w:tcPr>
            <w:tcW w:w="62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to remain a director of Incyte.</w:t>
            </w:r>
          </w:p>
        </w:tc>
      </w:tr>
      <w:tr>
        <w:trPr>
          <w:trHeight w:val="298"/>
        </w:trPr>
        <w:tc>
          <w:tcPr>
            <w:tcW w:w="248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Adjustments</w:t>
            </w:r>
          </w:p>
        </w:tc>
        <w:tc>
          <w:tcPr>
            <w:tcW w:w="62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 the event of a stock split, a stock dividend or a similar change in</w:t>
            </w:r>
          </w:p>
        </w:tc>
      </w:tr>
      <w:tr>
        <w:trPr>
          <w:trHeight w:val="216"/>
        </w:trPr>
        <w:tc>
          <w:tcPr>
            <w:tcW w:w="2480" w:type="dxa"/>
            <w:vAlign w:val="bottom"/>
          </w:tcPr>
          <w:p>
            <w:pPr>
              <w:spacing w:after="0"/>
              <w:rPr>
                <w:sz w:val="18"/>
                <w:szCs w:val="18"/>
                <w:color w:val="auto"/>
              </w:rPr>
            </w:pPr>
          </w:p>
        </w:tc>
        <w:tc>
          <w:tcPr>
            <w:tcW w:w="6260" w:type="dxa"/>
            <w:vAlign w:val="bottom"/>
          </w:tcPr>
          <w:p>
            <w:pPr>
              <w:ind w:left="140"/>
              <w:spacing w:after="0" w:line="216" w:lineRule="exact"/>
              <w:rPr>
                <w:sz w:val="20"/>
                <w:szCs w:val="20"/>
                <w:color w:val="auto"/>
              </w:rPr>
            </w:pPr>
            <w:r>
              <w:rPr>
                <w:rFonts w:ascii="Times New Roman" w:cs="Times New Roman" w:eastAsia="Times New Roman" w:hAnsi="Times New Roman"/>
                <w:sz w:val="22"/>
                <w:szCs w:val="22"/>
                <w:color w:val="auto"/>
              </w:rPr>
              <w:t>Incyte common stock, the number of your units covered by this</w:t>
            </w:r>
          </w:p>
        </w:tc>
      </w:tr>
      <w:tr>
        <w:trPr>
          <w:trHeight w:val="283"/>
        </w:trPr>
        <w:tc>
          <w:tcPr>
            <w:tcW w:w="2480" w:type="dxa"/>
            <w:vAlign w:val="bottom"/>
          </w:tcPr>
          <w:p>
            <w:pPr>
              <w:spacing w:after="0"/>
              <w:rPr>
                <w:sz w:val="24"/>
                <w:szCs w:val="24"/>
                <w:color w:val="auto"/>
              </w:rPr>
            </w:pPr>
          </w:p>
        </w:tc>
        <w:tc>
          <w:tcPr>
            <w:tcW w:w="62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award may be adjusted pursuant to the Plan.</w:t>
            </w:r>
          </w:p>
        </w:tc>
      </w:tr>
      <w:tr>
        <w:trPr>
          <w:trHeight w:val="298"/>
        </w:trPr>
        <w:tc>
          <w:tcPr>
            <w:tcW w:w="248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Recovery and</w:t>
            </w:r>
          </w:p>
        </w:tc>
        <w:tc>
          <w:tcPr>
            <w:tcW w:w="62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Incyte shall have the right to recover, or receive reimbursement for,</w:t>
            </w:r>
          </w:p>
        </w:tc>
      </w:tr>
      <w:tr>
        <w:trPr>
          <w:trHeight w:val="216"/>
        </w:trPr>
        <w:tc>
          <w:tcPr>
            <w:tcW w:w="2480" w:type="dxa"/>
            <w:vAlign w:val="bottom"/>
          </w:tcPr>
          <w:p>
            <w:pPr>
              <w:ind w:left="120"/>
              <w:spacing w:after="0" w:line="216" w:lineRule="exact"/>
              <w:rPr>
                <w:sz w:val="20"/>
                <w:szCs w:val="20"/>
                <w:color w:val="auto"/>
              </w:rPr>
            </w:pPr>
            <w:r>
              <w:rPr>
                <w:rFonts w:ascii="Times New Roman" w:cs="Times New Roman" w:eastAsia="Times New Roman" w:hAnsi="Times New Roman"/>
                <w:sz w:val="22"/>
                <w:szCs w:val="22"/>
                <w:b w:val="1"/>
                <w:bCs w:val="1"/>
                <w:color w:val="auto"/>
              </w:rPr>
              <w:t>Reimbursement of Gain</w:t>
            </w:r>
          </w:p>
        </w:tc>
        <w:tc>
          <w:tcPr>
            <w:tcW w:w="6260" w:type="dxa"/>
            <w:vAlign w:val="bottom"/>
          </w:tcPr>
          <w:p>
            <w:pPr>
              <w:ind w:left="140"/>
              <w:spacing w:after="0" w:line="216" w:lineRule="exact"/>
              <w:rPr>
                <w:sz w:val="20"/>
                <w:szCs w:val="20"/>
                <w:color w:val="auto"/>
              </w:rPr>
            </w:pPr>
            <w:r>
              <w:rPr>
                <w:rFonts w:ascii="Times New Roman" w:cs="Times New Roman" w:eastAsia="Times New Roman" w:hAnsi="Times New Roman"/>
                <w:sz w:val="22"/>
                <w:szCs w:val="22"/>
                <w:color w:val="auto"/>
              </w:rPr>
              <w:t>any compensation or profit realized by the issuance or settlement of</w:t>
            </w:r>
          </w:p>
        </w:tc>
      </w:tr>
      <w:tr>
        <w:trPr>
          <w:trHeight w:val="283"/>
        </w:trPr>
        <w:tc>
          <w:tcPr>
            <w:tcW w:w="2480" w:type="dxa"/>
            <w:vAlign w:val="bottom"/>
          </w:tcPr>
          <w:p>
            <w:pPr>
              <w:spacing w:after="0"/>
              <w:rPr>
                <w:sz w:val="24"/>
                <w:szCs w:val="24"/>
                <w:color w:val="auto"/>
              </w:rPr>
            </w:pPr>
          </w:p>
        </w:tc>
        <w:tc>
          <w:tcPr>
            <w:tcW w:w="62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units under this Agreement, or by the disposition of any shares</w:t>
            </w:r>
          </w:p>
        </w:tc>
      </w:tr>
      <w:tr>
        <w:trPr>
          <w:trHeight w:val="561"/>
        </w:trPr>
        <w:tc>
          <w:tcPr>
            <w:tcW w:w="2480" w:type="dxa"/>
            <w:vAlign w:val="bottom"/>
          </w:tcPr>
          <w:p>
            <w:pPr>
              <w:spacing w:after="0"/>
              <w:rPr>
                <w:sz w:val="24"/>
                <w:szCs w:val="24"/>
                <w:color w:val="auto"/>
              </w:rPr>
            </w:pPr>
          </w:p>
        </w:tc>
        <w:tc>
          <w:tcPr>
            <w:tcW w:w="6260" w:type="dxa"/>
            <w:vAlign w:val="bottom"/>
          </w:tcPr>
          <w:p>
            <w:pPr>
              <w:ind w:left="1840"/>
              <w:spacing w:after="0"/>
              <w:rPr>
                <w:sz w:val="20"/>
                <w:szCs w:val="20"/>
                <w:color w:val="auto"/>
              </w:rPr>
            </w:pPr>
            <w:r>
              <w:rPr>
                <w:rFonts w:ascii="Times New Roman" w:cs="Times New Roman" w:eastAsia="Times New Roman" w:hAnsi="Times New Roman"/>
                <w:sz w:val="20"/>
                <w:szCs w:val="20"/>
                <w:color w:val="auto"/>
              </w:rPr>
              <w:t>2</w:t>
            </w:r>
          </w:p>
        </w:tc>
      </w:tr>
      <w:tr>
        <w:trPr>
          <w:trHeight w:val="528"/>
        </w:trPr>
        <w:tc>
          <w:tcPr>
            <w:tcW w:w="248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2" w:right="1440" w:bottom="1440" w:gutter="0" w:footer="0" w:header="0"/>
        </w:sectPr>
      </w:pPr>
    </w:p>
    <w:bookmarkStart w:id="91" w:name="page92"/>
    <w:bookmarkEnd w:id="91"/>
    <w:p>
      <w:pPr>
        <w:ind w:left="2760" w:right="359"/>
        <w:spacing w:after="0" w:line="255" w:lineRule="auto"/>
        <w:rPr>
          <w:sz w:val="20"/>
          <w:szCs w:val="20"/>
          <w:color w:val="auto"/>
        </w:rPr>
      </w:pPr>
      <w:r>
        <w:rPr>
          <w:rFonts w:ascii="Times New Roman" w:cs="Times New Roman" w:eastAsia="Times New Roman" w:hAnsi="Times New Roman"/>
          <w:sz w:val="21"/>
          <w:szCs w:val="21"/>
          <w:color w:val="auto"/>
        </w:rPr>
        <w:t>issued upon settlement of the units, to the extent Incyte has such a right of recovery or reimbursement under applicable securities laws.</w:t>
      </w:r>
    </w:p>
    <w:p>
      <w:pPr>
        <w:sectPr>
          <w:pgSz w:w="11900" w:h="16838" w:orient="portrait"/>
          <w:cols w:equalWidth="0" w:num="1">
            <w:col w:w="9019"/>
          </w:cols>
          <w:pgMar w:left="1440" w:top="288" w:right="1440" w:bottom="1440" w:gutter="0" w:footer="0" w:header="0"/>
        </w:sectPr>
      </w:pPr>
    </w:p>
    <w:p>
      <w:pPr>
        <w:spacing w:after="0" w:line="64" w:lineRule="exact"/>
        <w:rPr>
          <w:sz w:val="20"/>
          <w:szCs w:val="20"/>
          <w:color w:val="auto"/>
        </w:rPr>
      </w:pPr>
    </w:p>
    <w:p>
      <w:pPr>
        <w:ind w:left="260"/>
        <w:spacing w:after="0" w:line="227" w:lineRule="auto"/>
        <w:rPr>
          <w:sz w:val="20"/>
          <w:szCs w:val="20"/>
          <w:color w:val="auto"/>
        </w:rPr>
      </w:pPr>
      <w:r>
        <w:rPr>
          <w:rFonts w:ascii="Times New Roman" w:cs="Times New Roman" w:eastAsia="Times New Roman" w:hAnsi="Times New Roman"/>
          <w:sz w:val="22"/>
          <w:szCs w:val="22"/>
          <w:b w:val="1"/>
          <w:bCs w:val="1"/>
          <w:color w:val="auto"/>
        </w:rPr>
        <w:t>Compliance with Section 409A of the Code</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right="259"/>
        <w:spacing w:after="0" w:line="211" w:lineRule="auto"/>
        <w:rPr>
          <w:sz w:val="20"/>
          <w:szCs w:val="20"/>
          <w:color w:val="auto"/>
        </w:rPr>
      </w:pPr>
      <w:r>
        <w:rPr>
          <w:rFonts w:ascii="Times New Roman" w:cs="Times New Roman" w:eastAsia="Times New Roman" w:hAnsi="Times New Roman"/>
          <w:sz w:val="22"/>
          <w:szCs w:val="22"/>
          <w:color w:val="auto"/>
        </w:rPr>
        <w:t>Incyte intends that the vesting and settlement of the units awarded under this Agreement will qualify for an exemption from the application of, or will otherwise comply with, Section 409A of the Internal Revenue Code. Incyte reserves the right, to the extent it deems necessary or advisable, to amend this Agreement without your consent in order to maintain such qualification for exemption or compliance. By reserving this right, however, Incyte is not guarantying that Section 409A will never apply to the vesting and/or settlement of the units, or that the requirements of Section 409A will be complied with.</w:t>
      </w:r>
    </w:p>
    <w:p>
      <w:pPr>
        <w:spacing w:after="0" w:line="81" w:lineRule="exact"/>
        <w:rPr>
          <w:sz w:val="20"/>
          <w:szCs w:val="20"/>
          <w:color w:val="auto"/>
        </w:rPr>
      </w:pPr>
    </w:p>
    <w:p>
      <w:pPr>
        <w:sectPr>
          <w:pgSz w:w="11900" w:h="16838" w:orient="portrait"/>
          <w:cols w:equalWidth="0" w:num="2">
            <w:col w:w="2060" w:space="700"/>
            <w:col w:w="6259"/>
          </w:cols>
          <w:pgMar w:left="1440" w:top="288" w:right="1440" w:bottom="1440" w:gutter="0" w:footer="0" w:header="0"/>
          <w:type w:val="continuous"/>
        </w:sectPr>
      </w:pPr>
    </w:p>
    <w:p>
      <w:pPr>
        <w:ind w:left="260"/>
        <w:spacing w:after="0"/>
        <w:rPr>
          <w:sz w:val="20"/>
          <w:szCs w:val="20"/>
          <w:color w:val="auto"/>
        </w:rPr>
      </w:pPr>
      <w:r>
        <w:rPr>
          <w:rFonts w:ascii="Times New Roman" w:cs="Times New Roman" w:eastAsia="Times New Roman" w:hAnsi="Times New Roman"/>
          <w:sz w:val="21"/>
          <w:szCs w:val="21"/>
          <w:b w:val="1"/>
          <w:bCs w:val="1"/>
          <w:color w:val="auto"/>
        </w:rPr>
        <w:t>Applicable Law</w:t>
      </w:r>
    </w:p>
    <w:p>
      <w:pPr>
        <w:spacing w:after="0" w:line="20" w:lineRule="exact"/>
        <w:rPr>
          <w:sz w:val="20"/>
          <w:szCs w:val="20"/>
          <w:color w:val="auto"/>
        </w:rPr>
      </w:pPr>
      <w:r>
        <w:rPr>
          <w:sz w:val="20"/>
          <w:szCs w:val="20"/>
          <w:color w:val="auto"/>
        </w:rPr>
        <w:br w:type="column"/>
      </w:r>
    </w:p>
    <w:p>
      <w:pPr>
        <w:ind w:right="499"/>
        <w:spacing w:after="0" w:line="226" w:lineRule="auto"/>
        <w:rPr>
          <w:sz w:val="20"/>
          <w:szCs w:val="20"/>
          <w:color w:val="auto"/>
        </w:rPr>
      </w:pPr>
      <w:r>
        <w:rPr>
          <w:rFonts w:ascii="Times New Roman" w:cs="Times New Roman" w:eastAsia="Times New Roman" w:hAnsi="Times New Roman"/>
          <w:sz w:val="22"/>
          <w:szCs w:val="22"/>
          <w:color w:val="auto"/>
        </w:rPr>
        <w:t>This Agreement will be interpreted and enforced under the laws of the State of Delaware (without regard to its choice of law provisions).</w:t>
      </w:r>
    </w:p>
    <w:p>
      <w:pPr>
        <w:spacing w:after="0" w:line="78" w:lineRule="exact"/>
        <w:rPr>
          <w:sz w:val="20"/>
          <w:szCs w:val="20"/>
          <w:color w:val="auto"/>
        </w:rPr>
      </w:pPr>
    </w:p>
    <w:p>
      <w:pPr>
        <w:sectPr>
          <w:pgSz w:w="11900" w:h="16838" w:orient="portrait"/>
          <w:cols w:equalWidth="0" w:num="2">
            <w:col w:w="2040" w:space="720"/>
            <w:col w:w="6259"/>
          </w:cols>
          <w:pgMar w:left="1440" w:top="288" w:right="1440" w:bottom="1440" w:gutter="0" w:footer="0" w:header="0"/>
          <w:type w:val="continuous"/>
        </w:sectPr>
      </w:pPr>
    </w:p>
    <w:p>
      <w:pPr>
        <w:ind w:left="260"/>
        <w:spacing w:after="0" w:line="238" w:lineRule="auto"/>
        <w:rPr>
          <w:sz w:val="20"/>
          <w:szCs w:val="20"/>
          <w:color w:val="auto"/>
        </w:rPr>
      </w:pPr>
      <w:r>
        <w:rPr>
          <w:rFonts w:ascii="Times New Roman" w:cs="Times New Roman" w:eastAsia="Times New Roman" w:hAnsi="Times New Roman"/>
          <w:sz w:val="22"/>
          <w:szCs w:val="22"/>
          <w:b w:val="1"/>
          <w:bCs w:val="1"/>
          <w:color w:val="auto"/>
        </w:rPr>
        <w:t>The Plan and Other Agreements</w:t>
      </w:r>
    </w:p>
    <w:p>
      <w:pPr>
        <w:spacing w:after="0" w:line="20" w:lineRule="exact"/>
        <w:rPr>
          <w:sz w:val="20"/>
          <w:szCs w:val="20"/>
          <w:color w:val="auto"/>
        </w:rPr>
      </w:pPr>
      <w:r>
        <w:rPr>
          <w:sz w:val="20"/>
          <w:szCs w:val="20"/>
          <w:color w:val="auto"/>
        </w:rPr>
        <w:br w:type="column"/>
      </w:r>
    </w:p>
    <w:p>
      <w:pPr>
        <w:ind w:right="279"/>
        <w:spacing w:after="0" w:line="214" w:lineRule="auto"/>
        <w:rPr>
          <w:sz w:val="20"/>
          <w:szCs w:val="20"/>
          <w:color w:val="auto"/>
        </w:rPr>
      </w:pPr>
      <w:r>
        <w:rPr>
          <w:rFonts w:ascii="Times New Roman" w:cs="Times New Roman" w:eastAsia="Times New Roman" w:hAnsi="Times New Roman"/>
          <w:sz w:val="22"/>
          <w:szCs w:val="22"/>
          <w:color w:val="auto"/>
        </w:rPr>
        <w:t>The text of the Incyte Corporation Amended and Restated 2010 Stock Incentive Plan (the “Plan”) is incorporated in this Agreement by reference. All capitalized terms not defined in this Agreement are subject to definition under the Plan. If there is any discrepancy between the terms and conditions of this Agreement and the terms and conditions of the Plan, the terms and conditions of the Plan shall control.</w:t>
      </w:r>
    </w:p>
    <w:p>
      <w:pPr>
        <w:spacing w:after="0" w:line="82" w:lineRule="exact"/>
        <w:rPr>
          <w:sz w:val="20"/>
          <w:szCs w:val="20"/>
          <w:color w:val="auto"/>
        </w:rPr>
      </w:pPr>
    </w:p>
    <w:p>
      <w:pPr>
        <w:sectPr>
          <w:pgSz w:w="11900" w:h="16838" w:orient="portrait"/>
          <w:cols w:equalWidth="0" w:num="2">
            <w:col w:w="2120" w:space="640"/>
            <w:col w:w="6259"/>
          </w:cols>
          <w:pgMar w:left="1440" w:top="288" w:right="1440" w:bottom="1440" w:gutter="0" w:footer="0" w:header="0"/>
          <w:type w:val="continuous"/>
        </w:sectPr>
      </w:pPr>
    </w:p>
    <w:p>
      <w:pPr>
        <w:ind w:left="2760" w:right="279"/>
        <w:spacing w:after="0" w:line="212" w:lineRule="auto"/>
        <w:rPr>
          <w:sz w:val="20"/>
          <w:szCs w:val="20"/>
          <w:color w:val="auto"/>
        </w:rPr>
      </w:pPr>
      <w:r>
        <w:rPr>
          <w:rFonts w:ascii="Times New Roman" w:cs="Times New Roman" w:eastAsia="Times New Roman" w:hAnsi="Times New Roman"/>
          <w:sz w:val="22"/>
          <w:szCs w:val="22"/>
          <w:color w:val="auto"/>
        </w:rPr>
        <w:t>This Agreement, the award notice and the Plan constitute the entire understanding between you and Incyte regarding this award. Any prior agreements, commitments or negotiations concerning this award are superseded. This Agreement may be amended by the Committee without your consent; however, if any such amendment would materially impair your rights or obligations under the Agreement, this Agreement may be amended only by another written agreement, signed by you and Incyte.</w:t>
      </w:r>
    </w:p>
    <w:p>
      <w:pPr>
        <w:sectPr>
          <w:pgSz w:w="11900" w:h="16838" w:orient="portrait"/>
          <w:cols w:equalWidth="0" w:num="1">
            <w:col w:w="9019"/>
          </w:cols>
          <w:pgMar w:left="1440" w:top="288" w:right="1440" w:bottom="1440" w:gutter="0" w:footer="0" w:header="0"/>
          <w:type w:val="continuous"/>
        </w:sectPr>
      </w:pPr>
    </w:p>
    <w:p>
      <w:pPr>
        <w:spacing w:after="0" w:line="273" w:lineRule="exact"/>
        <w:rPr>
          <w:sz w:val="20"/>
          <w:szCs w:val="20"/>
          <w:color w:val="auto"/>
        </w:rPr>
      </w:pPr>
    </w:p>
    <w:p>
      <w:pPr>
        <w:jc w:val="center"/>
        <w:ind w:left="160" w:right="139"/>
        <w:spacing w:after="0" w:line="251" w:lineRule="auto"/>
        <w:rPr>
          <w:sz w:val="20"/>
          <w:szCs w:val="20"/>
          <w:color w:val="auto"/>
        </w:rPr>
      </w:pPr>
      <w:r>
        <w:rPr>
          <w:rFonts w:ascii="Times New Roman" w:cs="Times New Roman" w:eastAsia="Times New Roman" w:hAnsi="Times New Roman"/>
          <w:sz w:val="22"/>
          <w:szCs w:val="22"/>
          <w:b w:val="1"/>
          <w:bCs w:val="1"/>
          <w:i w:val="1"/>
          <w:iCs w:val="1"/>
          <w:color w:val="auto"/>
        </w:rPr>
        <w:t>By accepting the award notice, you agree to all of the terms and conditions described above and in the Plan.</w:t>
      </w:r>
    </w:p>
    <w:p>
      <w:pPr>
        <w:spacing w:after="0" w:line="1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340360</wp:posOffset>
            </wp:positionV>
            <wp:extent cx="554863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288" w:right="1440" w:bottom="1440" w:gutter="0" w:footer="0" w:header="0"/>
          <w:type w:val="continuous"/>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Hervé Hoppenot, certify that:</w:t>
      </w:r>
    </w:p>
    <w:p>
      <w:pPr>
        <w:spacing w:after="0" w:line="144" w:lineRule="exact"/>
        <w:rPr>
          <w:sz w:val="20"/>
          <w:szCs w:val="20"/>
          <w:color w:val="auto"/>
        </w:rPr>
      </w:pPr>
    </w:p>
    <w:p>
      <w:pPr>
        <w:ind w:left="520" w:hanging="517"/>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Incyte Corporation;</w:t>
      </w:r>
    </w:p>
    <w:p>
      <w:pPr>
        <w:spacing w:after="0" w:line="144" w:lineRule="exact"/>
        <w:rPr>
          <w:rFonts w:ascii="Times New Roman" w:cs="Times New Roman" w:eastAsia="Times New Roman" w:hAnsi="Times New Roman"/>
          <w:sz w:val="18"/>
          <w:szCs w:val="18"/>
          <w:color w:val="auto"/>
        </w:rPr>
      </w:pPr>
    </w:p>
    <w:p>
      <w:pPr>
        <w:jc w:val="both"/>
        <w:ind w:left="520" w:hanging="517"/>
        <w:spacing w:after="0" w:line="226"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520" w:right="100" w:hanging="517"/>
        <w:spacing w:after="0" w:line="226"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520" w:right="240" w:hanging="517"/>
        <w:spacing w:after="0" w:line="226"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Times New Roman" w:cs="Times New Roman" w:eastAsia="Times New Roman" w:hAnsi="Times New Roman"/>
          <w:sz w:val="18"/>
          <w:szCs w:val="18"/>
          <w:color w:val="auto"/>
        </w:rPr>
      </w:pPr>
    </w:p>
    <w:p>
      <w:pPr>
        <w:ind w:left="1020" w:right="60" w:hanging="504"/>
        <w:spacing w:after="0" w:line="220"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8" w:lineRule="exact"/>
        <w:rPr>
          <w:rFonts w:ascii="Times New Roman" w:cs="Times New Roman" w:eastAsia="Times New Roman" w:hAnsi="Times New Roman"/>
          <w:sz w:val="18"/>
          <w:szCs w:val="18"/>
          <w:color w:val="auto"/>
        </w:rPr>
      </w:pPr>
    </w:p>
    <w:p>
      <w:pPr>
        <w:ind w:left="1020" w:right="40" w:hanging="504"/>
        <w:spacing w:after="0" w:line="220"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8" w:lineRule="exact"/>
        <w:rPr>
          <w:rFonts w:ascii="Times New Roman" w:cs="Times New Roman" w:eastAsia="Times New Roman" w:hAnsi="Times New Roman"/>
          <w:sz w:val="18"/>
          <w:szCs w:val="18"/>
          <w:color w:val="auto"/>
        </w:rPr>
      </w:pPr>
    </w:p>
    <w:p>
      <w:pPr>
        <w:jc w:val="both"/>
        <w:ind w:left="1020" w:right="220" w:hanging="504"/>
        <w:spacing w:after="0" w:line="226"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Times New Roman" w:cs="Times New Roman" w:eastAsia="Times New Roman" w:hAnsi="Times New Roman"/>
          <w:sz w:val="18"/>
          <w:szCs w:val="18"/>
          <w:color w:val="auto"/>
        </w:rPr>
      </w:pPr>
    </w:p>
    <w:p>
      <w:pPr>
        <w:ind w:left="1020" w:right="140" w:hanging="504"/>
        <w:spacing w:after="0" w:line="220"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8" w:lineRule="exact"/>
        <w:rPr>
          <w:rFonts w:ascii="Times New Roman" w:cs="Times New Roman" w:eastAsia="Times New Roman" w:hAnsi="Times New Roman"/>
          <w:sz w:val="18"/>
          <w:szCs w:val="18"/>
          <w:color w:val="auto"/>
        </w:rPr>
      </w:pPr>
    </w:p>
    <w:p>
      <w:pPr>
        <w:ind w:left="520" w:right="20" w:hanging="517"/>
        <w:spacing w:after="0" w:line="226"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1020" w:hanging="504"/>
        <w:spacing w:after="0" w:line="226"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Times New Roman" w:cs="Times New Roman" w:eastAsia="Times New Roman" w:hAnsi="Times New Roman"/>
          <w:sz w:val="18"/>
          <w:szCs w:val="18"/>
          <w:color w:val="auto"/>
        </w:rPr>
      </w:pPr>
    </w:p>
    <w:p>
      <w:pPr>
        <w:ind w:left="1020" w:right="120" w:hanging="504"/>
        <w:spacing w:after="0" w:line="237"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30, 2019</w:t>
      </w:r>
    </w:p>
    <w:p>
      <w:pPr>
        <w:spacing w:after="0" w:line="15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 HERVÉ HOPPENOT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0</wp:posOffset>
            </wp:positionV>
            <wp:extent cx="287274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Hervé Hoppenot</w:t>
      </w:r>
    </w:p>
    <w:p>
      <w:pPr>
        <w:ind w:left="45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828040</wp:posOffset>
            </wp:positionV>
            <wp:extent cx="575437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4" w:right="141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Christiana Stamoulis, certify that:</w:t>
      </w:r>
    </w:p>
    <w:p>
      <w:pPr>
        <w:spacing w:after="0" w:line="144" w:lineRule="exact"/>
        <w:rPr>
          <w:sz w:val="20"/>
          <w:szCs w:val="20"/>
          <w:color w:val="auto"/>
        </w:rPr>
      </w:pPr>
    </w:p>
    <w:p>
      <w:pPr>
        <w:ind w:left="520" w:hanging="517"/>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Incyte Corporation;</w:t>
      </w:r>
    </w:p>
    <w:p>
      <w:pPr>
        <w:spacing w:after="0" w:line="144" w:lineRule="exact"/>
        <w:rPr>
          <w:rFonts w:ascii="Times New Roman" w:cs="Times New Roman" w:eastAsia="Times New Roman" w:hAnsi="Times New Roman"/>
          <w:sz w:val="18"/>
          <w:szCs w:val="18"/>
          <w:color w:val="auto"/>
        </w:rPr>
      </w:pPr>
    </w:p>
    <w:p>
      <w:pPr>
        <w:jc w:val="both"/>
        <w:ind w:left="520" w:hanging="517"/>
        <w:spacing w:after="0" w:line="226"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520" w:right="100" w:hanging="517"/>
        <w:spacing w:after="0" w:line="226"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520" w:right="240" w:hanging="517"/>
        <w:spacing w:after="0" w:line="226"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Times New Roman" w:cs="Times New Roman" w:eastAsia="Times New Roman" w:hAnsi="Times New Roman"/>
          <w:sz w:val="18"/>
          <w:szCs w:val="18"/>
          <w:color w:val="auto"/>
        </w:rPr>
      </w:pPr>
    </w:p>
    <w:p>
      <w:pPr>
        <w:ind w:left="1020" w:right="60" w:hanging="504"/>
        <w:spacing w:after="0" w:line="220"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8" w:lineRule="exact"/>
        <w:rPr>
          <w:rFonts w:ascii="Times New Roman" w:cs="Times New Roman" w:eastAsia="Times New Roman" w:hAnsi="Times New Roman"/>
          <w:sz w:val="18"/>
          <w:szCs w:val="18"/>
          <w:color w:val="auto"/>
        </w:rPr>
      </w:pPr>
    </w:p>
    <w:p>
      <w:pPr>
        <w:ind w:left="1020" w:right="40" w:hanging="504"/>
        <w:spacing w:after="0" w:line="220"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8" w:lineRule="exact"/>
        <w:rPr>
          <w:rFonts w:ascii="Times New Roman" w:cs="Times New Roman" w:eastAsia="Times New Roman" w:hAnsi="Times New Roman"/>
          <w:sz w:val="18"/>
          <w:szCs w:val="18"/>
          <w:color w:val="auto"/>
        </w:rPr>
      </w:pPr>
    </w:p>
    <w:p>
      <w:pPr>
        <w:jc w:val="both"/>
        <w:ind w:left="1020" w:right="220" w:hanging="504"/>
        <w:spacing w:after="0" w:line="226"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Times New Roman" w:cs="Times New Roman" w:eastAsia="Times New Roman" w:hAnsi="Times New Roman"/>
          <w:sz w:val="18"/>
          <w:szCs w:val="18"/>
          <w:color w:val="auto"/>
        </w:rPr>
      </w:pPr>
    </w:p>
    <w:p>
      <w:pPr>
        <w:ind w:left="1020" w:right="140" w:hanging="504"/>
        <w:spacing w:after="0" w:line="220"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8" w:lineRule="exact"/>
        <w:rPr>
          <w:rFonts w:ascii="Times New Roman" w:cs="Times New Roman" w:eastAsia="Times New Roman" w:hAnsi="Times New Roman"/>
          <w:sz w:val="18"/>
          <w:szCs w:val="18"/>
          <w:color w:val="auto"/>
        </w:rPr>
      </w:pPr>
    </w:p>
    <w:p>
      <w:pPr>
        <w:ind w:left="520" w:right="20" w:hanging="517"/>
        <w:spacing w:after="0" w:line="226"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1020" w:hanging="504"/>
        <w:spacing w:after="0" w:line="226"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Times New Roman" w:cs="Times New Roman" w:eastAsia="Times New Roman" w:hAnsi="Times New Roman"/>
          <w:sz w:val="18"/>
          <w:szCs w:val="18"/>
          <w:color w:val="auto"/>
        </w:rPr>
      </w:pPr>
    </w:p>
    <w:p>
      <w:pPr>
        <w:ind w:left="1020" w:right="120" w:hanging="504"/>
        <w:spacing w:after="0" w:line="237"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30, 2019</w:t>
      </w:r>
    </w:p>
    <w:p>
      <w:pPr>
        <w:spacing w:after="0" w:line="15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 CHRISTIANA STAMOULIS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0</wp:posOffset>
            </wp:positionV>
            <wp:extent cx="287274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Christiana Stamoulis</w:t>
      </w:r>
    </w:p>
    <w:p>
      <w:pPr>
        <w:ind w:left="45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828040</wp:posOffset>
            </wp:positionV>
            <wp:extent cx="575437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4" w:right="141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24" w:lineRule="exact"/>
        <w:rPr>
          <w:sz w:val="20"/>
          <w:szCs w:val="20"/>
          <w:color w:val="auto"/>
        </w:rPr>
      </w:pPr>
    </w:p>
    <w:p>
      <w:pPr>
        <w:ind w:right="100" w:firstLine="648"/>
        <w:spacing w:after="0" w:line="220" w:lineRule="auto"/>
        <w:rPr>
          <w:sz w:val="20"/>
          <w:szCs w:val="20"/>
          <w:color w:val="auto"/>
        </w:rPr>
      </w:pPr>
      <w:r>
        <w:rPr>
          <w:rFonts w:ascii="Times New Roman" w:cs="Times New Roman" w:eastAsia="Times New Roman" w:hAnsi="Times New Roman"/>
          <w:sz w:val="18"/>
          <w:szCs w:val="18"/>
          <w:color w:val="auto"/>
        </w:rPr>
        <w:t>With reference to the Quarterly Report of Incyte Corporation (the “Company”) on Form 10-Q for the quarter ended June 30, 2019, as filed with the Securities and Exchange Commission on the date hereof (the “Report”), I, Hervé Hoppenot, Chief Executive Officer of the Company, certify, for the purposes of 18 U.S.C. § 1350, as adopted pursuant to § 906 of the Sarbanes-Oxley Act of 2002, that, to my knowledge:</w:t>
      </w:r>
    </w:p>
    <w:p>
      <w:pPr>
        <w:spacing w:after="0" w:line="119" w:lineRule="exact"/>
        <w:rPr>
          <w:sz w:val="20"/>
          <w:szCs w:val="20"/>
          <w:color w:val="auto"/>
        </w:rPr>
      </w:pPr>
    </w:p>
    <w:p>
      <w:pPr>
        <w:ind w:left="340" w:hanging="337"/>
        <w:spacing w:after="0"/>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4" w:lineRule="exact"/>
        <w:rPr>
          <w:rFonts w:ascii="Times New Roman" w:cs="Times New Roman" w:eastAsia="Times New Roman" w:hAnsi="Times New Roman"/>
          <w:sz w:val="18"/>
          <w:szCs w:val="18"/>
          <w:color w:val="auto"/>
        </w:rPr>
      </w:pPr>
    </w:p>
    <w:p>
      <w:pPr>
        <w:ind w:left="320" w:right="360" w:hanging="317"/>
        <w:spacing w:after="0" w:line="237" w:lineRule="auto"/>
        <w:tabs>
          <w:tab w:leader="none" w:pos="34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 HERVÉ HOPPENOT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0</wp:posOffset>
            </wp:positionV>
            <wp:extent cx="287274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Hervé Hoppenot</w:t>
      </w:r>
    </w:p>
    <w:p>
      <w:pPr>
        <w:ind w:left="4540"/>
        <w:spacing w:after="0" w:line="203" w:lineRule="auto"/>
        <w:rPr>
          <w:sz w:val="20"/>
          <w:szCs w:val="20"/>
          <w:color w:val="auto"/>
        </w:rPr>
      </w:pPr>
      <w:r>
        <w:rPr>
          <w:rFonts w:ascii="Times New Roman" w:cs="Times New Roman" w:eastAsia="Times New Roman" w:hAnsi="Times New Roman"/>
          <w:sz w:val="18"/>
          <w:szCs w:val="18"/>
          <w:color w:val="auto"/>
        </w:rPr>
        <w:t>Chief Executive Officer</w:t>
      </w:r>
    </w:p>
    <w:p>
      <w:pPr>
        <w:ind w:left="4540"/>
        <w:spacing w:after="0"/>
        <w:rPr>
          <w:sz w:val="20"/>
          <w:szCs w:val="20"/>
          <w:color w:val="auto"/>
        </w:rPr>
      </w:pPr>
      <w:r>
        <w:rPr>
          <w:rFonts w:ascii="Times New Roman" w:cs="Times New Roman" w:eastAsia="Times New Roman" w:hAnsi="Times New Roman"/>
          <w:sz w:val="18"/>
          <w:szCs w:val="18"/>
          <w:color w:val="auto"/>
        </w:rPr>
        <w:t>July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939800</wp:posOffset>
            </wp:positionV>
            <wp:extent cx="575437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4" w:right="141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24" w:lineRule="exact"/>
        <w:rPr>
          <w:sz w:val="20"/>
          <w:szCs w:val="20"/>
          <w:color w:val="auto"/>
        </w:rPr>
      </w:pPr>
    </w:p>
    <w:p>
      <w:pPr>
        <w:ind w:right="100" w:firstLine="648"/>
        <w:spacing w:after="0" w:line="220" w:lineRule="auto"/>
        <w:rPr>
          <w:sz w:val="20"/>
          <w:szCs w:val="20"/>
          <w:color w:val="auto"/>
        </w:rPr>
      </w:pPr>
      <w:r>
        <w:rPr>
          <w:rFonts w:ascii="Times New Roman" w:cs="Times New Roman" w:eastAsia="Times New Roman" w:hAnsi="Times New Roman"/>
          <w:sz w:val="18"/>
          <w:szCs w:val="18"/>
          <w:color w:val="auto"/>
        </w:rPr>
        <w:t>With reference to the Quarterly Report of Incyte Corporation (the “Company”) on Form 10-Q for the quarter ended June 30, 2019, as filed with the Securities and Exchange Commission on the date hereof (the “Report”), I, Christiana Stamoulis, Chief Financial Officer of the Company, certify, for the purposes of 18 U.S.C. § 1350, as adopted pursuant to § 906 of the Sarbanes-Oxley Act of 2002, that, to my knowledge:</w:t>
      </w:r>
    </w:p>
    <w:p>
      <w:pPr>
        <w:spacing w:after="0" w:line="119" w:lineRule="exact"/>
        <w:rPr>
          <w:sz w:val="20"/>
          <w:szCs w:val="20"/>
          <w:color w:val="auto"/>
        </w:rPr>
      </w:pPr>
    </w:p>
    <w:p>
      <w:pPr>
        <w:ind w:left="340" w:hanging="337"/>
        <w:spacing w:after="0"/>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4" w:lineRule="exact"/>
        <w:rPr>
          <w:rFonts w:ascii="Times New Roman" w:cs="Times New Roman" w:eastAsia="Times New Roman" w:hAnsi="Times New Roman"/>
          <w:sz w:val="18"/>
          <w:szCs w:val="18"/>
          <w:color w:val="auto"/>
        </w:rPr>
      </w:pPr>
    </w:p>
    <w:p>
      <w:pPr>
        <w:ind w:left="320" w:right="360" w:hanging="317"/>
        <w:spacing w:after="0" w:line="237" w:lineRule="auto"/>
        <w:tabs>
          <w:tab w:leader="none" w:pos="34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 CHRISTIANA STAMOULIS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0</wp:posOffset>
            </wp:positionV>
            <wp:extent cx="287274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Christiana Stamoulis</w:t>
      </w:r>
    </w:p>
    <w:p>
      <w:pPr>
        <w:ind w:left="4540"/>
        <w:spacing w:after="0" w:line="203" w:lineRule="auto"/>
        <w:rPr>
          <w:sz w:val="20"/>
          <w:szCs w:val="20"/>
          <w:color w:val="auto"/>
        </w:rPr>
      </w:pPr>
      <w:r>
        <w:rPr>
          <w:rFonts w:ascii="Times New Roman" w:cs="Times New Roman" w:eastAsia="Times New Roman" w:hAnsi="Times New Roman"/>
          <w:sz w:val="18"/>
          <w:szCs w:val="18"/>
          <w:color w:val="auto"/>
        </w:rPr>
        <w:t>Chief Financial Officer</w:t>
      </w:r>
    </w:p>
    <w:p>
      <w:pPr>
        <w:ind w:left="4540"/>
        <w:spacing w:after="0"/>
        <w:rPr>
          <w:sz w:val="20"/>
          <w:szCs w:val="20"/>
          <w:color w:val="auto"/>
        </w:rPr>
      </w:pPr>
      <w:r>
        <w:rPr>
          <w:rFonts w:ascii="Times New Roman" w:cs="Times New Roman" w:eastAsia="Times New Roman" w:hAnsi="Times New Roman"/>
          <w:sz w:val="18"/>
          <w:szCs w:val="18"/>
          <w:color w:val="auto"/>
        </w:rPr>
        <w:t>July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828040</wp:posOffset>
            </wp:positionV>
            <wp:extent cx="575437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4" w:right="1419" w:bottom="1440" w:gutter="0" w:footer="0" w:header="0"/>
        </w:sectPr>
      </w:pPr>
    </w:p>
    <w:bookmarkStart w:id="96" w:name="page97"/>
    <w:bookmarkEnd w:id="9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1."/>
      <w:numFmt w:val="decimal"/>
      <w:start w:val="2"/>
    </w:lvl>
  </w:abstractNum>
  <w:abstractNum w:abstractNumId="5">
    <w:nsid w:val="54E49EB4"/>
    <w:multiLevelType w:val="hybridMultilevel"/>
    <w:lvl w:ilvl="0">
      <w:lvlJc w:val="left"/>
      <w:lvlText w:val="\endash "/>
      <w:numFmt w:val="bullet"/>
      <w:start w:val="1"/>
    </w:lvl>
  </w:abstractNum>
  <w:abstractNum w:abstractNumId="6">
    <w:nsid w:val="71F32454"/>
    <w:multiLevelType w:val="hybridMultilevel"/>
    <w:lvl w:ilvl="0">
      <w:lvlJc w:val="left"/>
      <w:lvlText w:val="%1."/>
      <w:numFmt w:val="decimal"/>
      <w:start w:val="3"/>
    </w:lvl>
  </w:abstractNum>
  <w:abstractNum w:abstractNumId="7">
    <w:nsid w:val="2CA88611"/>
    <w:multiLevelType w:val="hybridMultilevel"/>
    <w:lvl w:ilvl="0">
      <w:lvlJc w:val="left"/>
      <w:lvlText w:val="%1."/>
      <w:numFmt w:val="decimal"/>
      <w:start w:val="4"/>
    </w:lvl>
  </w:abstractNum>
  <w:abstractNum w:abstractNumId="8">
    <w:nsid w:val="836C40E"/>
    <w:multiLevelType w:val="hybridMultilevel"/>
    <w:lvl w:ilvl="0">
      <w:lvlJc w:val="left"/>
      <w:lvlText w:val="%1."/>
      <w:numFmt w:val="decimal"/>
      <w:start w:val="5"/>
    </w:lvl>
  </w:abstractNum>
  <w:abstractNum w:abstractNumId="9">
    <w:nsid w:val="2901D82"/>
    <w:multiLevelType w:val="hybridMultilevel"/>
    <w:lvl w:ilvl="0">
      <w:lvlJc w:val="left"/>
      <w:lvlText w:val="%1."/>
      <w:numFmt w:val="decimal"/>
      <w:start w:val="8"/>
    </w:lvl>
  </w:abstractNum>
  <w:abstractNum w:abstractNumId="10">
    <w:nsid w:val="3A95F874"/>
    <w:multiLevelType w:val="hybridMultilevel"/>
    <w:lvl w:ilvl="0">
      <w:lvlJc w:val="left"/>
      <w:lvlText w:val="%1."/>
      <w:numFmt w:val="decimal"/>
      <w:start w:val="10"/>
    </w:lvl>
  </w:abstractNum>
  <w:abstractNum w:abstractNumId="11">
    <w:nsid w:val="8138641"/>
    <w:multiLevelType w:val="hybridMultilevel"/>
    <w:lvl w:ilvl="0">
      <w:lvlJc w:val="left"/>
      <w:lvlText w:val="%1."/>
      <w:numFmt w:val="decimal"/>
      <w:start w:val="11"/>
    </w:lvl>
  </w:abstractNum>
  <w:abstractNum w:abstractNumId="12">
    <w:nsid w:val="1E7FF521"/>
    <w:multiLevelType w:val="hybridMultilevel"/>
    <w:lvl w:ilvl="0">
      <w:lvlJc w:val="left"/>
      <w:lvlText w:val="%1."/>
      <w:numFmt w:val="decimal"/>
      <w:start w:val="12"/>
    </w:lvl>
  </w:abstractNum>
  <w:abstractNum w:abstractNumId="13">
    <w:nsid w:val="7C3DBD3D"/>
    <w:multiLevelType w:val="hybridMultilevel"/>
    <w:lvl w:ilvl="0">
      <w:lvlJc w:val="left"/>
      <w:lvlText w:val="(%1)"/>
      <w:numFmt w:val="lowerRoman"/>
      <w:start w:val="3"/>
    </w:lvl>
  </w:abstractNum>
  <w:abstractNum w:abstractNumId="14">
    <w:nsid w:val="737B8DDC"/>
    <w:multiLevelType w:val="hybridMultilevel"/>
    <w:lvl w:ilvl="0">
      <w:lvlJc w:val="left"/>
      <w:lvlText w:val="%1."/>
      <w:numFmt w:val="decimal"/>
      <w:start w:val="13"/>
    </w:lvl>
  </w:abstractNum>
  <w:abstractNum w:abstractNumId="15">
    <w:nsid w:val="6CEAF087"/>
    <w:multiLevelType w:val="hybridMultilevel"/>
    <w:lvl w:ilvl="0">
      <w:lvlJc w:val="left"/>
      <w:lvlText w:val="%1."/>
      <w:numFmt w:val="decimal"/>
      <w:start w:val="14"/>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1."/>
      <w:numFmt w:val="decimal"/>
      <w:start w:val="1"/>
    </w:lvl>
  </w:abstractNum>
  <w:abstractNum w:abstractNumId="22">
    <w:nsid w:val="440BADFC"/>
    <w:multiLevelType w:val="hybridMultilevel"/>
    <w:lvl w:ilvl="0">
      <w:lvlJc w:val="left"/>
      <w:lvlText w:val="%1."/>
      <w:numFmt w:val="decimal"/>
      <w:start w:val="1"/>
    </w:lvl>
  </w:abstractNum>
  <w:abstractNum w:abstractNumId="23">
    <w:nsid w:val="5072367"/>
    <w:multiLevelType w:val="hybridMultilevel"/>
    <w:lvl w:ilvl="0">
      <w:lvlJc w:val="left"/>
      <w:lvlText w:val="%1."/>
      <w:numFmt w:val="decimal"/>
      <w:start w:val="1"/>
    </w:lvl>
  </w:abstractNum>
  <w:abstractNum w:abstractNumId="24">
    <w:nsid w:val="3804823E"/>
    <w:multiLevelType w:val="hybridMultilevel"/>
    <w:lvl w:ilvl="0">
      <w:lvlJc w:val="left"/>
      <w:lvlText w:val="%1."/>
      <w:numFmt w:val="decimal"/>
      <w:start w:val="1"/>
    </w:lvl>
  </w:abstractNum>
  <w:abstractNum w:abstractNumId="25">
    <w:nsid w:val="77465F01"/>
    <w:multiLevelType w:val="hybridMultilevel"/>
    <w:lvl w:ilvl="0">
      <w:lvlJc w:val="left"/>
      <w:lvlText w:val="\endash "/>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1"/>
      <w:numFmt w:val="decimal"/>
      <w:start w:val="10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2019-12-28T09:40:41Z</dcterms:created>
  <dcterms:modified xsi:type="dcterms:W3CDTF">2019-12-28T09:40:41Z</dcterms:modified>
</cp:coreProperties>
</file>